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PT Astra Serif" w:hAnsi="PT Astra Serif" w:cs="PT Astra Serif"/>
          <w:b/>
          <w:b/>
        </w:rPr>
      </w:pPr>
      <w:r>
        <w:rPr>
          <w:rFonts w:cs="PT Astra Serif" w:ascii="PT Astra Serif" w:hAnsi="PT Astra Serif"/>
          <w:b/>
        </w:rPr>
        <w:t>Государственный контракт  № ______</w:t>
      </w:r>
    </w:p>
    <w:p>
      <w:pPr>
        <w:pStyle w:val="Normal"/>
        <w:jc w:val="center"/>
        <w:rPr>
          <w:rFonts w:ascii="PT Astra Serif" w:hAnsi="PT Astra Serif" w:cs="PT Astra Serif"/>
        </w:rPr>
      </w:pPr>
      <w:r>
        <w:rPr>
          <w:rFonts w:cs="PT Astra Serif" w:ascii="PT Astra Serif" w:hAnsi="PT Astra Serif"/>
        </w:rPr>
        <w:t>на предоставление услуг</w:t>
      </w:r>
    </w:p>
    <w:p>
      <w:pPr>
        <w:pStyle w:val="Normal"/>
        <w:jc w:val="center"/>
        <w:rPr>
          <w:rFonts w:ascii="PT Astra Serif" w:hAnsi="PT Astra Serif" w:cs="PT Astra Serif"/>
        </w:rPr>
      </w:pPr>
      <w:r>
        <w:rPr>
          <w:rFonts w:cs="PT Astra Serif" w:ascii="PT Astra Serif" w:hAnsi="PT Astra Serif"/>
        </w:rPr>
      </w:r>
    </w:p>
    <w:p>
      <w:pPr>
        <w:pStyle w:val="Style31"/>
        <w:tabs>
          <w:tab w:val="clear" w:pos="708"/>
          <w:tab w:val="left" w:pos="1127" w:leader="none"/>
        </w:tabs>
        <w:bidi w:val="0"/>
        <w:jc w:val="both"/>
        <w:rPr>
          <w:rFonts w:ascii="PT Astra Serif" w:hAnsi="PT Astra Serif" w:cs="PT Astra Serif"/>
          <w:sz w:val="20"/>
          <w:szCs w:val="20"/>
        </w:rPr>
      </w:pPr>
      <w:r>
        <w:rPr>
          <w:rFonts w:cs="PT Astra Serif" w:ascii="PT Astra Serif" w:hAnsi="PT Astra Serif"/>
          <w:sz w:val="20"/>
          <w:szCs w:val="20"/>
        </w:rPr>
        <w:t>ИКЗ</w:t>
      </w:r>
      <w:r>
        <w:rPr>
          <w:rFonts w:cs="PT Astra Serif" w:ascii="PT Astra Serif" w:hAnsi="PT Astra Serif"/>
          <w:b/>
          <w:sz w:val="20"/>
          <w:szCs w:val="20"/>
        </w:rPr>
        <w:t xml:space="preserve"> </w:t>
      </w:r>
      <w:r>
        <w:rPr>
          <w:rFonts w:cs="PT Astra Serif" w:ascii="PT Astra Serif" w:hAnsi="PT Astra Serif"/>
          <w:sz w:val="20"/>
          <w:szCs w:val="20"/>
        </w:rPr>
        <w:t>261702003563970170100100160000000244</w:t>
      </w:r>
    </w:p>
    <w:p>
      <w:pPr>
        <w:pStyle w:val="Normal"/>
        <w:rPr/>
      </w:pPr>
      <w:r>
        <w:rPr>
          <w:rFonts w:cs="PT Astra Serif" w:ascii="PT Astra Serif" w:hAnsi="PT Astra Serif"/>
        </w:rPr>
        <w:t>г. Томск                                                                                                                        «___» ___________ 2026 г.</w:t>
      </w:r>
    </w:p>
    <w:p>
      <w:pPr>
        <w:pStyle w:val="Normal"/>
        <w:jc w:val="both"/>
        <w:rPr>
          <w:rFonts w:ascii="PT Astra Serif" w:hAnsi="PT Astra Serif" w:cs="PT Astra Serif"/>
        </w:rPr>
      </w:pPr>
      <w:r>
        <w:rPr>
          <w:rFonts w:cs="PT Astra Serif" w:ascii="PT Astra Serif" w:hAnsi="PT Astra Serif"/>
        </w:rPr>
      </w:r>
    </w:p>
    <w:p>
      <w:pPr>
        <w:pStyle w:val="Style27"/>
        <w:spacing w:before="0" w:after="0"/>
        <w:ind w:start="0" w:firstLine="700"/>
        <w:jc w:val="both"/>
        <w:rPr>
          <w:rFonts w:ascii="PT Astra Serif" w:hAnsi="PT Astra Serif" w:cs="PT Astra Serif"/>
          <w:lang w:val="ru-RU"/>
        </w:rPr>
      </w:pPr>
      <w:r>
        <w:rPr>
          <w:rFonts w:cs="PT Astra Serif" w:ascii="PT Astra Serif" w:hAnsi="PT Astra Serif"/>
          <w:b/>
        </w:rPr>
        <w:t>Федеральное казенное учреждение «Лечебное исправительное учреждение № 1 Управления Федеральной службы исполнения наказаний по Томской области»</w:t>
      </w:r>
      <w:r>
        <w:rPr>
          <w:rFonts w:cs="PT Astra Serif" w:ascii="PT Astra Serif" w:hAnsi="PT Astra Serif"/>
          <w:b/>
          <w:bCs/>
        </w:rPr>
        <w:t xml:space="preserve"> (ФКУ ЛИУ-1 УФСИН России  по Томской области),</w:t>
      </w:r>
      <w:r>
        <w:rPr>
          <w:rFonts w:cs="PT Astra Serif" w:ascii="PT Astra Serif" w:hAnsi="PT Astra Serif"/>
          <w:bCs/>
        </w:rPr>
        <w:t xml:space="preserve"> выступая от имени Российской Федерации, в целях обеспечения государственных нужд,</w:t>
      </w:r>
      <w:r>
        <w:rPr>
          <w:rFonts w:cs="PT Astra Serif" w:ascii="PT Astra Serif" w:hAnsi="PT Astra Serif"/>
          <w:b/>
          <w:bCs/>
        </w:rPr>
        <w:t xml:space="preserve"> </w:t>
      </w:r>
      <w:r>
        <w:rPr>
          <w:rFonts w:cs="PT Astra Serif" w:ascii="PT Astra Serif" w:hAnsi="PT Astra Serif"/>
        </w:rPr>
        <w:t xml:space="preserve">именуемое в дальнейшем «Государственный заказчик», в лице </w:t>
      </w:r>
      <w:r>
        <w:rPr>
          <w:rFonts w:cs="PT Astra Serif" w:ascii="PT Astra Serif" w:hAnsi="PT Astra Serif"/>
          <w:lang w:val="ru-RU"/>
        </w:rPr>
        <w:t xml:space="preserve">врио </w:t>
      </w:r>
      <w:r>
        <w:rPr>
          <w:rFonts w:cs="PT Astra Serif" w:ascii="PT Astra Serif" w:hAnsi="PT Astra Serif"/>
        </w:rPr>
        <w:t xml:space="preserve">начальника учреждения </w:t>
      </w:r>
      <w:r>
        <w:rPr>
          <w:rFonts w:cs="PT Astra Serif" w:ascii="PT Astra Serif" w:hAnsi="PT Astra Serif"/>
          <w:lang w:val="ru-RU"/>
        </w:rPr>
        <w:t>Волкова Станислава Владимировича</w:t>
      </w:r>
      <w:r>
        <w:rPr>
          <w:rFonts w:cs="PT Astra Serif" w:ascii="PT Astra Serif" w:hAnsi="PT Astra Serif"/>
        </w:rPr>
        <w:t>, действующего на основании Устава</w:t>
      </w:r>
      <w:r>
        <w:rPr>
          <w:rFonts w:cs="PT Astra Serif" w:ascii="PT Astra Serif" w:hAnsi="PT Astra Serif"/>
          <w:lang w:val="ru-RU"/>
        </w:rPr>
        <w:t xml:space="preserve"> и приказа УФСИН России                    по Томской области от 15.05.2026 № 63-к</w:t>
      </w:r>
      <w:r>
        <w:rPr>
          <w:rFonts w:cs="PT Astra Serif" w:ascii="PT Astra Serif" w:hAnsi="PT Astra Serif"/>
        </w:rPr>
        <w:t>, с одной стороны, и</w:t>
      </w:r>
    </w:p>
    <w:p>
      <w:pPr>
        <w:pStyle w:val="Style27"/>
        <w:spacing w:before="0" w:after="0"/>
        <w:ind w:start="0" w:firstLine="700"/>
        <w:jc w:val="both"/>
        <w:rPr>
          <w:rFonts w:ascii="PT Astra Serif" w:hAnsi="PT Astra Serif" w:cs="PT Astra Serif"/>
          <w:lang w:val="ru-RU"/>
        </w:rPr>
      </w:pPr>
      <w:r>
        <w:rPr>
          <w:b/>
          <w:sz w:val="18"/>
          <w:szCs w:val="18"/>
          <w:lang w:val="ru-RU"/>
        </w:rPr>
        <w:t>_______</w:t>
      </w:r>
      <w:r>
        <w:rPr>
          <w:b/>
          <w:sz w:val="18"/>
          <w:szCs w:val="18"/>
        </w:rPr>
        <w:t xml:space="preserve">, </w:t>
      </w:r>
      <w:r>
        <w:rPr>
          <w:sz w:val="18"/>
          <w:szCs w:val="18"/>
        </w:rPr>
        <w:t xml:space="preserve">именуемое в дальнейшем «Исполнитель», в лице </w:t>
      </w:r>
      <w:r>
        <w:rPr>
          <w:sz w:val="18"/>
          <w:szCs w:val="18"/>
          <w:lang w:val="ru-RU"/>
        </w:rPr>
        <w:t>_______</w:t>
      </w:r>
      <w:r>
        <w:rPr>
          <w:sz w:val="18"/>
          <w:szCs w:val="18"/>
        </w:rPr>
        <w:t xml:space="preserve">, на основании </w:t>
      </w:r>
      <w:r>
        <w:rPr>
          <w:sz w:val="18"/>
          <w:szCs w:val="18"/>
          <w:lang w:val="ru-RU"/>
        </w:rPr>
        <w:t>______,</w:t>
      </w:r>
      <w:r>
        <w:rPr>
          <w:color w:val="FF0000"/>
          <w:sz w:val="18"/>
          <w:szCs w:val="18"/>
          <w:lang w:val="ru-RU"/>
        </w:rPr>
        <w:t xml:space="preserve"> </w:t>
      </w:r>
      <w:r>
        <w:rPr>
          <w:rFonts w:cs="PT Astra Serif" w:ascii="PT Astra Serif" w:hAnsi="PT Astra Serif"/>
        </w:rPr>
        <w:t xml:space="preserve">с другой стороны, вместе именуемые «Стороны», руководствуясь п.4 ч.1 ст.93 Федерального закона от 05 апреля 2013 года </w:t>
      </w:r>
      <w:r>
        <w:rPr>
          <w:rFonts w:cs="PT Astra Serif" w:ascii="PT Astra Serif" w:hAnsi="PT Astra Serif"/>
          <w:lang w:val="ru-RU"/>
        </w:rPr>
        <w:t xml:space="preserve"> </w:t>
      </w:r>
      <w:r>
        <w:rPr>
          <w:rFonts w:cs="PT Astra Serif" w:ascii="PT Astra Serif" w:hAnsi="PT Astra Serif"/>
        </w:rPr>
        <w:t>№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Style27"/>
        <w:spacing w:before="0" w:after="0"/>
        <w:ind w:start="0" w:firstLine="700"/>
        <w:jc w:val="both"/>
        <w:rPr>
          <w:rFonts w:ascii="PT Astra Serif" w:hAnsi="PT Astra Serif" w:cs="PT Astra Serif"/>
          <w:lang w:val="ru-RU"/>
        </w:rPr>
      </w:pPr>
      <w:r>
        <w:rPr>
          <w:rFonts w:cs="PT Astra Serif" w:ascii="PT Astra Serif" w:hAnsi="PT Astra Serif"/>
          <w:lang w:val="ru-RU"/>
        </w:rPr>
      </w:r>
    </w:p>
    <w:p>
      <w:pPr>
        <w:pStyle w:val="Normal"/>
        <w:numPr>
          <w:ilvl w:val="0"/>
          <w:numId w:val="2"/>
        </w:numPr>
        <w:jc w:val="center"/>
        <w:rPr>
          <w:rFonts w:ascii="PT Astra Serif" w:hAnsi="PT Astra Serif" w:cs="PT Astra Serif"/>
          <w:b/>
          <w:b/>
        </w:rPr>
      </w:pPr>
      <w:r>
        <w:rPr>
          <w:rFonts w:cs="PT Astra Serif" w:ascii="PT Astra Serif" w:hAnsi="PT Astra Serif"/>
          <w:b/>
        </w:rPr>
        <w:t>Предмет Контракта</w:t>
      </w:r>
    </w:p>
    <w:p>
      <w:pPr>
        <w:pStyle w:val="Normal"/>
        <w:jc w:val="both"/>
        <w:rPr>
          <w:rFonts w:ascii="PT Astra Serif" w:hAnsi="PT Astra Serif" w:cs="PT Astra Serif"/>
          <w:bCs/>
          <w:color w:val="000000"/>
        </w:rPr>
      </w:pPr>
      <w:r>
        <w:rPr>
          <w:rFonts w:cs="PT Astra Serif" w:ascii="PT Astra Serif" w:hAnsi="PT Astra Serif"/>
          <w:b/>
        </w:rPr>
        <w:tab/>
      </w:r>
      <w:r>
        <w:rPr>
          <w:rFonts w:cs="PT Astra Serif" w:ascii="PT Astra Serif" w:hAnsi="PT Astra Serif"/>
        </w:rPr>
        <w:t xml:space="preserve">1.1. В соответствии с настоящим Контрактом Исполнитель принимает на себя обязательство                  по оказанию услуг по ремонту и техническому обслуживанию небытового холодильного и вентиляционного оборудования (далее по тексту Контракта - Услуги), а Государственный заказчик обязуется принимать и оплачивать указанные Услуги  в порядке и на условиях настоящего Контракта. </w:t>
      </w:r>
    </w:p>
    <w:p>
      <w:pPr>
        <w:pStyle w:val="Style31"/>
        <w:bidi w:val="0"/>
        <w:ind w:firstLine="708"/>
        <w:jc w:val="both"/>
        <w:rPr>
          <w:rFonts w:ascii="PT Astra Serif" w:hAnsi="PT Astra Serif" w:cs="PT Astra Serif"/>
          <w:sz w:val="20"/>
          <w:szCs w:val="20"/>
        </w:rPr>
      </w:pPr>
      <w:r>
        <w:rPr>
          <w:rFonts w:cs="PT Astra Serif" w:ascii="PT Astra Serif" w:hAnsi="PT Astra Serif"/>
          <w:sz w:val="20"/>
          <w:szCs w:val="20"/>
        </w:rPr>
        <w:t>1.2. Наименование, объем услуг устанавливаются Сторонами в Техническом задании (Приложение №1), которое является неотъемлемой частью настоящего Контракта.</w:t>
      </w:r>
    </w:p>
    <w:p>
      <w:pPr>
        <w:pStyle w:val="Style31"/>
        <w:bidi w:val="0"/>
        <w:ind w:firstLine="708"/>
        <w:jc w:val="both"/>
        <w:rPr>
          <w:rFonts w:ascii="PT Astra Serif" w:hAnsi="PT Astra Serif" w:cs="PT Astra Serif"/>
          <w:sz w:val="20"/>
          <w:szCs w:val="20"/>
        </w:rPr>
      </w:pPr>
      <w:r>
        <w:rPr>
          <w:rFonts w:cs="PT Astra Serif" w:ascii="PT Astra Serif" w:hAnsi="PT Astra Serif"/>
          <w:sz w:val="20"/>
          <w:szCs w:val="20"/>
        </w:rPr>
        <w:t>1.3. Срок оказания услуг: до 20 июля 2026 на территории «Государственного заказчика» за счет средств и сил «Исполнителя».</w:t>
      </w:r>
    </w:p>
    <w:p>
      <w:pPr>
        <w:pStyle w:val="Style31"/>
        <w:bidi w:val="0"/>
        <w:ind w:firstLine="708"/>
        <w:jc w:val="both"/>
        <w:rPr>
          <w:rFonts w:ascii="PT Astra Serif" w:hAnsi="PT Astra Serif" w:cs="PT Astra Serif"/>
          <w:sz w:val="20"/>
          <w:szCs w:val="20"/>
        </w:rPr>
      </w:pPr>
      <w:r>
        <w:rPr>
          <w:rFonts w:cs="PT Astra Serif" w:ascii="PT Astra Serif" w:hAnsi="PT Astra Serif"/>
          <w:sz w:val="20"/>
          <w:szCs w:val="20"/>
        </w:rPr>
        <w:t>1.4. Место оказания услуг: г.Томск, ул.Клюева, 6.</w:t>
      </w:r>
    </w:p>
    <w:p>
      <w:pPr>
        <w:pStyle w:val="Style31"/>
        <w:bidi w:val="0"/>
        <w:ind w:firstLine="708"/>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2. СУММА КОНТРАКТА, ПОРЯДОК И СРОКИ ОПЛАТЫ</w:t>
      </w:r>
    </w:p>
    <w:p>
      <w:pPr>
        <w:pStyle w:val="Style31"/>
        <w:bidi w:val="0"/>
        <w:jc w:val="both"/>
        <w:rPr>
          <w:rFonts w:ascii="PT Astra Serif" w:hAnsi="PT Astra Serif" w:cs="PT Astra Serif"/>
          <w:sz w:val="20"/>
          <w:szCs w:val="20"/>
        </w:rPr>
      </w:pPr>
      <w:r>
        <w:rPr>
          <w:rFonts w:cs="PT Astra Serif" w:ascii="PT Astra Serif" w:hAnsi="PT Astra Serif"/>
          <w:bCs/>
          <w:color w:val="000000"/>
          <w:sz w:val="20"/>
          <w:szCs w:val="20"/>
        </w:rPr>
        <w:t xml:space="preserve">2.1. </w:t>
      </w:r>
      <w:r>
        <w:rPr>
          <w:rFonts w:cs="PT Astra Serif" w:ascii="PT Astra Serif" w:hAnsi="PT Astra Serif"/>
          <w:bCs/>
          <w:sz w:val="20"/>
          <w:szCs w:val="20"/>
        </w:rPr>
        <w:t>Цена настоящего Контракта составляет _____ рублей (____ рублей __ копеек), с/без НДС.</w:t>
      </w:r>
    </w:p>
    <w:p>
      <w:pPr>
        <w:pStyle w:val="Style31"/>
        <w:bidi w:val="0"/>
        <w:ind w:firstLine="708"/>
        <w:jc w:val="both"/>
        <w:rPr/>
      </w:pPr>
      <w:r>
        <w:rPr>
          <w:rFonts w:cs="PT Astra Serif" w:ascii="PT Astra Serif" w:hAnsi="PT Astra Serif"/>
          <w:sz w:val="20"/>
          <w:szCs w:val="20"/>
        </w:rPr>
        <w:t>Цена Контракта на период действия Контракта является твердой, определяется на весь срок исполнения настоящего Контракта, за исключением случаев</w:t>
      </w:r>
      <w:r>
        <w:rPr>
          <w:rFonts w:cs="PT Astra Serif" w:ascii="PT Astra Serif" w:hAnsi="PT Astra Serif"/>
          <w:color w:val="000000"/>
          <w:sz w:val="20"/>
          <w:szCs w:val="20"/>
        </w:rPr>
        <w:t>:</w:t>
      </w:r>
    </w:p>
    <w:p>
      <w:pPr>
        <w:pStyle w:val="Style31"/>
        <w:bidi w:val="0"/>
        <w:jc w:val="both"/>
        <w:rPr/>
      </w:pPr>
      <w:r>
        <w:rPr>
          <w:rFonts w:cs="PT Astra Serif" w:ascii="PT Astra Serif" w:hAnsi="PT Astra Serif"/>
          <w:sz w:val="20"/>
          <w:szCs w:val="20"/>
        </w:rPr>
        <w:t>- при снижении цены контракта без изменения предусмотренных контрактом количества товара, качества товара, и иных условий контракта (</w:t>
      </w:r>
      <w:hyperlink r:id="rId2">
        <w:r>
          <w:rPr>
            <w:rFonts w:cs="PT Astra Serif" w:ascii="PT Astra Serif" w:hAnsi="PT Astra Serif"/>
            <w:sz w:val="20"/>
            <w:szCs w:val="20"/>
          </w:rPr>
          <w:t>подп. "а" п. 1 ч. 1 ст. 95</w:t>
        </w:r>
      </w:hyperlink>
      <w:r>
        <w:rPr>
          <w:rFonts w:cs="PT Astra Serif" w:ascii="PT Astra Serif" w:hAnsi="PT Astra Serif"/>
          <w:sz w:val="20"/>
          <w:szCs w:val="20"/>
        </w:rPr>
        <w:t xml:space="preserve"> Закона N 44-ФЗ). </w:t>
      </w:r>
    </w:p>
    <w:p>
      <w:pPr>
        <w:pStyle w:val="Style31"/>
        <w:bidi w:val="0"/>
        <w:jc w:val="both"/>
        <w:rPr/>
      </w:pPr>
      <w:r>
        <w:rPr>
          <w:rFonts w:cs="PT Astra Serif" w:ascii="PT Astra Serif" w:hAnsi="PT Astra Serif"/>
          <w:sz w:val="20"/>
          <w:szCs w:val="20"/>
        </w:rPr>
        <w:t xml:space="preserve">-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(в ред. Федерального закона </w:t>
      </w:r>
      <w:r>
        <w:fldChar w:fldCharType="begin"/>
      </w:r>
      <w:r>
        <w:rPr>
          <w:sz w:val="20"/>
          <w:szCs w:val="20"/>
          <w:rFonts w:cs="PT Astra Serif" w:ascii="PT Astra Serif" w:hAnsi="PT Astra Serif"/>
        </w:rPr>
        <w:instrText> HYPERLINK "https://normativ.kontur.ru/document?moduleid=1&amp;documentid=334788" \l "l98"</w:instrText>
      </w:r>
      <w:r>
        <w:rPr>
          <w:sz w:val="20"/>
          <w:szCs w:val="20"/>
          <w:rFonts w:cs="PT Astra Serif" w:ascii="PT Astra Serif" w:hAnsi="PT Astra Serif"/>
        </w:rPr>
        <w:fldChar w:fldCharType="separate"/>
      </w:r>
      <w:r>
        <w:rPr>
          <w:rFonts w:cs="PT Astra Serif" w:ascii="PT Astra Serif" w:hAnsi="PT Astra Serif"/>
          <w:sz w:val="20"/>
          <w:szCs w:val="20"/>
        </w:rPr>
        <w:t>от 01.05.2019 N 71-ФЗ</w:t>
      </w:r>
      <w:r>
        <w:rPr>
          <w:sz w:val="20"/>
          <w:szCs w:val="20"/>
          <w:rFonts w:cs="PT Astra Serif" w:ascii="PT Astra Serif" w:hAnsi="PT Astra Serif"/>
        </w:rPr>
        <w:fldChar w:fldCharType="end"/>
      </w:r>
      <w:r>
        <w:rPr>
          <w:rFonts w:cs="PT Astra Serif" w:ascii="PT Astra Serif" w:hAnsi="PT Astra Serif"/>
          <w:sz w:val="20"/>
          <w:szCs w:val="20"/>
        </w:rPr>
        <w:t>)</w:t>
      </w:r>
      <w:r>
        <w:rPr>
          <w:rFonts w:cs="PT Astra Serif" w:ascii="PT Astra Serif" w:hAnsi="PT Astra Serif"/>
          <w:color w:val="FF0000"/>
          <w:sz w:val="20"/>
          <w:szCs w:val="20"/>
        </w:rPr>
        <w:t xml:space="preserve"> </w:t>
      </w:r>
      <w:r>
        <w:rPr>
          <w:rFonts w:cs="PT Astra Serif" w:ascii="PT Astra Serif" w:hAnsi="PT Astra Serif"/>
          <w:sz w:val="20"/>
          <w:szCs w:val="20"/>
        </w:rPr>
        <w:t>(</w:t>
      </w:r>
      <w:hyperlink r:id="rId3">
        <w:r>
          <w:rPr>
            <w:rFonts w:cs="PT Astra Serif" w:ascii="PT Astra Serif" w:hAnsi="PT Astra Serif"/>
            <w:sz w:val="20"/>
            <w:szCs w:val="20"/>
          </w:rPr>
          <w:t>подп. "б" п. 1 ч. 1 ст. 95</w:t>
        </w:r>
      </w:hyperlink>
      <w:r>
        <w:rPr>
          <w:rFonts w:cs="PT Astra Serif" w:ascii="PT Astra Serif" w:hAnsi="PT Astra Serif"/>
          <w:sz w:val="20"/>
          <w:szCs w:val="20"/>
        </w:rPr>
        <w:t xml:space="preserve"> Закона N 44-ФЗ).</w:t>
      </w:r>
    </w:p>
    <w:p>
      <w:pPr>
        <w:pStyle w:val="Style31"/>
        <w:bidi w:val="0"/>
        <w:jc w:val="both"/>
        <w:rPr>
          <w:rFonts w:ascii="PT Astra Serif" w:hAnsi="PT Astra Serif" w:cs="PT Astra Serif"/>
          <w:sz w:val="20"/>
          <w:szCs w:val="20"/>
        </w:rPr>
      </w:pPr>
      <w:r>
        <w:rPr>
          <w:rFonts w:cs="PT Astra Serif" w:ascii="PT Astra Serif" w:hAnsi="PT Astra Serif"/>
          <w:sz w:val="20"/>
          <w:szCs w:val="20"/>
        </w:rPr>
        <w:t xml:space="preserve">2.2. Цена Контракта, включает в себя все затраты, связанные с оказанием услуг в полном объеме, стоимость расходных материалов, страхование, уплату налогов, сборов и пошлин (выплаченные или подлежащие выплате), в том числе НДС и другие обязательные платежи, транспортные расходы, и иные расходы «Исполнителя», необходимые для надлежащего выполнения обязательств по настоящему Контракту. </w:t>
      </w:r>
    </w:p>
    <w:p>
      <w:pPr>
        <w:pStyle w:val="Style31"/>
        <w:bidi w:val="0"/>
        <w:jc w:val="both"/>
        <w:rPr>
          <w:rFonts w:ascii="PT Astra Serif" w:hAnsi="PT Astra Serif" w:cs="PT Astra Serif"/>
          <w:sz w:val="20"/>
          <w:szCs w:val="20"/>
        </w:rPr>
      </w:pPr>
      <w:r>
        <w:rPr>
          <w:rFonts w:cs="PT Astra Serif" w:ascii="PT Astra Serif" w:hAnsi="PT Astra Serif"/>
          <w:sz w:val="20"/>
          <w:szCs w:val="20"/>
        </w:rPr>
        <w:t xml:space="preserve">Валюта, используемая для расчетов - рубль Российской Федерации. </w:t>
      </w:r>
    </w:p>
    <w:p>
      <w:pPr>
        <w:pStyle w:val="Style31"/>
        <w:bidi w:val="0"/>
        <w:jc w:val="both"/>
        <w:rPr>
          <w:rFonts w:ascii="PT Astra Serif" w:hAnsi="PT Astra Serif" w:cs="PT Astra Serif"/>
          <w:sz w:val="20"/>
          <w:szCs w:val="20"/>
        </w:rPr>
      </w:pPr>
      <w:r>
        <w:rPr>
          <w:rFonts w:cs="PT Astra Serif" w:ascii="PT Astra Serif" w:hAnsi="PT Astra Serif"/>
          <w:sz w:val="20"/>
          <w:szCs w:val="20"/>
        </w:rPr>
        <w:t>Источник финансирования: федеральный бюджет Российской Федерации.</w:t>
      </w:r>
    </w:p>
    <w:p>
      <w:pPr>
        <w:pStyle w:val="Style31"/>
        <w:bidi w:val="0"/>
        <w:jc w:val="both"/>
        <w:rPr>
          <w:rFonts w:ascii="PT Astra Serif" w:hAnsi="PT Astra Serif" w:eastAsia="Arial Unicode MS" w:cs="PT Astra Serif"/>
          <w:kern w:val="2"/>
          <w:sz w:val="20"/>
          <w:szCs w:val="20"/>
          <w:lang w:eastAsia="ar-SA"/>
        </w:rPr>
      </w:pPr>
      <w:r>
        <w:rPr>
          <w:rFonts w:eastAsia="Arial Unicode MS" w:cs="PT Astra Serif" w:ascii="PT Astra Serif" w:hAnsi="PT Astra Serif"/>
          <w:kern w:val="2"/>
          <w:sz w:val="20"/>
          <w:szCs w:val="20"/>
          <w:lang w:eastAsia="ar-SA"/>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Style31"/>
        <w:bidi w:val="0"/>
        <w:jc w:val="both"/>
        <w:rPr/>
      </w:pPr>
      <w:r>
        <w:rPr>
          <w:rFonts w:cs="PT Astra Serif" w:ascii="PT Astra Serif" w:hAnsi="PT Astra Serif"/>
          <w:sz w:val="20"/>
          <w:szCs w:val="20"/>
        </w:rPr>
        <w:t>2.3. Оплата «Государственным заказчиком» фактически оказанных услуг «Исполнителем» осуществляется на основании счета, счет-фактуры (при наличии), выставленных «Исполнителем»                          с приложением подписанного «Государственным заказчиком»  акта оказанных услуг.</w:t>
      </w:r>
    </w:p>
    <w:p>
      <w:pPr>
        <w:pStyle w:val="Style31"/>
        <w:bidi w:val="0"/>
        <w:jc w:val="both"/>
        <w:rPr/>
      </w:pPr>
      <w:r>
        <w:rPr>
          <w:rFonts w:cs="PT Astra Serif" w:ascii="PT Astra Serif" w:hAnsi="PT Astra Serif"/>
          <w:sz w:val="20"/>
          <w:szCs w:val="20"/>
        </w:rPr>
        <w:t>2.4. Срок оплаты «Государственным заказчиком» оказанных услуг должен составлять не более 10 (десять) рабочих дней с даты подписания «Государственным заказчиком» документа о приемке (акта оказанных услуг).</w:t>
      </w:r>
    </w:p>
    <w:p>
      <w:pPr>
        <w:pStyle w:val="Style31"/>
        <w:bidi w:val="0"/>
        <w:jc w:val="both"/>
        <w:rPr/>
      </w:pPr>
      <w:r>
        <w:rPr>
          <w:rFonts w:cs="PT Astra Serif" w:ascii="PT Astra Serif" w:hAnsi="PT Astra Serif"/>
          <w:sz w:val="20"/>
          <w:szCs w:val="20"/>
        </w:rPr>
        <w:t>2.5. Оплата по Контракту осуществляется по безналичному расчету путем перечисления «Государственным заказчиком» денежных средств на расчетный счет «Исполнителя», указанный                          в Контракте. Сумма, подлежащая выплате «Исполнителю» за оказанные услуги определяется                                 в соответствии с настоящим Контрактом.</w:t>
      </w:r>
    </w:p>
    <w:p>
      <w:pPr>
        <w:pStyle w:val="Normal"/>
        <w:tabs>
          <w:tab w:val="clear" w:pos="708"/>
          <w:tab w:val="left" w:pos="-284" w:leader="none"/>
        </w:tabs>
        <w:spacing w:lineRule="auto" w:line="276"/>
        <w:ind w:end="-2" w:hanging="0"/>
        <w:jc w:val="both"/>
        <w:rPr>
          <w:rFonts w:ascii="PT Astra Serif" w:hAnsi="PT Astra Serif" w:cs="PT Astra Serif"/>
        </w:rPr>
      </w:pPr>
      <w:r>
        <w:rPr>
          <w:rFonts w:cs="PT Astra Serif" w:ascii="PT Astra Serif" w:hAnsi="PT Astra Serif"/>
        </w:rPr>
        <w:t>2.6. Цена государственного контракта должна включать в себя все затраты, связанные  с оказанием услуг в полном объеме, страхование, уплату налогов, сборов, пошлин и другие обязательные платежи, расходы Исполнителя, необходимые для надлежащего выполнения обязательств по государственному контракту.</w:t>
      </w:r>
    </w:p>
    <w:p>
      <w:pPr>
        <w:pStyle w:val="Normal"/>
        <w:tabs>
          <w:tab w:val="clear" w:pos="708"/>
          <w:tab w:val="left" w:pos="-284" w:leader="none"/>
        </w:tabs>
        <w:spacing w:lineRule="auto" w:line="276"/>
        <w:ind w:end="-2" w:hanging="0"/>
        <w:jc w:val="both"/>
        <w:rPr>
          <w:rFonts w:ascii="PT Astra Serif" w:hAnsi="PT Astra Serif" w:cs="PT Astra Serif"/>
        </w:rPr>
      </w:pPr>
      <w:r>
        <w:rPr>
          <w:rFonts w:cs="PT Astra Serif" w:ascii="PT Astra Serif" w:hAnsi="PT Astra Serif"/>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3. ПРАВА И ОБЯЗАННОСТИ СТОРОН</w:t>
      </w:r>
    </w:p>
    <w:p>
      <w:pPr>
        <w:pStyle w:val="Style31"/>
        <w:bidi w:val="0"/>
        <w:jc w:val="both"/>
        <w:rPr>
          <w:rFonts w:ascii="PT Astra Serif" w:hAnsi="PT Astra Serif" w:cs="PT Astra Serif"/>
          <w:sz w:val="20"/>
          <w:szCs w:val="20"/>
        </w:rPr>
      </w:pPr>
      <w:r>
        <w:rPr>
          <w:rFonts w:cs="PT Astra Serif" w:ascii="PT Astra Serif" w:hAnsi="PT Astra Serif"/>
          <w:sz w:val="20"/>
          <w:szCs w:val="20"/>
        </w:rPr>
        <w:t>3.1. «Государственный заказчик» обязан:</w:t>
      </w:r>
    </w:p>
    <w:p>
      <w:pPr>
        <w:pStyle w:val="Style31"/>
        <w:bidi w:val="0"/>
        <w:jc w:val="both"/>
        <w:rPr>
          <w:rFonts w:ascii="PT Astra Serif" w:hAnsi="PT Astra Serif" w:cs="PT Astra Serif"/>
          <w:sz w:val="20"/>
          <w:szCs w:val="20"/>
        </w:rPr>
      </w:pPr>
      <w:r>
        <w:rPr>
          <w:rFonts w:cs="PT Astra Serif" w:ascii="PT Astra Serif" w:hAnsi="PT Astra Serif"/>
          <w:sz w:val="20"/>
          <w:szCs w:val="20"/>
        </w:rPr>
        <w:t>3.1.1  принять оказанные «Исполнителем» услуги по акту оказанных услуг. При наличии претензий к оказанным «Исполнителем»  услугам «Государственный заказчик» указывает об этом в акте оказанных услуг. Акт оказанных услуг подписывается Сторонами;</w:t>
      </w:r>
    </w:p>
    <w:p>
      <w:pPr>
        <w:pStyle w:val="Style31"/>
        <w:bidi w:val="0"/>
        <w:jc w:val="both"/>
        <w:rPr>
          <w:rFonts w:ascii="PT Astra Serif" w:hAnsi="PT Astra Serif" w:cs="PT Astra Serif"/>
          <w:sz w:val="20"/>
          <w:szCs w:val="20"/>
        </w:rPr>
      </w:pPr>
      <w:r>
        <w:rPr>
          <w:rFonts w:cs="PT Astra Serif" w:ascii="PT Astra Serif" w:hAnsi="PT Astra Serif"/>
          <w:sz w:val="20"/>
          <w:szCs w:val="20"/>
        </w:rPr>
        <w:t>3.1.2. оплатить «Исполнителю» стоимость оказанных услуг в сроки и в порядке, предусмотренные разделом 2 настоящего Контракта.</w:t>
      </w:r>
    </w:p>
    <w:p>
      <w:pPr>
        <w:pStyle w:val="Style31"/>
        <w:bidi w:val="0"/>
        <w:jc w:val="both"/>
        <w:rPr>
          <w:rFonts w:ascii="PT Astra Serif" w:hAnsi="PT Astra Serif" w:cs="PT Astra Serif"/>
          <w:sz w:val="20"/>
          <w:szCs w:val="20"/>
        </w:rPr>
      </w:pPr>
      <w:r>
        <w:rPr>
          <w:rFonts w:cs="PT Astra Serif" w:ascii="PT Astra Serif" w:hAnsi="PT Astra Serif"/>
          <w:sz w:val="20"/>
          <w:szCs w:val="20"/>
        </w:rPr>
        <w:t>3.2. «Исполнитель» обязан:</w:t>
      </w:r>
    </w:p>
    <w:p>
      <w:pPr>
        <w:pStyle w:val="Style31"/>
        <w:bidi w:val="0"/>
        <w:jc w:val="both"/>
        <w:rPr>
          <w:rFonts w:ascii="PT Astra Serif" w:hAnsi="PT Astra Serif" w:cs="PT Astra Serif"/>
          <w:sz w:val="20"/>
          <w:szCs w:val="20"/>
        </w:rPr>
      </w:pPr>
      <w:r>
        <w:rPr>
          <w:rFonts w:cs="PT Astra Serif" w:ascii="PT Astra Serif" w:hAnsi="PT Astra Serif"/>
          <w:sz w:val="20"/>
          <w:szCs w:val="20"/>
        </w:rPr>
        <w:t>3.2.1. оказать услуги «Государственному заказчику», на условиях и в сроки указанные в настоящем Контракте, в строгом соответствии с технологиями, предусмотренными для оказания данного вида услуг, с надлежащим качеством с использованием персонала соответствующей квалификации;</w:t>
      </w:r>
    </w:p>
    <w:p>
      <w:pPr>
        <w:pStyle w:val="Style31"/>
        <w:bidi w:val="0"/>
        <w:jc w:val="both"/>
        <w:rPr>
          <w:rFonts w:ascii="PT Astra Serif" w:hAnsi="PT Astra Serif" w:cs="PT Astra Serif"/>
          <w:sz w:val="20"/>
          <w:szCs w:val="20"/>
        </w:rPr>
      </w:pPr>
      <w:r>
        <w:rPr>
          <w:rFonts w:cs="PT Astra Serif" w:ascii="PT Astra Serif" w:hAnsi="PT Astra Serif"/>
          <w:sz w:val="20"/>
          <w:szCs w:val="20"/>
        </w:rPr>
        <w:t>3.2.2. по окончании оказания услуг сдать результат «Государственному заказчику» по акту оказанных услуг.</w:t>
      </w:r>
    </w:p>
    <w:p>
      <w:pPr>
        <w:pStyle w:val="Style31"/>
        <w:bidi w:val="0"/>
        <w:jc w:val="both"/>
        <w:rPr>
          <w:rFonts w:ascii="PT Astra Serif" w:hAnsi="PT Astra Serif" w:cs="PT Astra Serif"/>
          <w:sz w:val="20"/>
          <w:szCs w:val="20"/>
        </w:rPr>
      </w:pPr>
      <w:r>
        <w:rPr>
          <w:rFonts w:cs="PT Astra Serif" w:ascii="PT Astra Serif" w:hAnsi="PT Astra Serif"/>
          <w:sz w:val="20"/>
          <w:szCs w:val="20"/>
        </w:rPr>
        <w:t>3.3. «Государственный заказчик» вправе:</w:t>
      </w:r>
    </w:p>
    <w:p>
      <w:pPr>
        <w:pStyle w:val="Style31"/>
        <w:bidi w:val="0"/>
        <w:jc w:val="both"/>
        <w:rPr>
          <w:rFonts w:ascii="PT Astra Serif" w:hAnsi="PT Astra Serif" w:cs="PT Astra Serif"/>
          <w:sz w:val="20"/>
          <w:szCs w:val="20"/>
        </w:rPr>
      </w:pPr>
      <w:r>
        <w:rPr>
          <w:rFonts w:cs="PT Astra Serif" w:ascii="PT Astra Serif" w:hAnsi="PT Astra Serif"/>
          <w:sz w:val="20"/>
          <w:szCs w:val="20"/>
        </w:rPr>
        <w:t>3.3.1. в любой момент проверять процесс оказания услуг «Исполнителем», не вмешиваясь в его деятельность;</w:t>
      </w:r>
    </w:p>
    <w:p>
      <w:pPr>
        <w:pStyle w:val="Style31"/>
        <w:bidi w:val="0"/>
        <w:jc w:val="both"/>
        <w:rPr>
          <w:rFonts w:ascii="PT Astra Serif" w:hAnsi="PT Astra Serif" w:cs="PT Astra Serif"/>
          <w:sz w:val="20"/>
          <w:szCs w:val="20"/>
        </w:rPr>
      </w:pPr>
      <w:r>
        <w:rPr>
          <w:rFonts w:cs="PT Astra Serif" w:ascii="PT Astra Serif" w:hAnsi="PT Astra Serif"/>
          <w:sz w:val="20"/>
          <w:szCs w:val="20"/>
        </w:rPr>
        <w:t>3.3.2. предъявить требования «Исполнителю», связанные с недостатками оказанных услуг.</w:t>
      </w:r>
    </w:p>
    <w:p>
      <w:pPr>
        <w:pStyle w:val="Style31"/>
        <w:bidi w:val="0"/>
        <w:jc w:val="both"/>
        <w:rPr>
          <w:rFonts w:ascii="PT Astra Serif" w:hAnsi="PT Astra Serif" w:cs="PT Astra Serif"/>
          <w:sz w:val="20"/>
          <w:szCs w:val="20"/>
        </w:rPr>
      </w:pPr>
      <w:r>
        <w:rPr>
          <w:rFonts w:cs="PT Astra Serif" w:ascii="PT Astra Serif" w:hAnsi="PT Astra Serif"/>
          <w:sz w:val="20"/>
          <w:szCs w:val="20"/>
        </w:rPr>
        <w:t>3.4. «Исполнитель» вправе:</w:t>
      </w:r>
    </w:p>
    <w:p>
      <w:pPr>
        <w:pStyle w:val="Style31"/>
        <w:bidi w:val="0"/>
        <w:jc w:val="both"/>
        <w:rPr>
          <w:rFonts w:ascii="PT Astra Serif" w:hAnsi="PT Astra Serif" w:cs="PT Astra Serif"/>
          <w:sz w:val="20"/>
          <w:szCs w:val="20"/>
        </w:rPr>
      </w:pPr>
      <w:r>
        <w:rPr>
          <w:rFonts w:cs="PT Astra Serif" w:ascii="PT Astra Serif" w:hAnsi="PT Astra Serif"/>
          <w:sz w:val="20"/>
          <w:szCs w:val="20"/>
        </w:rPr>
        <w:t>3.4.1. требовать от «Государственного заказчика»  исполнения обязательств по настоящему Контракту.</w:t>
      </w:r>
    </w:p>
    <w:p>
      <w:pPr>
        <w:pStyle w:val="Style31"/>
        <w:bidi w:val="0"/>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4. ИСПОЛНЕНИЕ КОНТРАКТА, ЭТАПЫ ИСПОЛНЕНИЯ КОНТРАКТА</w:t>
      </w:r>
    </w:p>
    <w:p>
      <w:pPr>
        <w:pStyle w:val="Style31"/>
        <w:bidi w:val="0"/>
        <w:jc w:val="both"/>
        <w:rPr>
          <w:rFonts w:ascii="PT Astra Serif" w:hAnsi="PT Astra Serif" w:cs="PT Astra Serif"/>
          <w:sz w:val="20"/>
          <w:szCs w:val="20"/>
        </w:rPr>
      </w:pPr>
      <w:r>
        <w:rPr>
          <w:rStyle w:val="Blk"/>
          <w:rFonts w:cs="PT Astra Serif" w:ascii="PT Astra Serif" w:hAnsi="PT Astra Serif"/>
          <w:sz w:val="20"/>
          <w:szCs w:val="20"/>
        </w:rPr>
        <w:t>4.1.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«Исполнителем» в соответствии с гражданским законодательством и Федеральным законом от 05.04.2013 №44-ФЗ, в том числе:</w:t>
      </w:r>
    </w:p>
    <w:p>
      <w:pPr>
        <w:pStyle w:val="Style31"/>
        <w:bidi w:val="0"/>
        <w:jc w:val="both"/>
        <w:rPr>
          <w:rFonts w:ascii="PT Astra Serif" w:hAnsi="PT Astra Serif" w:cs="PT Astra Serif"/>
          <w:sz w:val="20"/>
          <w:szCs w:val="20"/>
        </w:rPr>
      </w:pPr>
      <w:bookmarkStart w:id="0" w:name="dst101292"/>
      <w:bookmarkEnd w:id="0"/>
      <w:r>
        <w:rPr>
          <w:rStyle w:val="Blk"/>
          <w:rFonts w:cs="PT Astra Serif" w:ascii="PT Astra Serif" w:hAnsi="PT Astra Serif"/>
          <w:sz w:val="20"/>
          <w:szCs w:val="20"/>
        </w:rPr>
        <w:t>1) приемку оказанных услуг, а также отдельных этапов оказания услуг (далее - отдельный этап исполнения контракта), предусмотренных Контрактом, включая проведение экспертизы оказанных услуг, а также отдельных этапов исполнения контракта;</w:t>
      </w:r>
    </w:p>
    <w:p>
      <w:pPr>
        <w:pStyle w:val="Style31"/>
        <w:bidi w:val="0"/>
        <w:jc w:val="both"/>
        <w:rPr>
          <w:rFonts w:ascii="PT Astra Serif" w:hAnsi="PT Astra Serif" w:cs="PT Astra Serif"/>
          <w:sz w:val="20"/>
          <w:szCs w:val="20"/>
        </w:rPr>
      </w:pPr>
      <w:bookmarkStart w:id="1" w:name="dst101293"/>
      <w:bookmarkEnd w:id="1"/>
      <w:r>
        <w:rPr>
          <w:rStyle w:val="Blk"/>
          <w:rFonts w:cs="PT Astra Serif" w:ascii="PT Astra Serif" w:hAnsi="PT Astra Serif"/>
          <w:sz w:val="20"/>
          <w:szCs w:val="20"/>
        </w:rPr>
        <w:t>2) оплату «Государственным заказчиком» оказанных услуг, а также отдельных этапов исполнения Контракта;</w:t>
      </w:r>
    </w:p>
    <w:p>
      <w:pPr>
        <w:pStyle w:val="Style31"/>
        <w:bidi w:val="0"/>
        <w:jc w:val="both"/>
        <w:rPr/>
      </w:pPr>
      <w:bookmarkStart w:id="2" w:name="dst101294"/>
      <w:bookmarkEnd w:id="2"/>
      <w:r>
        <w:rPr>
          <w:rStyle w:val="Blk"/>
          <w:rFonts w:cs="PT Astra Serif" w:ascii="PT Astra Serif" w:hAnsi="PT Astra Serif"/>
          <w:sz w:val="20"/>
          <w:szCs w:val="20"/>
        </w:rPr>
        <w:t>3) взаимодействие «Государственного заказчика» с «Исполнителем» при изменении, расторжении контракта в соответствии со ст.95 Федерального закона от 05.04.2013 №44-ФЗ, применении мер ответственности и совершении иных действий в случае нарушения «Исполнителем» или «Государственным заказчиком» условий Контракта.</w:t>
      </w:r>
    </w:p>
    <w:p>
      <w:pPr>
        <w:pStyle w:val="Style31"/>
        <w:bidi w:val="0"/>
        <w:jc w:val="both"/>
        <w:rPr>
          <w:rFonts w:ascii="PT Astra Serif" w:hAnsi="PT Astra Serif" w:cs="PT Astra Serif"/>
          <w:sz w:val="20"/>
          <w:szCs w:val="20"/>
        </w:rPr>
      </w:pPr>
      <w:r>
        <w:rPr>
          <w:rFonts w:cs="PT Astra Serif" w:ascii="PT Astra Serif" w:hAnsi="PT Astra Serif"/>
          <w:sz w:val="20"/>
          <w:szCs w:val="20"/>
        </w:rPr>
        <w:t xml:space="preserve">4.2. Этап исполнения Контракта соотносить со сроком оказания услуг и оплаты услуг,  предусмотренные Контрактом. </w:t>
      </w:r>
      <w:r>
        <w:rPr>
          <w:rFonts w:cs="PT Astra Serif" w:ascii="PT Astra Serif" w:hAnsi="PT Astra Serif"/>
          <w:i/>
          <w:sz w:val="20"/>
          <w:szCs w:val="20"/>
        </w:rPr>
        <w:t xml:space="preserve"> </w:t>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5. ПОРЯДОК И СРОКИ ПРИЕМКИ ОКАЗАННОЙ УСЛУГИ</w:t>
      </w:r>
    </w:p>
    <w:p>
      <w:pPr>
        <w:pStyle w:val="Style31"/>
        <w:bidi w:val="0"/>
        <w:jc w:val="both"/>
        <w:rPr/>
      </w:pPr>
      <w:r>
        <w:rPr>
          <w:rFonts w:cs="PT Astra Serif" w:ascii="PT Astra Serif" w:hAnsi="PT Astra Serif"/>
          <w:sz w:val="20"/>
          <w:szCs w:val="20"/>
        </w:rPr>
        <w:t xml:space="preserve">5.1. «Государственный заказчик» принимает оказанные услуги в течение 5 (пяти) рабочих дней. </w:t>
      </w:r>
      <w:r>
        <w:rPr>
          <w:rFonts w:cs="PT Astra Serif" w:ascii="PT Astra Serif" w:hAnsi="PT Astra Serif"/>
          <w:spacing w:val="-1"/>
          <w:sz w:val="20"/>
          <w:szCs w:val="20"/>
        </w:rPr>
        <w:t xml:space="preserve">Приемка оказанных услуг, их качественное и количественное соответствие условиям контракта и отсутствие претензий к результатам </w:t>
      </w:r>
      <w:r>
        <w:rPr>
          <w:rFonts w:cs="PT Astra Serif" w:ascii="PT Astra Serif" w:hAnsi="PT Astra Serif"/>
          <w:sz w:val="20"/>
          <w:szCs w:val="20"/>
        </w:rPr>
        <w:t>работ подтверждается подписанием акта приемки оказанных услуг представителями сторон.</w:t>
      </w:r>
    </w:p>
    <w:p>
      <w:pPr>
        <w:pStyle w:val="Style31"/>
        <w:bidi w:val="0"/>
        <w:jc w:val="both"/>
        <w:rPr>
          <w:rFonts w:ascii="PT Astra Serif" w:hAnsi="PT Astra Serif" w:cs="PT Astra Serif"/>
          <w:sz w:val="20"/>
          <w:szCs w:val="20"/>
        </w:rPr>
      </w:pPr>
      <w:r>
        <w:rPr>
          <w:rFonts w:cs="PT Astra Serif" w:ascii="PT Astra Serif" w:hAnsi="PT Astra Serif"/>
          <w:sz w:val="20"/>
          <w:szCs w:val="20"/>
        </w:rPr>
        <w:t>5.2. По завершении оказания услуг «Исполнитель» представляет «Государственному заказчику» акт приемки оказанных услуг и счет, и счет-фактуру (при наличии).</w:t>
      </w:r>
    </w:p>
    <w:p>
      <w:pPr>
        <w:pStyle w:val="Style31"/>
        <w:bidi w:val="0"/>
        <w:jc w:val="both"/>
        <w:rPr>
          <w:rFonts w:ascii="PT Astra Serif" w:hAnsi="PT Astra Serif" w:cs="PT Astra Serif"/>
          <w:sz w:val="20"/>
          <w:szCs w:val="20"/>
        </w:rPr>
      </w:pPr>
      <w:r>
        <w:rPr>
          <w:rFonts w:cs="PT Astra Serif" w:ascii="PT Astra Serif" w:hAnsi="PT Astra Serif"/>
          <w:sz w:val="20"/>
          <w:szCs w:val="20"/>
        </w:rPr>
        <w:t>5.3. Оказанные услуги, не соответствующие требованиям, предусмотренным Контрактом, приемке не подлежат. При этом «Государственный заказчик» составляет мотивированный отказ от приемки оказанных услуг, который направляет «Исполнителю» в течение 5 (пяти) рабочих дней с момента выявления несоответствия оказанных услуг требованиям законодательства и условиям Контракта. В случае несоответствия качества, объема оказанных услуг условиям контракта Стороны составляют двусторонний акт, содержащий перечень необходимых доработок. На основании этого акта «Исполнитель» в течение трех рабочих дней обязан устранить все несоответствия без дополнительной оплаты.</w:t>
      </w:r>
    </w:p>
    <w:p>
      <w:pPr>
        <w:pStyle w:val="Style31"/>
        <w:bidi w:val="0"/>
        <w:jc w:val="both"/>
        <w:rPr>
          <w:rFonts w:ascii="PT Astra Serif" w:hAnsi="PT Astra Serif" w:cs="PT Astra Serif"/>
          <w:sz w:val="20"/>
          <w:szCs w:val="20"/>
        </w:rPr>
      </w:pPr>
      <w:r>
        <w:rPr>
          <w:rFonts w:cs="PT Astra Serif" w:ascii="PT Astra Serif" w:hAnsi="PT Astra Serif"/>
          <w:sz w:val="20"/>
          <w:szCs w:val="20"/>
        </w:rPr>
        <w:t>5.4. Если в оказанных услугах будут выявлены недостатки, «Государственный заказчик» вправе потребовать от «Исполнителя»:</w:t>
      </w:r>
    </w:p>
    <w:p>
      <w:pPr>
        <w:pStyle w:val="Style31"/>
        <w:bidi w:val="0"/>
        <w:jc w:val="both"/>
        <w:rPr>
          <w:rFonts w:ascii="PT Astra Serif" w:hAnsi="PT Astra Serif" w:cs="PT Astra Serif"/>
          <w:sz w:val="20"/>
          <w:szCs w:val="20"/>
        </w:rPr>
      </w:pPr>
      <w:r>
        <w:rPr>
          <w:rFonts w:cs="PT Astra Serif" w:ascii="PT Astra Serif" w:hAnsi="PT Astra Serif"/>
          <w:sz w:val="20"/>
          <w:szCs w:val="20"/>
        </w:rPr>
        <w:t>- безвозмездно устранить их в срок не более трех рабочих дней;</w:t>
      </w:r>
    </w:p>
    <w:p>
      <w:pPr>
        <w:pStyle w:val="Style31"/>
        <w:bidi w:val="0"/>
        <w:jc w:val="both"/>
        <w:rPr>
          <w:rFonts w:ascii="PT Astra Serif" w:hAnsi="PT Astra Serif" w:cs="PT Astra Serif"/>
          <w:sz w:val="20"/>
          <w:szCs w:val="20"/>
        </w:rPr>
      </w:pPr>
      <w:r>
        <w:rPr>
          <w:rFonts w:cs="PT Astra Serif" w:ascii="PT Astra Serif" w:hAnsi="PT Astra Serif"/>
          <w:sz w:val="20"/>
          <w:szCs w:val="20"/>
        </w:rPr>
        <w:t>- возместить расходы «Государственного заказчика», связанные с устранением недостатков его силами или силами третьих лиц.</w:t>
      </w:r>
    </w:p>
    <w:p>
      <w:pPr>
        <w:pStyle w:val="Style31"/>
        <w:bidi w:val="0"/>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6. ПОРЯДОК И СРОКИ ОФОРМЛЕНИЯ РЕЗУЛЬТАТОВ ПРИЕМКИ ОКАЗАННЫХ УСЛУГ</w:t>
      </w:r>
    </w:p>
    <w:p>
      <w:pPr>
        <w:pStyle w:val="Style31"/>
        <w:bidi w:val="0"/>
        <w:jc w:val="both"/>
        <w:rPr/>
      </w:pPr>
      <w:r>
        <w:rPr>
          <w:rFonts w:cs="PT Astra Serif" w:ascii="PT Astra Serif" w:hAnsi="PT Astra Serif"/>
          <w:sz w:val="20"/>
          <w:szCs w:val="20"/>
        </w:rPr>
        <w:t xml:space="preserve">6.1.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4">
        <w:r>
          <w:rPr>
            <w:rFonts w:cs="PT Astra Serif" w:ascii="PT Astra Serif" w:hAnsi="PT Astra Serif"/>
            <w:sz w:val="20"/>
            <w:szCs w:val="20"/>
          </w:rPr>
          <w:t>эксперты</w:t>
        </w:r>
      </w:hyperlink>
      <w:r>
        <w:rPr>
          <w:rFonts w:cs="PT Astra Serif" w:ascii="PT Astra Serif" w:hAnsi="PT Astra Serif"/>
          <w:sz w:val="20"/>
          <w:szCs w:val="20"/>
        </w:rPr>
        <w:t>, экспертные организации на основании контрактов, заключенных в соответствии  с настоящим Федеральным законом.</w:t>
      </w:r>
    </w:p>
    <w:p>
      <w:pPr>
        <w:pStyle w:val="Style31"/>
        <w:bidi w:val="0"/>
        <w:jc w:val="both"/>
        <w:rPr/>
      </w:pPr>
      <w:r>
        <w:rPr>
          <w:rFonts w:cs="PT Astra Serif" w:ascii="PT Astra Serif" w:hAnsi="PT Astra Serif"/>
          <w:sz w:val="20"/>
          <w:szCs w:val="20"/>
        </w:rPr>
        <w:t>6.2. Для проведения экспертизы поставленного товара, выполненной работы или оказанной услуги эксперты, экспертные организации имеют право запрашивать у «Государственного заказчика» и «Исполнителя» (подрядчика,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pStyle w:val="Style31"/>
        <w:bidi w:val="0"/>
        <w:jc w:val="both"/>
        <w:rPr/>
      </w:pPr>
      <w:r>
        <w:rPr>
          <w:rFonts w:cs="PT Astra Serif" w:ascii="PT Astra Serif" w:hAnsi="PT Astra Serif"/>
          <w:sz w:val="20"/>
          <w:szCs w:val="20"/>
        </w:rPr>
        <w:t>6.3. По решению «Государственного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pPr>
        <w:pStyle w:val="Style31"/>
        <w:bidi w:val="0"/>
        <w:jc w:val="both"/>
        <w:rPr/>
      </w:pPr>
      <w:r>
        <w:rPr>
          <w:rFonts w:cs="PT Astra Serif" w:ascii="PT Astra Serif" w:hAnsi="PT Astra Serif"/>
          <w:sz w:val="20"/>
          <w:szCs w:val="20"/>
        </w:rPr>
        <w:t>6.4.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заказчиком), либо «Исполнителю» (подрядчику, поставщику) в те же сроки заказчиком направляется в письменной форме мотивированный отказ от подписания такого документа.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Style31"/>
        <w:bidi w:val="0"/>
        <w:jc w:val="both"/>
        <w:rPr/>
      </w:pPr>
      <w:r>
        <w:rPr>
          <w:rFonts w:cs="PT Astra Serif" w:ascii="PT Astra Serif" w:hAnsi="PT Astra Serif"/>
          <w:sz w:val="20"/>
          <w:szCs w:val="20"/>
        </w:rPr>
        <w:t>6.5. «Государственный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«Исполнителем» (подрядчиком, поставщиком).</w:t>
      </w:r>
    </w:p>
    <w:p>
      <w:pPr>
        <w:pStyle w:val="Style31"/>
        <w:bidi w:val="0"/>
        <w:jc w:val="both"/>
        <w:rPr/>
      </w:pPr>
      <w:r>
        <w:rPr>
          <w:rFonts w:cs="PT Astra Serif" w:ascii="PT Astra Serif" w:hAnsi="PT Astra Serif"/>
          <w:sz w:val="20"/>
          <w:szCs w:val="20"/>
        </w:rPr>
        <w:t xml:space="preserve">6.6. Приемка результатов исполнения контракта, а также оказанных услуг, осуществляется в порядке и в сроки, которые установлены настоящим Контрактом. </w:t>
      </w:r>
    </w:p>
    <w:p>
      <w:pPr>
        <w:pStyle w:val="Style31"/>
        <w:bidi w:val="0"/>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7. ИМУЩЕСТВЕННАЯ ОТВЕТСТВЕННОСТЬ</w:t>
      </w:r>
    </w:p>
    <w:p>
      <w:pPr>
        <w:pStyle w:val="Style31"/>
        <w:bidi w:val="0"/>
        <w:jc w:val="both"/>
        <w:rPr>
          <w:rFonts w:ascii="PT Astra Serif" w:hAnsi="PT Astra Serif" w:cs="PT Astra Serif"/>
          <w:sz w:val="20"/>
          <w:szCs w:val="20"/>
        </w:rPr>
      </w:pPr>
      <w:r>
        <w:rPr>
          <w:rFonts w:cs="PT Astra Serif" w:ascii="PT Astra Serif" w:hAnsi="PT Astra Serif"/>
          <w:sz w:val="20"/>
          <w:szCs w:val="20"/>
        </w:rPr>
        <w:t>7.1.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Российской Федерации.</w:t>
      </w:r>
    </w:p>
    <w:p>
      <w:pPr>
        <w:pStyle w:val="Style31"/>
        <w:bidi w:val="0"/>
        <w:jc w:val="both"/>
        <w:rPr>
          <w:rFonts w:ascii="PT Astra Serif" w:hAnsi="PT Astra Serif" w:cs="PT Astra Serif"/>
          <w:sz w:val="20"/>
          <w:szCs w:val="20"/>
        </w:rPr>
      </w:pPr>
      <w:r>
        <w:rPr>
          <w:rFonts w:cs="PT Astra Serif" w:ascii="PT Astra Serif" w:hAnsi="PT Astra Serif"/>
          <w:sz w:val="20"/>
          <w:szCs w:val="20"/>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Style31"/>
        <w:bidi w:val="0"/>
        <w:jc w:val="both"/>
        <w:rPr/>
      </w:pPr>
      <w:r>
        <w:rPr>
          <w:rFonts w:cs="PT Astra Serif" w:ascii="PT Astra Serif" w:hAnsi="PT Astra Serif"/>
          <w:sz w:val="20"/>
          <w:szCs w:val="20"/>
        </w:rPr>
        <w:t>7.3. В случае просрочки исполнения Исполнителем (подрядчиком,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(подрядчиком, поставщиком) обязательств, предусмотренных контрактом, Государственный заказчик направляет Исполнителю (подрядчику, поставщику) требование об уплате неустоек (штрафов, пеней). 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pPr>
        <w:pStyle w:val="Style31"/>
        <w:bidi w:val="0"/>
        <w:jc w:val="both"/>
        <w:rPr/>
      </w:pPr>
      <w:r>
        <w:rPr>
          <w:rFonts w:cs="PT Astra Serif" w:ascii="PT Astra Serif" w:hAnsi="PT Astra Serif"/>
          <w:sz w:val="20"/>
          <w:szCs w:val="20"/>
        </w:rPr>
        <w:t xml:space="preserve">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
        <w:r>
          <w:rPr>
            <w:rFonts w:cs="PT Astra Serif" w:ascii="PT Astra Serif" w:hAnsi="PT Astra Serif"/>
            <w:sz w:val="20"/>
            <w:szCs w:val="20"/>
          </w:rPr>
          <w:t>порядке</w:t>
        </w:r>
      </w:hyperlink>
      <w:r>
        <w:rPr>
          <w:rFonts w:cs="PT Astra Serif" w:ascii="PT Astra Serif" w:hAnsi="PT Astra Serif"/>
          <w:sz w:val="20"/>
          <w:szCs w:val="20"/>
        </w:rPr>
        <w:t>, установленном Правительством Российской Федерации.</w:t>
      </w:r>
    </w:p>
    <w:p>
      <w:pPr>
        <w:pStyle w:val="Style31"/>
        <w:bidi w:val="0"/>
        <w:jc w:val="both"/>
        <w:rPr>
          <w:rFonts w:ascii="PT Astra Serif" w:hAnsi="PT Astra Serif" w:cs="PT Astra Serif"/>
          <w:sz w:val="20"/>
          <w:szCs w:val="20"/>
        </w:rPr>
      </w:pPr>
      <w:r>
        <w:rPr>
          <w:rFonts w:cs="PT Astra Serif" w:ascii="PT Astra Serif" w:hAnsi="PT Astra Serif"/>
          <w:sz w:val="20"/>
          <w:szCs w:val="20"/>
        </w:rPr>
        <w:t xml:space="preserve">7.5. Штрафы начисляются за неисполнение или ненадлежащее исполнение Исполнителем (подрядчиком, поставщиком) обязательств, предусмотренных контрактом, за исключением просрочки исполнения Исполнителем (подрядчиком, поставщиком) обязательств (в том числе гарантийного обязательства), предусмотренных контрактом. </w:t>
      </w:r>
    </w:p>
    <w:p>
      <w:pPr>
        <w:pStyle w:val="Style31"/>
        <w:bidi w:val="0"/>
        <w:jc w:val="both"/>
        <w:rPr/>
      </w:pPr>
      <w:r>
        <w:rPr>
          <w:rFonts w:cs="PT Astra Serif" w:ascii="PT Astra Serif" w:hAnsi="PT Astra Serif"/>
          <w:sz w:val="20"/>
          <w:szCs w:val="20"/>
        </w:rPr>
        <w:t xml:space="preserve">7.6. Размер штрафа устанавливается контрактом в соответствии с </w:t>
      </w:r>
      <w:hyperlink r:id="rId6">
        <w:r>
          <w:rPr>
            <w:rFonts w:cs="PT Astra Serif" w:ascii="PT Astra Serif" w:hAnsi="PT Astra Serif"/>
            <w:sz w:val="20"/>
            <w:szCs w:val="20"/>
          </w:rPr>
          <w:t>пунктами 3</w:t>
        </w:r>
      </w:hyperlink>
      <w:r>
        <w:rPr>
          <w:rFonts w:cs="PT Astra Serif" w:ascii="PT Astra Serif" w:hAnsi="PT Astra Serif"/>
          <w:sz w:val="20"/>
          <w:szCs w:val="20"/>
        </w:rPr>
        <w:t xml:space="preserve"> - </w:t>
      </w:r>
      <w:hyperlink r:id="rId7">
        <w:r>
          <w:rPr>
            <w:rFonts w:cs="PT Astra Serif" w:ascii="PT Astra Serif" w:hAnsi="PT Astra Serif"/>
            <w:sz w:val="20"/>
            <w:szCs w:val="20"/>
          </w:rPr>
          <w:t>9</w:t>
        </w:r>
      </w:hyperlink>
      <w:r>
        <w:rPr>
          <w:rFonts w:cs="PT Astra Serif" w:ascii="PT Astra Serif" w:hAnsi="PT Astra Serif"/>
          <w:sz w:val="20"/>
          <w:szCs w:val="20"/>
        </w:rPr>
        <w:t xml:space="preserve"> настоящих Правил, за исключением случая, предусмотренного </w:t>
      </w:r>
      <w:hyperlink r:id="rId8">
        <w:r>
          <w:rPr>
            <w:rFonts w:cs="PT Astra Serif" w:ascii="PT Astra Serif" w:hAnsi="PT Astra Serif"/>
            <w:sz w:val="20"/>
            <w:szCs w:val="20"/>
          </w:rPr>
          <w:t>пунктом 13</w:t>
        </w:r>
      </w:hyperlink>
      <w:r>
        <w:rPr>
          <w:rFonts w:cs="PT Astra Serif" w:ascii="PT Astra Serif" w:hAnsi="PT Astra Serif"/>
          <w:sz w:val="20"/>
          <w:szCs w:val="20"/>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pPr>
        <w:pStyle w:val="Style31"/>
        <w:bidi w:val="0"/>
        <w:jc w:val="both"/>
        <w:rPr/>
      </w:pPr>
      <w:r>
        <w:rPr>
          <w:rFonts w:cs="PT Astra Serif" w:ascii="PT Astra Serif" w:hAnsi="PT Astra Serif"/>
          <w:sz w:val="20"/>
          <w:szCs w:val="20"/>
        </w:rPr>
        <w:t>7.7.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w:t>
      </w:r>
    </w:p>
    <w:p>
      <w:pPr>
        <w:pStyle w:val="Style31"/>
        <w:bidi w:val="0"/>
        <w:jc w:val="both"/>
        <w:rPr/>
      </w:pPr>
      <w:r>
        <w:rPr>
          <w:rFonts w:cs="PT Astra Serif" w:ascii="PT Astra Serif" w:hAnsi="PT Astra Serif"/>
          <w:sz w:val="20"/>
          <w:szCs w:val="20"/>
        </w:rPr>
        <w:t xml:space="preserve">устанавливается в следующем порядке (за исключением случаев, предусмотренных </w:t>
      </w:r>
      <w:hyperlink r:id="rId9">
        <w:r>
          <w:rPr>
            <w:rFonts w:cs="PT Astra Serif" w:ascii="PT Astra Serif" w:hAnsi="PT Astra Serif"/>
            <w:sz w:val="20"/>
            <w:szCs w:val="20"/>
          </w:rPr>
          <w:t>пунктами  4</w:t>
        </w:r>
      </w:hyperlink>
      <w:r>
        <w:rPr>
          <w:rFonts w:cs="PT Astra Serif" w:ascii="PT Astra Serif" w:hAnsi="PT Astra Serif"/>
          <w:sz w:val="20"/>
          <w:szCs w:val="20"/>
        </w:rPr>
        <w:t xml:space="preserve">  - </w:t>
      </w:r>
      <w:hyperlink r:id="rId10">
        <w:r>
          <w:rPr>
            <w:rFonts w:cs="PT Astra Serif" w:ascii="PT Astra Serif" w:hAnsi="PT Astra Serif"/>
            <w:sz w:val="20"/>
            <w:szCs w:val="20"/>
          </w:rPr>
          <w:t>8</w:t>
        </w:r>
      </w:hyperlink>
      <w:r>
        <w:rPr>
          <w:rFonts w:cs="PT Astra Serif" w:ascii="PT Astra Serif" w:hAnsi="PT Astra Serif"/>
          <w:sz w:val="20"/>
          <w:szCs w:val="20"/>
        </w:rPr>
        <w:t xml:space="preserve"> правил, утвержденных постановлением Правительства РФ </w:t>
      </w:r>
      <w:r>
        <w:rPr>
          <w:rFonts w:cs="PT Astra Serif" w:ascii="PT Astra Serif" w:hAnsi="PT Astra Serif"/>
          <w:bCs/>
          <w:color w:val="22272F"/>
          <w:sz w:val="20"/>
          <w:szCs w:val="20"/>
          <w:shd w:fill="FFFFFF" w:val="clear"/>
        </w:rPr>
        <w:t>от 30 августа 2017 г. N 1042</w:t>
      </w:r>
      <w:r>
        <w:rPr>
          <w:rFonts w:cs="PT Astra Serif" w:ascii="PT Astra Serif" w:hAnsi="PT Astra Serif"/>
          <w:sz w:val="20"/>
          <w:szCs w:val="20"/>
        </w:rPr>
        <w:t xml:space="preserve">) (в ред. </w:t>
      </w:r>
      <w:hyperlink r:id="rId11">
        <w:r>
          <w:rPr>
            <w:rFonts w:cs="PT Astra Serif" w:ascii="PT Astra Serif" w:hAnsi="PT Astra Serif"/>
            <w:sz w:val="20"/>
            <w:szCs w:val="20"/>
          </w:rPr>
          <w:t>Постановления</w:t>
        </w:r>
      </w:hyperlink>
      <w:r>
        <w:rPr>
          <w:rFonts w:cs="PT Astra Serif" w:ascii="PT Astra Serif" w:hAnsi="PT Astra Serif"/>
          <w:sz w:val="20"/>
          <w:szCs w:val="20"/>
        </w:rPr>
        <w:t xml:space="preserve"> Правительства РФ от 02.08.2019 N 1011):</w:t>
      </w:r>
    </w:p>
    <w:p>
      <w:pPr>
        <w:pStyle w:val="Style31"/>
        <w:bidi w:val="0"/>
        <w:jc w:val="both"/>
        <w:rPr>
          <w:rFonts w:ascii="PT Astra Serif" w:hAnsi="PT Astra Serif" w:cs="PT Astra Serif"/>
          <w:sz w:val="20"/>
          <w:szCs w:val="20"/>
        </w:rPr>
      </w:pPr>
      <w:r>
        <w:rPr>
          <w:rFonts w:cs="PT Astra Serif" w:ascii="PT Astra Serif" w:hAnsi="PT Astra Serif"/>
          <w:sz w:val="20"/>
          <w:szCs w:val="20"/>
        </w:rPr>
        <w:t>а) 10 процентов цены контракта (этапа) в случае, если цена контракта (этапа) не превышает 3 млн. рублей.</w:t>
      </w:r>
    </w:p>
    <w:p>
      <w:pPr>
        <w:pStyle w:val="Style31"/>
        <w:bidi w:val="0"/>
        <w:jc w:val="both"/>
        <w:rPr>
          <w:rFonts w:ascii="PT Astra Serif" w:hAnsi="PT Astra Serif" w:cs="PT Astra Serif"/>
          <w:sz w:val="20"/>
          <w:szCs w:val="20"/>
        </w:rPr>
      </w:pPr>
      <w:r>
        <w:rPr>
          <w:rFonts w:cs="PT Astra Serif" w:ascii="PT Astra Serif" w:hAnsi="PT Astra Serif"/>
          <w:sz w:val="20"/>
          <w:szCs w:val="20"/>
        </w:rPr>
        <w:t>7.8. Каждый факт неисполнения или ненадлежащего исполнения Исполнителем (подрядчиком,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Style31"/>
        <w:bidi w:val="0"/>
        <w:jc w:val="both"/>
        <w:rPr/>
      </w:pPr>
      <w:r>
        <w:rPr>
          <w:rFonts w:cs="PT Astra Serif" w:ascii="PT Astra Serif" w:hAnsi="PT Astra Serif"/>
          <w:sz w:val="20"/>
          <w:szCs w:val="20"/>
        </w:rPr>
        <w:t xml:space="preserve">(в ред. </w:t>
      </w:r>
      <w:hyperlink r:id="rId12">
        <w:r>
          <w:rPr>
            <w:rFonts w:cs="PT Astra Serif" w:ascii="PT Astra Serif" w:hAnsi="PT Astra Serif"/>
            <w:sz w:val="20"/>
            <w:szCs w:val="20"/>
          </w:rPr>
          <w:t>Постановления</w:t>
        </w:r>
      </w:hyperlink>
      <w:r>
        <w:rPr>
          <w:rFonts w:cs="PT Astra Serif" w:ascii="PT Astra Serif" w:hAnsi="PT Astra Serif"/>
          <w:sz w:val="20"/>
          <w:szCs w:val="20"/>
        </w:rPr>
        <w:t xml:space="preserve"> Правительства РФ от 02.08.2019 N 1011)</w:t>
      </w:r>
    </w:p>
    <w:p>
      <w:pPr>
        <w:pStyle w:val="Style31"/>
        <w:bidi w:val="0"/>
        <w:jc w:val="both"/>
        <w:rPr>
          <w:rFonts w:ascii="PT Astra Serif" w:hAnsi="PT Astra Serif" w:cs="PT Astra Serif"/>
          <w:sz w:val="20"/>
          <w:szCs w:val="20"/>
        </w:rPr>
      </w:pPr>
      <w:r>
        <w:rPr>
          <w:rFonts w:cs="PT Astra Serif" w:ascii="PT Astra Serif" w:hAnsi="PT Astra Serif"/>
          <w:sz w:val="20"/>
          <w:szCs w:val="20"/>
        </w:rPr>
        <w:t>а) 1000 рублей, если цена контракта не превышает 3 млн. рублей.</w:t>
      </w:r>
    </w:p>
    <w:p>
      <w:pPr>
        <w:pStyle w:val="Style31"/>
        <w:bidi w:val="0"/>
        <w:jc w:val="both"/>
        <w:rPr/>
      </w:pPr>
      <w:r>
        <w:rPr>
          <w:rFonts w:cs="PT Astra Serif" w:ascii="PT Astra Serif" w:hAnsi="PT Astra Serif"/>
          <w:sz w:val="20"/>
          <w:szCs w:val="20"/>
        </w:rPr>
        <w:t xml:space="preserve">7.9.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порядке:(в ред. </w:t>
      </w:r>
      <w:hyperlink r:id="rId13">
        <w:r>
          <w:rPr>
            <w:rFonts w:cs="PT Astra Serif" w:ascii="PT Astra Serif" w:hAnsi="PT Astra Serif"/>
            <w:sz w:val="20"/>
            <w:szCs w:val="20"/>
          </w:rPr>
          <w:t>Постановления</w:t>
        </w:r>
      </w:hyperlink>
      <w:r>
        <w:rPr>
          <w:rFonts w:cs="PT Astra Serif" w:ascii="PT Astra Serif" w:hAnsi="PT Astra Serif"/>
          <w:sz w:val="20"/>
          <w:szCs w:val="20"/>
        </w:rPr>
        <w:t xml:space="preserve"> Правительства РФ от 02.08.2019 N 1011)</w:t>
      </w:r>
    </w:p>
    <w:p>
      <w:pPr>
        <w:pStyle w:val="Style31"/>
        <w:bidi w:val="0"/>
        <w:jc w:val="both"/>
        <w:rPr>
          <w:rFonts w:ascii="PT Astra Serif" w:hAnsi="PT Astra Serif" w:cs="PT Astra Serif"/>
          <w:sz w:val="20"/>
          <w:szCs w:val="20"/>
        </w:rPr>
      </w:pPr>
      <w:r>
        <w:rPr>
          <w:rFonts w:cs="PT Astra Serif" w:ascii="PT Astra Serif" w:hAnsi="PT Astra Serif"/>
          <w:sz w:val="20"/>
          <w:szCs w:val="20"/>
        </w:rPr>
        <w:t>а) 1000 рублей, если цена контракта не превышает 3 млн. рублей (включительно).</w:t>
      </w:r>
    </w:p>
    <w:p>
      <w:pPr>
        <w:pStyle w:val="Style31"/>
        <w:bidi w:val="0"/>
        <w:jc w:val="both"/>
        <w:rPr>
          <w:rFonts w:ascii="PT Astra Serif" w:hAnsi="PT Astra Serif" w:cs="PT Astra Serif"/>
          <w:sz w:val="20"/>
          <w:szCs w:val="20"/>
        </w:rPr>
      </w:pPr>
      <w:r>
        <w:rPr>
          <w:rFonts w:cs="PT Astra Serif" w:ascii="PT Astra Serif" w:hAnsi="PT Astra Serif"/>
          <w:sz w:val="20"/>
          <w:szCs w:val="20"/>
        </w:rPr>
        <w:t>7.10.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pPr>
        <w:pStyle w:val="Style31"/>
        <w:bidi w:val="0"/>
        <w:jc w:val="both"/>
        <w:rPr>
          <w:rFonts w:ascii="PT Astra Serif" w:hAnsi="PT Astra Serif" w:cs="PT Astra Serif"/>
          <w:sz w:val="20"/>
          <w:szCs w:val="20"/>
        </w:rPr>
      </w:pPr>
      <w:r>
        <w:rPr>
          <w:rFonts w:cs="PT Astra Serif" w:ascii="PT Astra Serif" w:hAnsi="PT Astra Serif"/>
          <w:sz w:val="20"/>
          <w:szCs w:val="20"/>
        </w:rPr>
        <w:t xml:space="preserve">7.11. Общая сумма начисленных штрафов за неисполнение или ненадлежащее исполнение Исполнителем (подрядчиком, поставщиком) обязательств, предусмотренных контрактом, не может превышать цену контракта. </w:t>
      </w:r>
    </w:p>
    <w:p>
      <w:pPr>
        <w:pStyle w:val="Style31"/>
        <w:bidi w:val="0"/>
        <w:jc w:val="both"/>
        <w:rPr>
          <w:rFonts w:ascii="PT Astra Serif" w:hAnsi="PT Astra Serif" w:cs="PT Astra Serif"/>
          <w:sz w:val="20"/>
          <w:szCs w:val="20"/>
        </w:rPr>
      </w:pPr>
      <w:r>
        <w:rPr>
          <w:rFonts w:cs="PT Astra Serif" w:ascii="PT Astra Serif" w:hAnsi="PT Astra Serif"/>
          <w:sz w:val="20"/>
          <w:szCs w:val="20"/>
        </w:rPr>
        <w:t>7.12.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Style31"/>
        <w:bidi w:val="0"/>
        <w:jc w:val="both"/>
        <w:rPr>
          <w:rFonts w:ascii="PT Astra Serif" w:hAnsi="PT Astra Serif" w:cs="PT Astra Serif"/>
          <w:sz w:val="20"/>
          <w:szCs w:val="20"/>
        </w:rPr>
      </w:pPr>
      <w:r>
        <w:rPr>
          <w:rFonts w:cs="PT Astra Serif" w:ascii="PT Astra Serif" w:hAnsi="PT Astra Serif"/>
          <w:sz w:val="20"/>
          <w:szCs w:val="20"/>
        </w:rPr>
        <w:t>7.13.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pPr>
        <w:pStyle w:val="Style31"/>
        <w:bidi w:val="0"/>
        <w:jc w:val="both"/>
        <w:rPr>
          <w:rFonts w:ascii="PT Astra Serif" w:hAnsi="PT Astra Serif" w:cs="PT Astra Serif"/>
          <w:sz w:val="20"/>
          <w:szCs w:val="20"/>
        </w:rPr>
      </w:pPr>
      <w:r>
        <w:rPr>
          <w:rFonts w:cs="PT Astra Serif" w:ascii="PT Astra Serif" w:hAnsi="PT Astra Serif"/>
          <w:sz w:val="20"/>
          <w:szCs w:val="20"/>
        </w:rPr>
        <w:t>7.14.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pPr>
        <w:pStyle w:val="Style31"/>
        <w:bidi w:val="0"/>
        <w:jc w:val="both"/>
        <w:rPr>
          <w:rFonts w:ascii="PT Astra Serif" w:hAnsi="PT Astra Serif" w:cs="PT Astra Serif"/>
          <w:sz w:val="20"/>
          <w:szCs w:val="20"/>
        </w:rPr>
      </w:pPr>
      <w:r>
        <w:rPr>
          <w:rFonts w:cs="PT Astra Serif" w:ascii="PT Astra Serif" w:hAnsi="PT Astra Serif"/>
          <w:sz w:val="20"/>
          <w:szCs w:val="20"/>
        </w:rPr>
        <w:t>7.15. Уплата «Исполнителем» (подрядчиком, поставщиком) неустойки или применение иной формы ответственности не освобождает его от исполнения обязательств по Контракту.</w:t>
      </w:r>
    </w:p>
    <w:p>
      <w:pPr>
        <w:pStyle w:val="Style31"/>
        <w:bidi w:val="0"/>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PT Astra Serif" w:hAnsi="PT Astra Serif" w:cs="PT Astra Serif"/>
          <w:bCs/>
          <w:sz w:val="20"/>
          <w:szCs w:val="20"/>
        </w:rPr>
      </w:pPr>
      <w:r>
        <w:rPr>
          <w:rFonts w:cs="PT Astra Serif" w:ascii="PT Astra Serif" w:hAnsi="PT Astra Serif"/>
          <w:b/>
          <w:bCs/>
          <w:sz w:val="20"/>
          <w:szCs w:val="20"/>
        </w:rPr>
        <w:t>8. ОСНОВАНИЯ И ПОРЯДОК ИЗМЕНЕНИЯ И РАСТОРЖЕНИЯ</w:t>
      </w:r>
      <w:r>
        <w:rPr>
          <w:rFonts w:cs="PT Astra Serif" w:ascii="PT Astra Serif" w:hAnsi="PT Astra Serif"/>
          <w:bCs/>
          <w:sz w:val="20"/>
          <w:szCs w:val="20"/>
        </w:rPr>
        <w:t xml:space="preserve"> </w:t>
      </w:r>
      <w:r>
        <w:rPr>
          <w:rFonts w:cs="PT Astra Serif" w:ascii="PT Astra Serif" w:hAnsi="PT Astra Serif"/>
          <w:b/>
          <w:bCs/>
          <w:sz w:val="20"/>
          <w:szCs w:val="20"/>
        </w:rPr>
        <w:t>КОНТРАКТА</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8.2. Все изменения к Контракту действительны, если они оформлены в виде дополнительного соглашения к Контракту и подписаны Сторонами.</w:t>
      </w:r>
    </w:p>
    <w:p>
      <w:pPr>
        <w:pStyle w:val="Style31"/>
        <w:bidi w:val="0"/>
        <w:jc w:val="both"/>
        <w:rPr>
          <w:rFonts w:ascii="PT Astra Serif" w:hAnsi="PT Astra Serif" w:cs="PT Astra Serif"/>
          <w:sz w:val="20"/>
          <w:szCs w:val="20"/>
        </w:rPr>
      </w:pPr>
      <w:r>
        <w:rPr>
          <w:rFonts w:cs="PT Astra Serif" w:ascii="PT Astra Serif" w:hAnsi="PT Astra Serif"/>
          <w:sz w:val="20"/>
          <w:szCs w:val="20"/>
          <w:lang w:val="ru-RU" w:eastAsia="ru-RU"/>
        </w:rPr>
        <w:t xml:space="preserve">8.3. </w:t>
      </w:r>
      <w:r>
        <w:rPr>
          <w:rFonts w:cs="PT Astra Serif" w:ascii="PT Astra Serif" w:hAnsi="PT Astra Serif"/>
          <w:sz w:val="20"/>
          <w:szCs w:val="20"/>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 и условиями контракта.</w:t>
      </w:r>
    </w:p>
    <w:p>
      <w:pPr>
        <w:pStyle w:val="Style31"/>
        <w:bidi w:val="0"/>
        <w:jc w:val="both"/>
        <w:rPr>
          <w:rFonts w:ascii="PT Astra Serif" w:hAnsi="PT Astra Serif" w:cs="PT Astra Serif"/>
          <w:sz w:val="20"/>
          <w:szCs w:val="20"/>
        </w:rPr>
      </w:pPr>
      <w:r>
        <w:rPr>
          <w:rFonts w:cs="PT Astra Serif" w:ascii="PT Astra Serif" w:hAnsi="PT Astra Serif"/>
          <w:sz w:val="20"/>
          <w:szCs w:val="20"/>
        </w:rPr>
        <w:t>8.4.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pPr>
        <w:pStyle w:val="Style31"/>
        <w:bidi w:val="0"/>
        <w:jc w:val="both"/>
        <w:rPr>
          <w:rFonts w:ascii="PT Astra Serif" w:hAnsi="PT Astra Serif" w:cs="PT Astra Serif"/>
          <w:sz w:val="20"/>
          <w:szCs w:val="20"/>
        </w:rPr>
      </w:pPr>
      <w:r>
        <w:rPr>
          <w:rFonts w:cs="PT Astra Serif" w:ascii="PT Astra Serif" w:hAnsi="PT Astra Serif"/>
          <w:sz w:val="20"/>
          <w:szCs w:val="20"/>
        </w:rPr>
        <w:t>8.5. «Исполнитель» вправе принято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действиующим законодательством Российской Федерации и контрактом.</w:t>
      </w:r>
    </w:p>
    <w:p>
      <w:pPr>
        <w:pStyle w:val="Style31"/>
        <w:bidi w:val="0"/>
        <w:jc w:val="both"/>
        <w:rPr>
          <w:rFonts w:ascii="PT Astra Serif" w:hAnsi="PT Astra Serif" w:cs="PT Astra Serif"/>
          <w:sz w:val="20"/>
          <w:szCs w:val="20"/>
        </w:rPr>
      </w:pPr>
      <w:r>
        <w:rPr>
          <w:rFonts w:cs="PT Astra Serif" w:ascii="PT Astra Serif" w:hAnsi="PT Astra Serif"/>
          <w:sz w:val="20"/>
          <w:szCs w:val="20"/>
        </w:rPr>
        <w:t>8.6.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на момент расторжения контракта.</w:t>
      </w:r>
    </w:p>
    <w:p>
      <w:pPr>
        <w:pStyle w:val="Style31"/>
        <w:bidi w:val="0"/>
        <w:jc w:val="both"/>
        <w:rPr>
          <w:rFonts w:ascii="PT Astra Serif" w:hAnsi="PT Astra Serif" w:cs="PT Astra Serif"/>
          <w:sz w:val="20"/>
          <w:szCs w:val="20"/>
        </w:rPr>
      </w:pPr>
      <w:r>
        <w:rPr>
          <w:rFonts w:cs="PT Astra Serif" w:ascii="PT Astra Serif" w:hAnsi="PT Astra Serif"/>
          <w:sz w:val="20"/>
          <w:szCs w:val="20"/>
        </w:rPr>
        <w:t>8.7.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обеспечивает согласование новых условий контракта с «Исполнителем», в том числе цены и (или) сроков исполнения контракта и (или) объема работ, предусмотренных контрактом.</w:t>
      </w:r>
    </w:p>
    <w:p>
      <w:pPr>
        <w:pStyle w:val="Style31"/>
        <w:bidi w:val="0"/>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pPr>
      <w:r>
        <w:rPr>
          <w:rFonts w:cs="PT Astra Serif" w:ascii="PT Astra Serif" w:hAnsi="PT Astra Serif"/>
          <w:b/>
          <w:sz w:val="20"/>
          <w:szCs w:val="20"/>
        </w:rPr>
        <w:t>9. ФОРС-МАЖОРНЫЕ ОБСТОЯТЕЛЬСТВА</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 уже должна возместить другой «Стороне» убытки, причиненные неизвещением или несвоевременным извещением.</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9.5.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10.ПОРЯДОК РАЗРЕШЕНИЯ СПОРОВ</w:t>
      </w:r>
    </w:p>
    <w:p>
      <w:pPr>
        <w:pStyle w:val="Style31"/>
        <w:bidi w:val="0"/>
        <w:jc w:val="both"/>
        <w:rPr>
          <w:rFonts w:ascii="PT Astra Serif" w:hAnsi="PT Astra Serif" w:cs="PT Astra Serif"/>
          <w:sz w:val="20"/>
          <w:szCs w:val="20"/>
        </w:rPr>
      </w:pPr>
      <w:r>
        <w:rPr>
          <w:rFonts w:cs="PT Astra Serif" w:ascii="PT Astra Serif" w:hAnsi="PT Astra Serif"/>
          <w:sz w:val="20"/>
          <w:szCs w:val="20"/>
        </w:rPr>
        <w:t>10.1.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pPr>
        <w:pStyle w:val="Style31"/>
        <w:bidi w:val="0"/>
        <w:jc w:val="both"/>
        <w:rPr>
          <w:rFonts w:ascii="PT Astra Serif" w:hAnsi="PT Astra Serif" w:cs="PT Astra Serif"/>
          <w:sz w:val="20"/>
          <w:szCs w:val="20"/>
        </w:rPr>
      </w:pPr>
      <w:r>
        <w:rPr>
          <w:rFonts w:cs="PT Astra Serif" w:ascii="PT Astra Serif" w:hAnsi="PT Astra Serif"/>
          <w:sz w:val="20"/>
          <w:szCs w:val="20"/>
        </w:rPr>
        <w:t>10.2. В случае не достижения согласия, споры передаются «Сторонами» на рассмотрение Арбитражного суда Томской области.</w:t>
      </w:r>
    </w:p>
    <w:p>
      <w:pPr>
        <w:pStyle w:val="Style31"/>
        <w:bidi w:val="0"/>
        <w:jc w:val="both"/>
        <w:rPr>
          <w:rFonts w:ascii="PT Astra Serif" w:hAnsi="PT Astra Serif" w:cs="PT Astra Serif"/>
          <w:sz w:val="20"/>
          <w:szCs w:val="20"/>
        </w:rPr>
      </w:pPr>
      <w:r>
        <w:rPr>
          <w:rFonts w:cs="PT Astra Serif" w:ascii="PT Astra Serif" w:hAnsi="PT Astra Serif"/>
          <w:sz w:val="20"/>
          <w:szCs w:val="20"/>
        </w:rPr>
        <w:t>10.3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11. ПРОЧИЕ УСЛОВИЯ</w:t>
      </w:r>
    </w:p>
    <w:p>
      <w:pPr>
        <w:pStyle w:val="Style31"/>
        <w:bidi w:val="0"/>
        <w:jc w:val="both"/>
        <w:rPr>
          <w:rFonts w:ascii="PT Astra Serif" w:hAnsi="PT Astra Serif" w:cs="PT Astra Serif"/>
          <w:sz w:val="20"/>
          <w:szCs w:val="20"/>
        </w:rPr>
      </w:pPr>
      <w:r>
        <w:rPr>
          <w:rFonts w:cs="PT Astra Serif" w:ascii="PT Astra Serif" w:hAnsi="PT Astra Serif"/>
          <w:sz w:val="20"/>
          <w:szCs w:val="20"/>
        </w:rPr>
        <w:t>11.1. Настоящий Контракт составлен в двух подлинных экземплярах по одному для каждой из «Сторон».</w:t>
      </w:r>
    </w:p>
    <w:p>
      <w:pPr>
        <w:pStyle w:val="Style31"/>
        <w:bidi w:val="0"/>
        <w:jc w:val="both"/>
        <w:rPr>
          <w:rFonts w:ascii="PT Astra Serif" w:hAnsi="PT Astra Serif" w:cs="PT Astra Serif"/>
          <w:sz w:val="20"/>
          <w:szCs w:val="20"/>
        </w:rPr>
      </w:pPr>
      <w:r>
        <w:rPr>
          <w:rFonts w:cs="PT Astra Serif" w:ascii="PT Astra Serif" w:hAnsi="PT Astra Serif"/>
          <w:sz w:val="20"/>
          <w:szCs w:val="20"/>
        </w:rPr>
        <w:t>11.2.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pPr>
        <w:pStyle w:val="Style31"/>
        <w:bidi w:val="0"/>
        <w:jc w:val="both"/>
        <w:rPr>
          <w:rFonts w:ascii="PT Astra Serif" w:hAnsi="PT Astra Serif" w:cs="PT Astra Serif"/>
          <w:sz w:val="20"/>
          <w:szCs w:val="20"/>
        </w:rPr>
      </w:pPr>
      <w:r>
        <w:rPr>
          <w:rFonts w:cs="PT Astra Serif" w:ascii="PT Astra Serif" w:hAnsi="PT Astra Serif"/>
          <w:sz w:val="20"/>
          <w:szCs w:val="20"/>
        </w:rPr>
        <w:t>11.3. В случае изменения юридических адресов, банковских «Сторона» обязана сообщить об этом другой «Стороне» в течение десяти дневного срока в письменном виде.</w:t>
      </w:r>
    </w:p>
    <w:p>
      <w:pPr>
        <w:pStyle w:val="Style31"/>
        <w:bidi w:val="0"/>
        <w:jc w:val="both"/>
        <w:rPr>
          <w:rFonts w:ascii="PT Astra Serif" w:hAnsi="PT Astra Serif" w:cs="PT Astra Serif"/>
          <w:sz w:val="20"/>
          <w:szCs w:val="20"/>
        </w:rPr>
      </w:pPr>
      <w:r>
        <w:rPr>
          <w:rFonts w:cs="PT Astra Serif" w:ascii="PT Astra Serif" w:hAnsi="PT Astra Serif"/>
          <w:sz w:val="20"/>
          <w:szCs w:val="20"/>
        </w:rPr>
        <w:t>11.4. К контракту прилагается и является его неотъемлемой частью:</w:t>
      </w:r>
    </w:p>
    <w:p>
      <w:pPr>
        <w:pStyle w:val="Style31"/>
        <w:bidi w:val="0"/>
        <w:jc w:val="both"/>
        <w:rPr/>
      </w:pPr>
      <w:r>
        <w:rPr>
          <w:rFonts w:cs="PT Astra Serif" w:ascii="PT Astra Serif" w:hAnsi="PT Astra Serif"/>
          <w:sz w:val="20"/>
          <w:szCs w:val="20"/>
        </w:rPr>
        <w:t>- Техническое задание (Приложение № 1).</w:t>
      </w:r>
    </w:p>
    <w:p>
      <w:pPr>
        <w:pStyle w:val="Style31"/>
        <w:bidi w:val="0"/>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12. СРОК ДЕЙСТВИЯ КОНТРАКТА</w:t>
      </w:r>
    </w:p>
    <w:p>
      <w:pPr>
        <w:pStyle w:val="Style31"/>
        <w:bidi w:val="0"/>
        <w:jc w:val="both"/>
        <w:rPr/>
      </w:pPr>
      <w:r>
        <w:rPr>
          <w:rFonts w:cs="PT Astra Serif" w:ascii="PT Astra Serif" w:hAnsi="PT Astra Serif"/>
          <w:sz w:val="20"/>
          <w:szCs w:val="20"/>
        </w:rPr>
        <w:t>12.1. Срок действия Контракта: с момента подписания  настоящего Контракта и до «30» сентября 2026 г.,  а в части осуществления гарантийных обязательств, или в случае возникновения обстоятельств, указанных  в п. 9 настоящего Контракта, до их полного исполнения.</w:t>
      </w:r>
    </w:p>
    <w:p>
      <w:pPr>
        <w:pStyle w:val="Normal"/>
        <w:jc w:val="both"/>
        <w:rPr>
          <w:rFonts w:ascii="PT Astra Serif" w:hAnsi="PT Astra Serif" w:cs="PT Astra Serif"/>
          <w:sz w:val="20"/>
          <w:szCs w:val="20"/>
        </w:rPr>
      </w:pPr>
      <w:r>
        <w:rPr>
          <w:rFonts w:cs="PT Astra Serif" w:ascii="PT Astra Serif" w:hAnsi="PT Astra Serif"/>
          <w:sz w:val="20"/>
          <w:szCs w:val="20"/>
        </w:rPr>
      </w:r>
    </w:p>
    <w:p>
      <w:pPr>
        <w:pStyle w:val="Normal"/>
        <w:ind w:start="60" w:hanging="0"/>
        <w:jc w:val="center"/>
        <w:rPr>
          <w:rFonts w:ascii="PT Astra Serif" w:hAnsi="PT Astra Serif" w:cs="PT Astra Serif"/>
          <w:b/>
          <w:b/>
          <w:bCs/>
        </w:rPr>
      </w:pPr>
      <w:r>
        <w:rPr>
          <w:rFonts w:cs="PT Astra Serif" w:ascii="PT Astra Serif" w:hAnsi="PT Astra Serif"/>
          <w:b/>
          <w:bCs/>
        </w:rPr>
        <w:t>13. Юридические адреса, банковские реквизиты Сторон на момент заключения Контракта</w:t>
      </w:r>
    </w:p>
    <w:p>
      <w:pPr>
        <w:pStyle w:val="Normal"/>
        <w:ind w:start="60" w:hanging="0"/>
        <w:jc w:val="center"/>
        <w:rPr>
          <w:rFonts w:ascii="PT Astra Serif" w:hAnsi="PT Astra Serif" w:cs="PT Astra Serif"/>
          <w:b/>
          <w:b/>
          <w:bCs/>
        </w:rPr>
      </w:pPr>
      <w:r>
        <w:rPr>
          <w:rFonts w:cs="PT Astra Serif" w:ascii="PT Astra Serif" w:hAnsi="PT Astra Serif"/>
          <w:b/>
          <w:bCs/>
        </w:rPr>
      </w:r>
    </w:p>
    <w:tbl>
      <w:tblPr>
        <w:tblW w:w="9356" w:type="dxa"/>
        <w:jc w:val="start"/>
        <w:tblInd w:w="108" w:type="dxa"/>
        <w:tblCellMar>
          <w:top w:w="0" w:type="dxa"/>
          <w:start w:w="108" w:type="dxa"/>
          <w:bottom w:w="0" w:type="dxa"/>
          <w:end w:w="108" w:type="dxa"/>
        </w:tblCellMar>
      </w:tblPr>
      <w:tblGrid>
        <w:gridCol w:w="4678"/>
        <w:gridCol w:w="4678"/>
      </w:tblGrid>
      <w:tr>
        <w:trPr>
          <w:trHeight w:val="3191" w:hRule="atLeast"/>
        </w:trPr>
        <w:tc>
          <w:tcPr>
            <w:tcW w:w="4678" w:type="dxa"/>
            <w:tcBorders/>
          </w:tcPr>
          <w:p>
            <w:pPr>
              <w:pStyle w:val="Normal"/>
              <w:rPr>
                <w:rFonts w:ascii="PT Astra Serif" w:hAnsi="PT Astra Serif" w:cs="PT Astra Serif"/>
              </w:rPr>
            </w:pPr>
            <w:r>
              <w:rPr>
                <w:rFonts w:cs="PT Astra Serif" w:ascii="PT Astra Serif" w:hAnsi="PT Astra Serif"/>
                <w:b/>
              </w:rPr>
              <w:t>Государственный заказчик</w:t>
            </w:r>
          </w:p>
          <w:p>
            <w:pPr>
              <w:pStyle w:val="Normal"/>
              <w:jc w:val="both"/>
              <w:rPr>
                <w:rFonts w:ascii="PT Astra Serif" w:hAnsi="PT Astra Serif" w:cs="PT Astra Serif"/>
                <w:b/>
                <w:b/>
              </w:rPr>
            </w:pPr>
            <w:r>
              <w:rPr>
                <w:rFonts w:cs="PT Astra Serif" w:ascii="PT Astra Serif" w:hAnsi="PT Astra Serif"/>
                <w:b/>
              </w:rPr>
              <w:t xml:space="preserve">ФКУ ЛИУ-1 УФСИН России </w:t>
            </w:r>
          </w:p>
          <w:p>
            <w:pPr>
              <w:pStyle w:val="Normal"/>
              <w:jc w:val="both"/>
              <w:rPr>
                <w:rFonts w:ascii="PT Astra Serif" w:hAnsi="PT Astra Serif" w:cs="PT Astra Serif"/>
                <w:b/>
                <w:b/>
              </w:rPr>
            </w:pPr>
            <w:r>
              <w:rPr>
                <w:rFonts w:cs="PT Astra Serif" w:ascii="PT Astra Serif" w:hAnsi="PT Astra Serif"/>
                <w:b/>
              </w:rPr>
              <w:t>по Томской области</w:t>
            </w:r>
          </w:p>
          <w:p>
            <w:pPr>
              <w:pStyle w:val="Normal"/>
              <w:jc w:val="both"/>
              <w:rPr>
                <w:rFonts w:ascii="PT Astra Serif" w:hAnsi="PT Astra Serif" w:cs="PT Astra Serif"/>
              </w:rPr>
            </w:pPr>
            <w:r>
              <w:rPr>
                <w:rFonts w:cs="PT Astra Serif" w:ascii="PT Astra Serif" w:hAnsi="PT Astra Serif"/>
              </w:rPr>
              <w:t xml:space="preserve">Юридический, почтовый адрес: </w:t>
            </w:r>
          </w:p>
          <w:p>
            <w:pPr>
              <w:pStyle w:val="Normal"/>
              <w:jc w:val="both"/>
              <w:rPr>
                <w:rFonts w:ascii="PT Astra Serif" w:hAnsi="PT Astra Serif" w:cs="PT Astra Serif"/>
              </w:rPr>
            </w:pPr>
            <w:r>
              <w:rPr>
                <w:rFonts w:cs="PT Astra Serif" w:ascii="PT Astra Serif" w:hAnsi="PT Astra Serif"/>
              </w:rPr>
              <w:t>634062, г.Томск, ул.Клюева, 1</w:t>
            </w:r>
          </w:p>
          <w:p>
            <w:pPr>
              <w:pStyle w:val="Normal"/>
              <w:jc w:val="both"/>
              <w:rPr>
                <w:rFonts w:ascii="PT Astra Serif" w:hAnsi="PT Astra Serif" w:cs="PT Astra Serif"/>
              </w:rPr>
            </w:pPr>
            <w:r>
              <w:rPr>
                <w:rFonts w:cs="PT Astra Serif" w:ascii="PT Astra Serif" w:hAnsi="PT Astra Serif"/>
              </w:rPr>
              <w:t>Тел./факс: (3822) 602-242 (канцелярия)</w:t>
            </w:r>
          </w:p>
          <w:p>
            <w:pPr>
              <w:pStyle w:val="Normal"/>
              <w:jc w:val="both"/>
              <w:rPr>
                <w:rFonts w:ascii="PT Astra Serif" w:hAnsi="PT Astra Serif" w:cs="PT Astra Serif"/>
              </w:rPr>
            </w:pPr>
            <w:r>
              <w:rPr>
                <w:rFonts w:cs="PT Astra Serif" w:ascii="PT Astra Serif" w:hAnsi="PT Astra Serif"/>
              </w:rPr>
              <w:t>ИНН 7020035639 КПП 701701001</w:t>
            </w:r>
          </w:p>
          <w:p>
            <w:pPr>
              <w:pStyle w:val="Normal"/>
              <w:jc w:val="both"/>
              <w:rPr>
                <w:rFonts w:ascii="PT Astra Serif" w:hAnsi="PT Astra Serif" w:cs="PT Astra Serif"/>
              </w:rPr>
            </w:pPr>
            <w:r>
              <w:rPr>
                <w:rFonts w:cs="PT Astra Serif" w:ascii="PT Astra Serif" w:hAnsi="PT Astra Serif"/>
              </w:rPr>
              <w:t>ОГРН 1027000885878</w:t>
            </w:r>
          </w:p>
          <w:p>
            <w:pPr>
              <w:pStyle w:val="Normal"/>
              <w:jc w:val="both"/>
              <w:rPr>
                <w:rFonts w:ascii="PT Astra Serif" w:hAnsi="PT Astra Serif" w:cs="PT Astra Serif"/>
                <w:b/>
                <w:b/>
              </w:rPr>
            </w:pPr>
            <w:r>
              <w:rPr>
                <w:rFonts w:cs="PT Astra Serif" w:ascii="PT Astra Serif" w:hAnsi="PT Astra Serif"/>
                <w:b/>
              </w:rPr>
              <w:t>Банковские реквизиты:</w:t>
            </w:r>
          </w:p>
          <w:p>
            <w:pPr>
              <w:pStyle w:val="NoSpacing"/>
              <w:bidi w:val="0"/>
              <w:jc w:val="both"/>
              <w:rPr>
                <w:rFonts w:ascii="PT Astra Serif" w:hAnsi="PT Astra Serif" w:cs="PT Astra Serif"/>
                <w:sz w:val="20"/>
                <w:szCs w:val="20"/>
              </w:rPr>
            </w:pPr>
            <w:r>
              <w:rPr>
                <w:rFonts w:cs="PT Astra Serif" w:ascii="PT Astra Serif" w:hAnsi="PT Astra Serif"/>
                <w:sz w:val="20"/>
                <w:szCs w:val="20"/>
              </w:rPr>
              <w:t xml:space="preserve">ОКЦ № 1 СибГУ БАНКА РОССИИ//УФК </w:t>
            </w:r>
          </w:p>
          <w:p>
            <w:pPr>
              <w:pStyle w:val="NoSpacing"/>
              <w:bidi w:val="0"/>
              <w:jc w:val="both"/>
              <w:rPr>
                <w:rFonts w:ascii="PT Astra Serif" w:hAnsi="PT Astra Serif" w:cs="PT Astra Serif"/>
                <w:sz w:val="20"/>
                <w:szCs w:val="20"/>
              </w:rPr>
            </w:pPr>
            <w:r>
              <w:rPr>
                <w:rFonts w:cs="PT Astra Serif" w:ascii="PT Astra Serif" w:hAnsi="PT Astra Serif"/>
                <w:sz w:val="20"/>
                <w:szCs w:val="20"/>
              </w:rPr>
              <w:t>по Новосибирской области, г.Новосибирск</w:t>
            </w:r>
          </w:p>
          <w:p>
            <w:pPr>
              <w:pStyle w:val="NoSpacing"/>
              <w:bidi w:val="0"/>
              <w:jc w:val="both"/>
              <w:rPr>
                <w:rFonts w:ascii="PT Astra Serif" w:hAnsi="PT Astra Serif" w:cs="PT Astra Serif"/>
                <w:sz w:val="20"/>
                <w:szCs w:val="20"/>
              </w:rPr>
            </w:pPr>
            <w:r>
              <w:rPr>
                <w:rFonts w:cs="PT Astra Serif" w:ascii="PT Astra Serif" w:hAnsi="PT Astra Serif"/>
                <w:sz w:val="20"/>
                <w:szCs w:val="20"/>
              </w:rPr>
              <w:t xml:space="preserve">УФК по Томской области (ФКУ ЛИУ-1 УФСИН </w:t>
            </w:r>
          </w:p>
          <w:p>
            <w:pPr>
              <w:pStyle w:val="NoSpacing"/>
              <w:bidi w:val="0"/>
              <w:jc w:val="both"/>
              <w:rPr>
                <w:rFonts w:ascii="PT Astra Serif" w:hAnsi="PT Astra Serif" w:cs="PT Astra Serif"/>
                <w:sz w:val="20"/>
                <w:szCs w:val="20"/>
              </w:rPr>
            </w:pPr>
            <w:r>
              <w:rPr>
                <w:rFonts w:cs="PT Astra Serif" w:ascii="PT Astra Serif" w:hAnsi="PT Astra Serif"/>
                <w:sz w:val="20"/>
                <w:szCs w:val="20"/>
              </w:rPr>
              <w:t>России по Томской области, л/с № 03651142260)</w:t>
            </w:r>
          </w:p>
          <w:p>
            <w:pPr>
              <w:pStyle w:val="NoSpacing"/>
              <w:bidi w:val="0"/>
              <w:jc w:val="both"/>
              <w:rPr>
                <w:rFonts w:ascii="PT Astra Serif" w:hAnsi="PT Astra Serif" w:cs="PT Astra Serif"/>
                <w:sz w:val="20"/>
                <w:szCs w:val="20"/>
              </w:rPr>
            </w:pPr>
            <w:r>
              <w:rPr>
                <w:rFonts w:cs="PT Astra Serif" w:ascii="PT Astra Serif" w:hAnsi="PT Astra Serif"/>
                <w:sz w:val="20"/>
                <w:szCs w:val="20"/>
              </w:rPr>
              <w:t>БИК 015004950</w:t>
            </w:r>
          </w:p>
          <w:p>
            <w:pPr>
              <w:pStyle w:val="Normal"/>
              <w:rPr>
                <w:rFonts w:ascii="PT Astra Serif" w:hAnsi="PT Astra Serif" w:cs="PT Astra Serif"/>
              </w:rPr>
            </w:pPr>
            <w:r>
              <w:rPr>
                <w:rFonts w:cs="PT Astra Serif" w:ascii="PT Astra Serif" w:hAnsi="PT Astra Serif"/>
              </w:rPr>
              <w:t>б/сч  03211643000000015105</w:t>
            </w:r>
          </w:p>
          <w:p>
            <w:pPr>
              <w:pStyle w:val="Normal"/>
              <w:rPr>
                <w:rFonts w:ascii="PT Astra Serif" w:hAnsi="PT Astra Serif" w:cs="PT Astra Serif"/>
              </w:rPr>
            </w:pPr>
            <w:r>
              <w:rPr>
                <w:rFonts w:cs="PT Astra Serif" w:ascii="PT Astra Serif" w:hAnsi="PT Astra Serif"/>
              </w:rPr>
              <w:t>кор/счет 40102810445370000043</w:t>
            </w:r>
          </w:p>
          <w:p>
            <w:pPr>
              <w:pStyle w:val="Normal"/>
              <w:rPr>
                <w:rFonts w:ascii="PT Astra Serif" w:hAnsi="PT Astra Serif" w:cs="PT Astra Serif"/>
                <w:sz w:val="18"/>
                <w:szCs w:val="18"/>
              </w:rPr>
            </w:pPr>
            <w:r>
              <w:rPr>
                <w:rFonts w:cs="PT Astra Serif" w:ascii="PT Astra Serif" w:hAnsi="PT Astra Serif"/>
                <w:sz w:val="18"/>
                <w:szCs w:val="18"/>
              </w:rPr>
              <w:t>КБК 32003054240690049244</w:t>
            </w:r>
          </w:p>
          <w:p>
            <w:pPr>
              <w:pStyle w:val="Normal"/>
              <w:rPr>
                <w:rFonts w:ascii="PT Astra Serif" w:hAnsi="PT Astra Serif" w:cs="PT Astra Serif"/>
                <w:sz w:val="18"/>
                <w:szCs w:val="18"/>
              </w:rPr>
            </w:pPr>
            <w:r>
              <w:rPr>
                <w:rFonts w:cs="PT Astra Serif" w:ascii="PT Astra Serif" w:hAnsi="PT Astra Serif"/>
                <w:sz w:val="18"/>
                <w:szCs w:val="18"/>
              </w:rPr>
            </w:r>
          </w:p>
        </w:tc>
        <w:tc>
          <w:tcPr>
            <w:tcW w:w="4678" w:type="dxa"/>
            <w:tcBorders/>
          </w:tcPr>
          <w:p>
            <w:pPr>
              <w:pStyle w:val="Style31"/>
              <w:bidi w:val="0"/>
              <w:jc w:val="both"/>
              <w:rPr>
                <w:rFonts w:ascii="PT Astra Serif" w:hAnsi="PT Astra Serif" w:cs="PT Astra Serif"/>
                <w:b/>
                <w:b/>
                <w:sz w:val="20"/>
                <w:szCs w:val="20"/>
              </w:rPr>
            </w:pPr>
            <w:r>
              <w:rPr>
                <w:rFonts w:cs="PT Astra Serif" w:ascii="PT Astra Serif" w:hAnsi="PT Astra Serif"/>
                <w:b/>
                <w:sz w:val="20"/>
                <w:szCs w:val="20"/>
              </w:rPr>
              <w:t>Исполнитель</w:t>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tc>
      </w:tr>
      <w:tr>
        <w:trPr>
          <w:trHeight w:val="1276" w:hRule="atLeast"/>
        </w:trPr>
        <w:tc>
          <w:tcPr>
            <w:tcW w:w="4678" w:type="dxa"/>
            <w:tcBorders/>
          </w:tcPr>
          <w:p>
            <w:pPr>
              <w:pStyle w:val="Normal"/>
              <w:jc w:val="both"/>
              <w:rPr>
                <w:rFonts w:ascii="PT Astra Serif" w:hAnsi="PT Astra Serif" w:cs="PT Astra Serif"/>
                <w:b/>
                <w:b/>
              </w:rPr>
            </w:pPr>
            <w:r>
              <w:rPr>
                <w:rFonts w:cs="PT Astra Serif" w:ascii="PT Astra Serif" w:hAnsi="PT Astra Serif"/>
                <w:b/>
              </w:rPr>
              <w:t>Государственный заказчик</w:t>
            </w:r>
          </w:p>
          <w:p>
            <w:pPr>
              <w:pStyle w:val="Normal"/>
              <w:jc w:val="both"/>
              <w:rPr>
                <w:rFonts w:ascii="PT Astra Serif" w:hAnsi="PT Astra Serif" w:cs="PT Astra Serif"/>
                <w:b/>
                <w:b/>
              </w:rPr>
            </w:pPr>
            <w:r>
              <w:rPr>
                <w:rFonts w:cs="PT Astra Serif" w:ascii="PT Astra Serif" w:hAnsi="PT Astra Serif"/>
                <w:b/>
              </w:rPr>
              <w:t xml:space="preserve">Врио начальника ФКУ ЛИУ-1 </w:t>
            </w:r>
          </w:p>
          <w:p>
            <w:pPr>
              <w:pStyle w:val="Normal"/>
              <w:jc w:val="both"/>
              <w:rPr/>
            </w:pPr>
            <w:r>
              <w:rPr>
                <w:rFonts w:cs="PT Astra Serif" w:ascii="PT Astra Serif" w:hAnsi="PT Astra Serif"/>
                <w:b/>
              </w:rPr>
              <w:t>УФСИН России по Томской области</w:t>
            </w:r>
          </w:p>
          <w:p>
            <w:pPr>
              <w:pStyle w:val="Normal"/>
              <w:jc w:val="both"/>
              <w:rPr>
                <w:rFonts w:ascii="PT Astra Serif" w:hAnsi="PT Astra Serif" w:cs="PT Astra Serif"/>
                <w:b/>
                <w:b/>
              </w:rPr>
            </w:pPr>
            <w:r>
              <w:rPr>
                <w:rFonts w:cs="PT Astra Serif" w:ascii="PT Astra Serif" w:hAnsi="PT Astra Serif"/>
                <w:b/>
              </w:rPr>
            </w:r>
          </w:p>
          <w:p>
            <w:pPr>
              <w:pStyle w:val="Normal"/>
              <w:jc w:val="both"/>
              <w:rPr>
                <w:rFonts w:ascii="PT Astra Serif" w:hAnsi="PT Astra Serif" w:cs="PT Astra Serif"/>
                <w:b/>
                <w:b/>
              </w:rPr>
            </w:pPr>
            <w:r>
              <w:rPr>
                <w:rFonts w:cs="PT Astra Serif" w:ascii="PT Astra Serif" w:hAnsi="PT Astra Serif"/>
                <w:b/>
              </w:rPr>
              <w:t>______________ С.В.Волков</w:t>
            </w:r>
          </w:p>
          <w:p>
            <w:pPr>
              <w:pStyle w:val="Normal"/>
              <w:spacing w:lineRule="auto" w:line="120"/>
              <w:rPr>
                <w:rFonts w:ascii="PT Astra Serif" w:hAnsi="PT Astra Serif" w:cs="PT Astra Serif"/>
                <w:b/>
                <w:b/>
              </w:rPr>
            </w:pPr>
            <w:r>
              <w:rPr>
                <w:rFonts w:cs="PT Astra Serif" w:ascii="PT Astra Serif" w:hAnsi="PT Astra Serif"/>
                <w:b/>
              </w:rPr>
            </w:r>
          </w:p>
        </w:tc>
        <w:tc>
          <w:tcPr>
            <w:tcW w:w="4678" w:type="dxa"/>
            <w:tcBorders/>
          </w:tcPr>
          <w:p>
            <w:pPr>
              <w:pStyle w:val="Style23"/>
              <w:spacing w:before="0" w:after="0"/>
              <w:ind w:end="1038" w:hanging="0"/>
              <w:rPr>
                <w:rFonts w:ascii="PT Astra Serif" w:hAnsi="PT Astra Serif" w:cs="PT Astra Serif"/>
                <w:b/>
                <w:b/>
                <w:lang w:val="ru-RU"/>
              </w:rPr>
            </w:pPr>
            <w:r>
              <w:rPr>
                <w:rFonts w:cs="PT Astra Serif" w:ascii="PT Astra Serif" w:hAnsi="PT Astra Serif"/>
                <w:b/>
                <w:lang w:val="ru-RU"/>
              </w:rPr>
              <w:t>Исполнитель</w:t>
            </w:r>
          </w:p>
          <w:p>
            <w:pPr>
              <w:pStyle w:val="Style23"/>
              <w:spacing w:before="0" w:after="0"/>
              <w:ind w:end="1038" w:hanging="0"/>
              <w:rPr>
                <w:rFonts w:ascii="PT Astra Serif" w:hAnsi="PT Astra Serif" w:cs="PT Astra Serif"/>
                <w:b/>
                <w:b/>
                <w:lang w:val="ru-RU"/>
              </w:rPr>
            </w:pPr>
            <w:r>
              <w:rPr>
                <w:rFonts w:cs="PT Astra Serif" w:ascii="PT Astra Serif" w:hAnsi="PT Astra Serif"/>
                <w:b/>
                <w:lang w:val="ru-RU"/>
              </w:rPr>
            </w:r>
          </w:p>
          <w:p>
            <w:pPr>
              <w:pStyle w:val="Style23"/>
              <w:spacing w:before="0" w:after="0"/>
              <w:ind w:end="1038" w:hanging="0"/>
              <w:rPr>
                <w:rFonts w:ascii="PT Astra Serif" w:hAnsi="PT Astra Serif" w:cs="PT Astra Serif"/>
                <w:b/>
                <w:b/>
                <w:lang w:val="en-US"/>
              </w:rPr>
            </w:pPr>
            <w:r>
              <w:rPr>
                <w:rFonts w:cs="PT Astra Serif" w:ascii="PT Astra Serif" w:hAnsi="PT Astra Serif"/>
                <w:b/>
                <w:lang w:val="en-US"/>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t xml:space="preserve">________________ </w:t>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tc>
      </w:tr>
    </w:tbl>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Style31"/>
        <w:bidi w:val="0"/>
        <w:jc w:val="start"/>
        <w:rPr>
          <w:rFonts w:ascii="PT Astra Serif" w:hAnsi="PT Astra Serif" w:cs="PT Astra Serif"/>
          <w:sz w:val="18"/>
          <w:szCs w:val="18"/>
        </w:rPr>
      </w:pPr>
      <w:r>
        <w:rPr>
          <w:rFonts w:eastAsia="PT Astra Serif" w:cs="PT Astra Serif" w:ascii="PT Astra Serif" w:hAnsi="PT Astra Serif"/>
          <w:sz w:val="18"/>
          <w:szCs w:val="18"/>
        </w:rPr>
        <w:t xml:space="preserve">                                                                                                                                           </w:t>
      </w:r>
    </w:p>
    <w:p>
      <w:pPr>
        <w:pStyle w:val="Style31"/>
        <w:bidi w:val="0"/>
        <w:jc w:val="end"/>
        <w:rPr/>
      </w:pPr>
      <w:r>
        <w:rPr>
          <w:rFonts w:eastAsia="PT Astra Serif" w:cs="PT Astra Serif" w:ascii="PT Astra Serif" w:hAnsi="PT Astra Serif"/>
          <w:sz w:val="20"/>
          <w:szCs w:val="20"/>
        </w:rPr>
        <w:t xml:space="preserve">                                 </w:t>
      </w:r>
      <w:r>
        <w:rPr>
          <w:rFonts w:cs="PT Astra Serif" w:ascii="PT Astra Serif" w:hAnsi="PT Astra Serif"/>
          <w:sz w:val="20"/>
          <w:szCs w:val="20"/>
        </w:rPr>
        <w:t>Приложение № 1</w:t>
      </w:r>
    </w:p>
    <w:p>
      <w:pPr>
        <w:pStyle w:val="Style31"/>
        <w:bidi w:val="0"/>
        <w:jc w:val="end"/>
        <w:rPr>
          <w:rFonts w:ascii="PT Astra Serif" w:hAnsi="PT Astra Serif" w:cs="PT Astra Serif"/>
          <w:sz w:val="20"/>
          <w:szCs w:val="20"/>
        </w:rPr>
      </w:pPr>
      <w:r>
        <w:rPr>
          <w:rFonts w:eastAsia="PT Astra Serif" w:cs="PT Astra Serif" w:ascii="PT Astra Serif" w:hAnsi="PT Astra Serif"/>
          <w:sz w:val="20"/>
          <w:szCs w:val="20"/>
        </w:rPr>
        <w:t xml:space="preserve">                                                                                   </w:t>
      </w:r>
      <w:r>
        <w:rPr>
          <w:rFonts w:cs="PT Astra Serif" w:ascii="PT Astra Serif" w:hAnsi="PT Astra Serif"/>
          <w:sz w:val="20"/>
          <w:szCs w:val="20"/>
        </w:rPr>
        <w:t xml:space="preserve">к государственному контракту   № </w:t>
      </w:r>
      <w:r>
        <w:rPr>
          <w:rFonts w:cs="PT Astra Serif" w:ascii="PT Astra Serif" w:hAnsi="PT Astra Serif"/>
        </w:rPr>
        <w:t>______</w:t>
      </w:r>
      <w:r>
        <w:rPr>
          <w:rFonts w:cs="PT Astra Serif" w:ascii="PT Astra Serif" w:hAnsi="PT Astra Serif"/>
          <w:sz w:val="20"/>
          <w:szCs w:val="20"/>
        </w:rPr>
        <w:t xml:space="preserve">                                                                     </w:t>
      </w:r>
    </w:p>
    <w:p>
      <w:pPr>
        <w:pStyle w:val="Style31"/>
        <w:bidi w:val="0"/>
        <w:jc w:val="end"/>
        <w:rPr>
          <w:rFonts w:ascii="PT Astra Serif" w:hAnsi="PT Astra Serif" w:cs="PT Astra Serif"/>
          <w:sz w:val="20"/>
          <w:szCs w:val="20"/>
        </w:rPr>
      </w:pPr>
      <w:r>
        <w:rPr>
          <w:rFonts w:eastAsia="PT Astra Serif" w:cs="PT Astra Serif" w:ascii="PT Astra Serif" w:hAnsi="PT Astra Serif"/>
          <w:sz w:val="20"/>
          <w:szCs w:val="20"/>
        </w:rPr>
        <w:t xml:space="preserve">                                                                                                                    </w:t>
      </w:r>
      <w:r>
        <w:rPr>
          <w:rFonts w:cs="PT Astra Serif" w:ascii="PT Astra Serif" w:hAnsi="PT Astra Serif"/>
          <w:sz w:val="20"/>
          <w:szCs w:val="20"/>
        </w:rPr>
        <w:t>от «__» ____________ 2026г.</w:t>
      </w:r>
    </w:p>
    <w:p>
      <w:pPr>
        <w:pStyle w:val="Style31"/>
        <w:bidi w:val="0"/>
        <w:jc w:val="start"/>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XO Thames" w:hAnsi="XO Thames" w:cs="XO Thames"/>
          <w:sz w:val="20"/>
          <w:szCs w:val="20"/>
        </w:rPr>
      </w:pPr>
      <w:r>
        <w:rPr>
          <w:rFonts w:cs="XO Thames" w:ascii="XO Thames" w:hAnsi="XO Thames"/>
          <w:sz w:val="20"/>
          <w:szCs w:val="20"/>
        </w:rPr>
        <w:t>Техническое задание</w:t>
      </w:r>
    </w:p>
    <w:p>
      <w:pPr>
        <w:pStyle w:val="Style31"/>
        <w:bidi w:val="0"/>
        <w:jc w:val="center"/>
        <w:rPr>
          <w:rFonts w:ascii="XO Thames" w:hAnsi="XO Thames" w:cs="XO Thames"/>
          <w:sz w:val="20"/>
          <w:szCs w:val="20"/>
        </w:rPr>
      </w:pPr>
      <w:r>
        <w:rPr>
          <w:rFonts w:cs="XO Thames" w:ascii="XO Thames" w:hAnsi="XO Thames"/>
          <w:sz w:val="20"/>
          <w:szCs w:val="20"/>
        </w:rPr>
      </w:r>
    </w:p>
    <w:p>
      <w:pPr>
        <w:pStyle w:val="Style31"/>
        <w:bidi w:val="0"/>
        <w:jc w:val="start"/>
        <w:rPr>
          <w:rFonts w:ascii="XO Thames" w:hAnsi="XO Thames" w:cs="XO Thames"/>
          <w:sz w:val="20"/>
          <w:szCs w:val="20"/>
        </w:rPr>
      </w:pPr>
      <w:r>
        <w:rPr>
          <w:rFonts w:cs="XO Thames" w:ascii="XO Thames" w:hAnsi="XO Thames"/>
          <w:sz w:val="20"/>
          <w:szCs w:val="20"/>
        </w:rPr>
        <w:t>ОКПД2: 33.12.18.000 – услуги по ремонту и техническому обслуживанию небытового холодильного и вентиляционного оборудования</w:t>
      </w:r>
    </w:p>
    <w:p>
      <w:pPr>
        <w:pStyle w:val="Style31"/>
        <w:bidi w:val="0"/>
        <w:jc w:val="start"/>
        <w:rPr>
          <w:rFonts w:ascii="XO Thames" w:hAnsi="XO Thames" w:cs="XO Thames"/>
          <w:sz w:val="20"/>
          <w:szCs w:val="20"/>
        </w:rPr>
      </w:pPr>
      <w:r>
        <w:rPr>
          <w:rFonts w:cs="XO Thames" w:ascii="XO Thames" w:hAnsi="XO Thames"/>
          <w:sz w:val="20"/>
          <w:szCs w:val="20"/>
        </w:rPr>
        <w:t>Код КТРУ: 33.12.10.000-00000005 – Услуги по ремонту и техническому обслуживанию оборудования общего назначения (дата начала обязательного применения позиции каталога с 01.01.2027г.)</w:t>
      </w:r>
    </w:p>
    <w:p>
      <w:pPr>
        <w:pStyle w:val="Normal"/>
        <w:ind w:end="-2" w:hanging="0"/>
        <w:rPr>
          <w:rFonts w:ascii="XO Thames" w:hAnsi="XO Thames" w:cs="XO Thames"/>
          <w:sz w:val="20"/>
          <w:szCs w:val="20"/>
        </w:rPr>
      </w:pPr>
      <w:r>
        <w:rPr>
          <w:rFonts w:cs="XO Thames" w:ascii="XO Thames" w:hAnsi="XO Thames"/>
          <w:sz w:val="20"/>
          <w:szCs w:val="20"/>
        </w:rPr>
      </w:r>
    </w:p>
    <w:tbl>
      <w:tblPr>
        <w:tblW w:w="9537" w:type="dxa"/>
        <w:jc w:val="start"/>
        <w:tblInd w:w="-190" w:type="dxa"/>
        <w:tblCellMar>
          <w:top w:w="0" w:type="dxa"/>
          <w:start w:w="108" w:type="dxa"/>
          <w:bottom w:w="0" w:type="dxa"/>
          <w:end w:w="108" w:type="dxa"/>
        </w:tblCellMar>
      </w:tblPr>
      <w:tblGrid>
        <w:gridCol w:w="2730"/>
        <w:gridCol w:w="6807"/>
      </w:tblGrid>
      <w:tr>
        <w:trPr/>
        <w:tc>
          <w:tcPr>
            <w:tcW w:w="2730" w:type="dxa"/>
            <w:tcBorders>
              <w:top w:val="single" w:sz="4" w:space="0" w:color="000000"/>
              <w:start w:val="single" w:sz="4" w:space="0" w:color="000000"/>
              <w:bottom w:val="single" w:sz="4" w:space="0" w:color="000000"/>
            </w:tcBorders>
            <w:vAlign w:val="center"/>
          </w:tcPr>
          <w:p>
            <w:pPr>
              <w:pStyle w:val="Style31"/>
              <w:bidi w:val="0"/>
              <w:jc w:val="start"/>
              <w:rPr>
                <w:rFonts w:ascii="XO Thames" w:hAnsi="XO Thames" w:cs="XO Thames"/>
                <w:sz w:val="20"/>
                <w:szCs w:val="20"/>
              </w:rPr>
            </w:pPr>
            <w:r>
              <w:rPr>
                <w:rFonts w:cs="XO Thames" w:ascii="XO Thames" w:hAnsi="XO Thames"/>
                <w:sz w:val="20"/>
                <w:szCs w:val="20"/>
              </w:rPr>
              <w:t>Требования к качеству услуг</w:t>
            </w:r>
          </w:p>
        </w:tc>
        <w:tc>
          <w:tcPr>
            <w:tcW w:w="6807" w:type="dxa"/>
            <w:tcBorders>
              <w:top w:val="single" w:sz="4" w:space="0" w:color="000000"/>
              <w:start w:val="single" w:sz="4" w:space="0" w:color="000000"/>
              <w:bottom w:val="single" w:sz="4" w:space="0" w:color="000000"/>
              <w:end w:val="single" w:sz="4" w:space="0" w:color="000000"/>
            </w:tcBorders>
            <w:vAlign w:val="center"/>
          </w:tcPr>
          <w:p>
            <w:pPr>
              <w:pStyle w:val="Style31"/>
              <w:bidi w:val="0"/>
              <w:jc w:val="start"/>
              <w:rPr>
                <w:rFonts w:ascii="XO Thames" w:hAnsi="XO Thames" w:cs="XO Thames"/>
                <w:sz w:val="20"/>
                <w:szCs w:val="20"/>
              </w:rPr>
            </w:pPr>
            <w:r>
              <w:rPr>
                <w:rFonts w:cs="XO Thames" w:ascii="XO Thames" w:hAnsi="XO Thames"/>
                <w:b/>
                <w:bCs/>
                <w:sz w:val="20"/>
                <w:szCs w:val="20"/>
              </w:rPr>
              <w:t xml:space="preserve">Регламент по техническому обслуживанию холодильного оборудования, включает в себя: </w:t>
            </w:r>
          </w:p>
          <w:p>
            <w:pPr>
              <w:pStyle w:val="Style31"/>
              <w:bidi w:val="0"/>
              <w:jc w:val="start"/>
              <w:rPr>
                <w:rFonts w:ascii="XO Thames" w:hAnsi="XO Thames" w:cs="XO Thames"/>
                <w:sz w:val="20"/>
                <w:szCs w:val="20"/>
              </w:rPr>
            </w:pPr>
            <w:r>
              <w:rPr>
                <w:rFonts w:cs="XO Thames" w:ascii="XO Thames" w:hAnsi="XO Thames"/>
                <w:sz w:val="20"/>
                <w:szCs w:val="20"/>
              </w:rPr>
              <w:t>Обесточивание установки, принятие мер безопасности.</w:t>
            </w:r>
          </w:p>
          <w:p>
            <w:pPr>
              <w:pStyle w:val="Style31"/>
              <w:bidi w:val="0"/>
              <w:jc w:val="start"/>
              <w:rPr>
                <w:rFonts w:ascii="XO Thames" w:hAnsi="XO Thames" w:cs="XO Thames"/>
                <w:sz w:val="20"/>
                <w:szCs w:val="20"/>
              </w:rPr>
            </w:pPr>
            <w:r>
              <w:rPr>
                <w:rFonts w:cs="XO Thames" w:ascii="XO Thames" w:hAnsi="XO Thames"/>
                <w:sz w:val="20"/>
                <w:szCs w:val="20"/>
              </w:rPr>
              <w:t>Внешний осмотр, проверка целостности корпуса, теплообменников, электрооборудования.</w:t>
            </w:r>
          </w:p>
          <w:p>
            <w:pPr>
              <w:pStyle w:val="Style31"/>
              <w:bidi w:val="0"/>
              <w:jc w:val="start"/>
              <w:rPr>
                <w:rFonts w:ascii="XO Thames" w:hAnsi="XO Thames" w:cs="XO Thames"/>
                <w:sz w:val="20"/>
                <w:szCs w:val="20"/>
              </w:rPr>
            </w:pPr>
            <w:r>
              <w:rPr>
                <w:rFonts w:cs="XO Thames" w:ascii="XO Thames" w:hAnsi="XO Thames"/>
                <w:sz w:val="20"/>
                <w:szCs w:val="20"/>
              </w:rPr>
              <w:t>Комплексная диагностика: замер рабочих давлений, токов, перегрева/переохлаждения, проверка утечек электронным течеискателем.</w:t>
            </w:r>
          </w:p>
          <w:p>
            <w:pPr>
              <w:pStyle w:val="Style31"/>
              <w:bidi w:val="0"/>
              <w:jc w:val="start"/>
              <w:rPr>
                <w:rFonts w:ascii="XO Thames" w:hAnsi="XO Thames" w:cs="XO Thames"/>
                <w:sz w:val="20"/>
                <w:szCs w:val="20"/>
              </w:rPr>
            </w:pPr>
            <w:r>
              <w:rPr>
                <w:rFonts w:cs="XO Thames" w:ascii="XO Thames" w:hAnsi="XO Thames"/>
                <w:sz w:val="20"/>
                <w:szCs w:val="20"/>
              </w:rPr>
              <w:t>Установление причины неисправности и согласование с Заказчиком объёмов дополнительных работ (при выявлении).</w:t>
            </w:r>
          </w:p>
          <w:p>
            <w:pPr>
              <w:pStyle w:val="Style31"/>
              <w:bidi w:val="0"/>
              <w:jc w:val="start"/>
              <w:rPr>
                <w:rFonts w:ascii="XO Thames" w:hAnsi="XO Thames" w:cs="XO Thames"/>
                <w:sz w:val="20"/>
                <w:szCs w:val="20"/>
              </w:rPr>
            </w:pPr>
            <w:r>
              <w:rPr>
                <w:rFonts w:cs="XO Thames" w:ascii="XO Thames" w:hAnsi="XO Thames"/>
                <w:sz w:val="20"/>
                <w:szCs w:val="20"/>
              </w:rPr>
              <w:t xml:space="preserve">4.2. </w:t>
            </w:r>
            <w:r>
              <w:rPr>
                <w:rFonts w:cs="XO Thames" w:ascii="XO Thames" w:hAnsi="XO Thames"/>
                <w:b/>
                <w:bCs/>
                <w:sz w:val="20"/>
                <w:szCs w:val="20"/>
              </w:rPr>
              <w:t>Ремонт холодильного контура:</w:t>
            </w:r>
          </w:p>
          <w:p>
            <w:pPr>
              <w:pStyle w:val="Style31"/>
              <w:bidi w:val="0"/>
              <w:jc w:val="start"/>
              <w:rPr>
                <w:rFonts w:ascii="XO Thames" w:hAnsi="XO Thames" w:cs="XO Thames"/>
                <w:sz w:val="20"/>
                <w:szCs w:val="20"/>
              </w:rPr>
            </w:pPr>
            <w:r>
              <w:rPr>
                <w:rFonts w:cs="XO Thames" w:ascii="XO Thames" w:hAnsi="XO Thames"/>
                <w:sz w:val="20"/>
                <w:szCs w:val="20"/>
              </w:rPr>
              <w:t>Эвакуация хладагента в реципиент (рекуперация).</w:t>
            </w:r>
          </w:p>
          <w:p>
            <w:pPr>
              <w:pStyle w:val="Style31"/>
              <w:bidi w:val="0"/>
              <w:jc w:val="start"/>
              <w:rPr>
                <w:rFonts w:ascii="XO Thames" w:hAnsi="XO Thames" w:cs="XO Thames"/>
                <w:sz w:val="20"/>
                <w:szCs w:val="20"/>
              </w:rPr>
            </w:pPr>
            <w:r>
              <w:rPr>
                <w:rFonts w:cs="XO Thames" w:ascii="XO Thames" w:hAnsi="XO Thames"/>
                <w:sz w:val="20"/>
                <w:szCs w:val="20"/>
              </w:rPr>
              <w:t>Демонтаж дефектных узлов (компрессор, ТРВ, соленоидный вентиль, реле давления, датчики и т.п.).</w:t>
            </w:r>
          </w:p>
          <w:p>
            <w:pPr>
              <w:pStyle w:val="Style31"/>
              <w:bidi w:val="0"/>
              <w:jc w:val="start"/>
              <w:rPr>
                <w:rFonts w:ascii="XO Thames" w:hAnsi="XO Thames" w:cs="XO Thames"/>
                <w:sz w:val="20"/>
                <w:szCs w:val="20"/>
              </w:rPr>
            </w:pPr>
            <w:r>
              <w:rPr>
                <w:rFonts w:cs="XO Thames" w:ascii="XO Thames" w:hAnsi="XO Thames"/>
                <w:sz w:val="20"/>
                <w:szCs w:val="20"/>
              </w:rPr>
              <w:t>Замена масла в компрессоре (при сохранении компрессора) на масло, соответствующее типу хладагента.</w:t>
            </w:r>
          </w:p>
          <w:p>
            <w:pPr>
              <w:pStyle w:val="Style31"/>
              <w:bidi w:val="0"/>
              <w:jc w:val="start"/>
              <w:rPr>
                <w:rFonts w:ascii="XO Thames" w:hAnsi="XO Thames" w:cs="XO Thames"/>
                <w:sz w:val="20"/>
                <w:szCs w:val="20"/>
              </w:rPr>
            </w:pPr>
            <w:r>
              <w:rPr>
                <w:rFonts w:cs="XO Thames" w:ascii="XO Thames" w:hAnsi="XO Thames"/>
                <w:sz w:val="20"/>
                <w:szCs w:val="20"/>
              </w:rPr>
              <w:t>Замена фильтра-осушителя (обязательно при любом вскрытии контура).</w:t>
            </w:r>
          </w:p>
          <w:p>
            <w:pPr>
              <w:pStyle w:val="Style31"/>
              <w:bidi w:val="0"/>
              <w:jc w:val="start"/>
              <w:rPr>
                <w:rFonts w:ascii="XO Thames" w:hAnsi="XO Thames" w:cs="XO Thames"/>
                <w:sz w:val="20"/>
                <w:szCs w:val="20"/>
              </w:rPr>
            </w:pPr>
            <w:r>
              <w:rPr>
                <w:rFonts w:cs="XO Thames" w:ascii="XO Thames" w:hAnsi="XO Thames"/>
                <w:sz w:val="20"/>
                <w:szCs w:val="20"/>
              </w:rPr>
              <w:t>При необходимости замена/чистка конденсатора, проверка электродвигателей вентиляторов.</w:t>
            </w:r>
          </w:p>
          <w:p>
            <w:pPr>
              <w:pStyle w:val="Style31"/>
              <w:bidi w:val="0"/>
              <w:jc w:val="start"/>
              <w:rPr>
                <w:rFonts w:ascii="XO Thames" w:hAnsi="XO Thames" w:cs="XO Thames"/>
                <w:sz w:val="20"/>
                <w:szCs w:val="20"/>
              </w:rPr>
            </w:pPr>
            <w:r>
              <w:rPr>
                <w:rFonts w:cs="XO Thames" w:ascii="XO Thames" w:hAnsi="XO Thames"/>
                <w:sz w:val="20"/>
                <w:szCs w:val="20"/>
              </w:rPr>
              <w:t>Пайка соединений, опрессовка азотом, вакуумирование, заправка хладагентом.</w:t>
            </w:r>
          </w:p>
          <w:p>
            <w:pPr>
              <w:pStyle w:val="Style31"/>
              <w:bidi w:val="0"/>
              <w:jc w:val="start"/>
              <w:rPr>
                <w:rFonts w:ascii="XO Thames" w:hAnsi="XO Thames" w:cs="XO Thames"/>
                <w:sz w:val="20"/>
                <w:szCs w:val="20"/>
              </w:rPr>
            </w:pPr>
            <w:r>
              <w:rPr>
                <w:rFonts w:cs="XO Thames" w:ascii="XO Thames" w:hAnsi="XO Thames"/>
                <w:sz w:val="20"/>
                <w:szCs w:val="20"/>
              </w:rPr>
              <w:t xml:space="preserve">4.3. </w:t>
            </w:r>
            <w:r>
              <w:rPr>
                <w:rFonts w:cs="XO Thames" w:ascii="XO Thames" w:hAnsi="XO Thames"/>
                <w:b/>
                <w:bCs/>
                <w:sz w:val="20"/>
                <w:szCs w:val="20"/>
              </w:rPr>
              <w:t>Ремонт электрической части и автоматики:</w:t>
            </w:r>
          </w:p>
          <w:p>
            <w:pPr>
              <w:pStyle w:val="Style31"/>
              <w:bidi w:val="0"/>
              <w:jc w:val="start"/>
              <w:rPr>
                <w:rFonts w:ascii="XO Thames" w:hAnsi="XO Thames" w:cs="XO Thames"/>
                <w:sz w:val="20"/>
                <w:szCs w:val="20"/>
              </w:rPr>
            </w:pPr>
            <w:r>
              <w:rPr>
                <w:rFonts w:cs="XO Thames" w:ascii="XO Thames" w:hAnsi="XO Thames"/>
                <w:sz w:val="20"/>
                <w:szCs w:val="20"/>
              </w:rPr>
              <w:t>Проверка и протяжка всех контактных соединений.</w:t>
            </w:r>
          </w:p>
          <w:p>
            <w:pPr>
              <w:pStyle w:val="Style31"/>
              <w:bidi w:val="0"/>
              <w:jc w:val="start"/>
              <w:rPr>
                <w:rFonts w:ascii="XO Thames" w:hAnsi="XO Thames" w:cs="XO Thames"/>
                <w:sz w:val="20"/>
                <w:szCs w:val="20"/>
              </w:rPr>
            </w:pPr>
            <w:r>
              <w:rPr>
                <w:rFonts w:cs="XO Thames" w:ascii="XO Thames" w:hAnsi="XO Thames"/>
                <w:sz w:val="20"/>
                <w:szCs w:val="20"/>
              </w:rPr>
              <w:t>Диагностика контроллера, датчиков температуры, реле давления, контактора, теплового реле.</w:t>
            </w:r>
          </w:p>
          <w:p>
            <w:pPr>
              <w:pStyle w:val="Style31"/>
              <w:bidi w:val="0"/>
              <w:jc w:val="start"/>
              <w:rPr>
                <w:rFonts w:ascii="XO Thames" w:hAnsi="XO Thames" w:cs="XO Thames"/>
                <w:sz w:val="20"/>
                <w:szCs w:val="20"/>
              </w:rPr>
            </w:pPr>
            <w:r>
              <w:rPr>
                <w:rFonts w:cs="XO Thames" w:ascii="XO Thames" w:hAnsi="XO Thames"/>
                <w:sz w:val="20"/>
                <w:szCs w:val="20"/>
              </w:rPr>
              <w:t>Замена дефектных компонентов.</w:t>
            </w:r>
          </w:p>
          <w:p>
            <w:pPr>
              <w:pStyle w:val="Style31"/>
              <w:bidi w:val="0"/>
              <w:jc w:val="start"/>
              <w:rPr>
                <w:rFonts w:ascii="XO Thames" w:hAnsi="XO Thames" w:cs="XO Thames"/>
                <w:sz w:val="20"/>
                <w:szCs w:val="20"/>
              </w:rPr>
            </w:pPr>
            <w:r>
              <w:rPr>
                <w:rFonts w:cs="XO Thames" w:ascii="XO Thames" w:hAnsi="XO Thames"/>
                <w:sz w:val="20"/>
                <w:szCs w:val="20"/>
              </w:rPr>
              <w:t>Проверка цепи защиты, работоспособности картерного нагревателя (при наличии).</w:t>
            </w:r>
          </w:p>
          <w:p>
            <w:pPr>
              <w:pStyle w:val="Style31"/>
              <w:bidi w:val="0"/>
              <w:jc w:val="start"/>
              <w:rPr>
                <w:rFonts w:ascii="XO Thames" w:hAnsi="XO Thames" w:cs="XO Thames"/>
                <w:sz w:val="20"/>
                <w:szCs w:val="20"/>
              </w:rPr>
            </w:pPr>
            <w:r>
              <w:rPr>
                <w:rFonts w:cs="XO Thames" w:ascii="XO Thames" w:hAnsi="XO Thames"/>
                <w:sz w:val="20"/>
                <w:szCs w:val="20"/>
              </w:rPr>
              <w:t xml:space="preserve">4.4. </w:t>
            </w:r>
            <w:r>
              <w:rPr>
                <w:rFonts w:cs="XO Thames" w:ascii="XO Thames" w:hAnsi="XO Thames"/>
                <w:b/>
                <w:bCs/>
                <w:sz w:val="20"/>
                <w:szCs w:val="20"/>
              </w:rPr>
              <w:t>Пусконаладочные работы:</w:t>
            </w:r>
          </w:p>
          <w:p>
            <w:pPr>
              <w:pStyle w:val="Style31"/>
              <w:bidi w:val="0"/>
              <w:jc w:val="start"/>
              <w:rPr>
                <w:rFonts w:ascii="XO Thames" w:hAnsi="XO Thames" w:cs="XO Thames"/>
                <w:sz w:val="20"/>
                <w:szCs w:val="20"/>
              </w:rPr>
            </w:pPr>
            <w:r>
              <w:rPr>
                <w:rFonts w:cs="XO Thames" w:ascii="XO Thames" w:hAnsi="XO Thames"/>
                <w:sz w:val="20"/>
                <w:szCs w:val="20"/>
              </w:rPr>
              <w:t>Первичный пуск, контроль давления масла, токов.</w:t>
            </w:r>
          </w:p>
          <w:p>
            <w:pPr>
              <w:pStyle w:val="Style31"/>
              <w:bidi w:val="0"/>
              <w:jc w:val="start"/>
              <w:rPr>
                <w:rFonts w:ascii="XO Thames" w:hAnsi="XO Thames" w:cs="XO Thames"/>
                <w:sz w:val="20"/>
                <w:szCs w:val="20"/>
              </w:rPr>
            </w:pPr>
            <w:r>
              <w:rPr>
                <w:rFonts w:cs="XO Thames" w:ascii="XO Thames" w:hAnsi="XO Thames"/>
                <w:sz w:val="20"/>
                <w:szCs w:val="20"/>
              </w:rPr>
              <w:t>Регулировка ТРВ под фактическую нагрузку.</w:t>
            </w:r>
          </w:p>
          <w:p>
            <w:pPr>
              <w:pStyle w:val="Style31"/>
              <w:bidi w:val="0"/>
              <w:jc w:val="start"/>
              <w:rPr>
                <w:rFonts w:ascii="XO Thames" w:hAnsi="XO Thames" w:cs="XO Thames"/>
                <w:sz w:val="20"/>
                <w:szCs w:val="20"/>
              </w:rPr>
            </w:pPr>
            <w:r>
              <w:rPr>
                <w:rFonts w:cs="XO Thames" w:ascii="XO Thames" w:hAnsi="XO Thames"/>
                <w:sz w:val="20"/>
                <w:szCs w:val="20"/>
              </w:rPr>
              <w:t xml:space="preserve">Настройка контроллера/термостата на требуемый температурный режим. </w:t>
            </w:r>
          </w:p>
        </w:tc>
      </w:tr>
      <w:tr>
        <w:trPr/>
        <w:tc>
          <w:tcPr>
            <w:tcW w:w="2730" w:type="dxa"/>
            <w:tcBorders>
              <w:top w:val="single" w:sz="4" w:space="0" w:color="000000"/>
              <w:start w:val="single" w:sz="4" w:space="0" w:color="000000"/>
              <w:bottom w:val="single" w:sz="4" w:space="0" w:color="000000"/>
            </w:tcBorders>
            <w:vAlign w:val="center"/>
          </w:tcPr>
          <w:p>
            <w:pPr>
              <w:pStyle w:val="Style31"/>
              <w:bidi w:val="0"/>
              <w:jc w:val="start"/>
              <w:rPr>
                <w:rFonts w:ascii="XO Thames" w:hAnsi="XO Thames" w:cs="XO Thames"/>
                <w:sz w:val="20"/>
                <w:szCs w:val="20"/>
              </w:rPr>
            </w:pPr>
            <w:r>
              <w:rPr>
                <w:rFonts w:cs="XO Thames" w:ascii="XO Thames" w:hAnsi="XO Thames"/>
                <w:sz w:val="20"/>
                <w:szCs w:val="20"/>
              </w:rPr>
              <w:t>Наименование объекта закупки</w:t>
            </w:r>
          </w:p>
        </w:tc>
        <w:tc>
          <w:tcPr>
            <w:tcW w:w="6807" w:type="dxa"/>
            <w:tcBorders>
              <w:top w:val="single" w:sz="4" w:space="0" w:color="000000"/>
              <w:start w:val="single" w:sz="4" w:space="0" w:color="000000"/>
              <w:bottom w:val="single" w:sz="4" w:space="0" w:color="000000"/>
              <w:end w:val="single" w:sz="4" w:space="0" w:color="000000"/>
            </w:tcBorders>
            <w:vAlign w:val="center"/>
          </w:tcPr>
          <w:tbl>
            <w:tblPr>
              <w:tblW w:w="6453" w:type="dxa"/>
              <w:jc w:val="start"/>
              <w:tblInd w:w="108" w:type="dxa"/>
              <w:tblCellMar>
                <w:top w:w="0" w:type="dxa"/>
                <w:start w:w="108" w:type="dxa"/>
                <w:bottom w:w="0" w:type="dxa"/>
                <w:end w:w="108" w:type="dxa"/>
              </w:tblCellMar>
            </w:tblPr>
            <w:tblGrid>
              <w:gridCol w:w="3033"/>
              <w:gridCol w:w="966"/>
              <w:gridCol w:w="2444"/>
              <w:gridCol w:w="10"/>
            </w:tblGrid>
            <w:tr>
              <w:trPr/>
              <w:tc>
                <w:tcPr>
                  <w:tcW w:w="3033" w:type="dxa"/>
                  <w:tcBorders>
                    <w:top w:val="single" w:sz="4" w:space="0" w:color="000000"/>
                    <w:start w:val="single" w:sz="4" w:space="0" w:color="000000"/>
                    <w:bottom w:val="single" w:sz="4" w:space="0" w:color="000000"/>
                  </w:tcBorders>
                  <w:vAlign w:val="center"/>
                </w:tcPr>
                <w:p>
                  <w:pPr>
                    <w:pStyle w:val="Style31"/>
                    <w:bidi w:val="0"/>
                    <w:jc w:val="start"/>
                    <w:rPr>
                      <w:rFonts w:ascii="XO Thames" w:hAnsi="XO Thames" w:cs="XO Thames"/>
                      <w:sz w:val="20"/>
                      <w:szCs w:val="20"/>
                    </w:rPr>
                  </w:pPr>
                  <w:r>
                    <w:rPr>
                      <w:rFonts w:cs="XO Thames" w:ascii="XO Thames" w:hAnsi="XO Thames"/>
                      <w:sz w:val="20"/>
                      <w:szCs w:val="20"/>
                    </w:rPr>
                    <w:t>Наименование</w:t>
                  </w:r>
                </w:p>
              </w:tc>
              <w:tc>
                <w:tcPr>
                  <w:tcW w:w="966" w:type="dxa"/>
                  <w:tcBorders>
                    <w:top w:val="single" w:sz="4" w:space="0" w:color="000000"/>
                    <w:start w:val="single" w:sz="4" w:space="0" w:color="000000"/>
                    <w:bottom w:val="single" w:sz="4" w:space="0" w:color="000000"/>
                  </w:tcBorders>
                  <w:tcMar>
                    <w:top w:w="55" w:type="dxa"/>
                    <w:bottom w:w="55" w:type="dxa"/>
                  </w:tcMar>
                  <w:vAlign w:val="center"/>
                </w:tcPr>
                <w:p>
                  <w:pPr>
                    <w:pStyle w:val="Style31"/>
                    <w:bidi w:val="0"/>
                    <w:jc w:val="start"/>
                    <w:rPr>
                      <w:rFonts w:ascii="XO Thames" w:hAnsi="XO Thames" w:cs="XO Thames"/>
                      <w:sz w:val="20"/>
                      <w:szCs w:val="20"/>
                    </w:rPr>
                  </w:pPr>
                  <w:r>
                    <w:rPr>
                      <w:rFonts w:cs="XO Thames" w:ascii="XO Thames" w:hAnsi="XO Thames"/>
                      <w:sz w:val="20"/>
                      <w:szCs w:val="20"/>
                    </w:rPr>
                    <w:t>Объем, (м3)</w:t>
                  </w:r>
                </w:p>
              </w:tc>
              <w:tc>
                <w:tcPr>
                  <w:tcW w:w="2454" w:type="dxa"/>
                  <w:tcBorders>
                    <w:top w:val="single" w:sz="4" w:space="0" w:color="000000"/>
                    <w:start w:val="single" w:sz="4" w:space="0" w:color="000000"/>
                    <w:bottom w:val="single" w:sz="4" w:space="0" w:color="000000"/>
                    <w:end w:val="single" w:sz="4" w:space="0" w:color="000000"/>
                  </w:tcBorders>
                  <w:tcMar>
                    <w:top w:w="55" w:type="dxa"/>
                    <w:bottom w:w="55" w:type="dxa"/>
                  </w:tcMar>
                  <w:vAlign w:val="center"/>
                </w:tcPr>
                <w:p>
                  <w:pPr>
                    <w:pStyle w:val="Style31"/>
                    <w:bidi w:val="0"/>
                    <w:jc w:val="start"/>
                    <w:rPr>
                      <w:rFonts w:ascii="XO Thames" w:hAnsi="XO Thames" w:cs="XO Thames"/>
                      <w:sz w:val="20"/>
                      <w:szCs w:val="20"/>
                    </w:rPr>
                  </w:pPr>
                  <w:r>
                    <w:rPr>
                      <w:rFonts w:cs="XO Thames" w:ascii="XO Thames" w:hAnsi="XO Thames"/>
                      <w:sz w:val="20"/>
                      <w:szCs w:val="20"/>
                    </w:rPr>
                    <w:t>Объем, (м3)</w:t>
                  </w:r>
                </w:p>
              </w:tc>
            </w:tr>
            <w:tr>
              <w:trPr/>
              <w:tc>
                <w:tcPr>
                  <w:tcW w:w="3033" w:type="dxa"/>
                  <w:tcBorders>
                    <w:start w:val="single" w:sz="4" w:space="0" w:color="000000"/>
                    <w:bottom w:val="single" w:sz="4" w:space="0" w:color="000000"/>
                  </w:tcBorders>
                  <w:vAlign w:val="center"/>
                </w:tcPr>
                <w:p>
                  <w:pPr>
                    <w:pStyle w:val="Style31"/>
                    <w:bidi w:val="0"/>
                    <w:jc w:val="start"/>
                    <w:rPr>
                      <w:rFonts w:ascii="XO Thames" w:hAnsi="XO Thames" w:cs="XO Thames"/>
                      <w:sz w:val="20"/>
                      <w:szCs w:val="20"/>
                    </w:rPr>
                  </w:pPr>
                  <w:r>
                    <w:rPr>
                      <w:rFonts w:cs="XO Thames" w:ascii="XO Thames" w:hAnsi="XO Thames"/>
                      <w:sz w:val="20"/>
                      <w:szCs w:val="20"/>
                    </w:rPr>
                    <w:t>Холодильная установка TF S50P</w:t>
                  </w:r>
                </w:p>
              </w:tc>
              <w:tc>
                <w:tcPr>
                  <w:tcW w:w="966" w:type="dxa"/>
                  <w:tcBorders>
                    <w:start w:val="single" w:sz="4" w:space="0" w:color="000000"/>
                    <w:bottom w:val="single" w:sz="4" w:space="0" w:color="000000"/>
                  </w:tcBorders>
                  <w:tcMar>
                    <w:top w:w="55" w:type="dxa"/>
                    <w:bottom w:w="55" w:type="dxa"/>
                  </w:tcMar>
                  <w:vAlign w:val="center"/>
                </w:tcPr>
                <w:p>
                  <w:pPr>
                    <w:pStyle w:val="Style31"/>
                    <w:bidi w:val="0"/>
                    <w:jc w:val="start"/>
                    <w:rPr>
                      <w:rFonts w:ascii="XO Thames" w:hAnsi="XO Thames" w:cs="XO Thames"/>
                      <w:sz w:val="20"/>
                      <w:szCs w:val="20"/>
                    </w:rPr>
                  </w:pPr>
                  <w:r>
                    <w:rPr>
                      <w:rFonts w:cs="XO Thames" w:ascii="XO Thames" w:hAnsi="XO Thames"/>
                      <w:sz w:val="20"/>
                      <w:szCs w:val="20"/>
                    </w:rPr>
                    <w:t>49,0</w:t>
                  </w:r>
                </w:p>
              </w:tc>
              <w:tc>
                <w:tcPr>
                  <w:tcW w:w="2454" w:type="dxa"/>
                  <w:tcBorders>
                    <w:start w:val="single" w:sz="4" w:space="0" w:color="000000"/>
                    <w:bottom w:val="single" w:sz="4" w:space="0" w:color="000000"/>
                    <w:end w:val="single" w:sz="4" w:space="0" w:color="000000"/>
                  </w:tcBorders>
                  <w:tcMar>
                    <w:top w:w="55" w:type="dxa"/>
                    <w:bottom w:w="55" w:type="dxa"/>
                  </w:tcMar>
                  <w:vAlign w:val="center"/>
                </w:tcPr>
                <w:p>
                  <w:pPr>
                    <w:pStyle w:val="Style31"/>
                    <w:bidi w:val="0"/>
                    <w:jc w:val="start"/>
                    <w:rPr>
                      <w:rFonts w:ascii="XO Thames" w:hAnsi="XO Thames" w:cs="XO Thames"/>
                      <w:sz w:val="20"/>
                      <w:szCs w:val="20"/>
                    </w:rPr>
                  </w:pPr>
                  <w:r>
                    <w:rPr>
                      <w:rFonts w:cs="XO Thames" w:ascii="XO Thames" w:hAnsi="XO Thames"/>
                      <w:sz w:val="20"/>
                      <w:szCs w:val="20"/>
                    </w:rPr>
                    <w:t>21</w:t>
                  </w:r>
                </w:p>
              </w:tc>
            </w:tr>
            <w:tr>
              <w:trPr/>
              <w:tc>
                <w:tcPr>
                  <w:tcW w:w="3033" w:type="dxa"/>
                  <w:tcBorders/>
                  <w:vAlign w:val="center"/>
                </w:tcPr>
                <w:p>
                  <w:pPr>
                    <w:pStyle w:val="Style31"/>
                    <w:bidi w:val="0"/>
                    <w:jc w:val="start"/>
                    <w:rPr>
                      <w:rFonts w:ascii="XO Thames" w:hAnsi="XO Thames" w:cs="XO Thames"/>
                      <w:sz w:val="20"/>
                      <w:szCs w:val="20"/>
                    </w:rPr>
                  </w:pPr>
                  <w:r>
                    <w:rPr>
                      <w:rFonts w:cs="XO Thames" w:ascii="XO Thames" w:hAnsi="XO Thames"/>
                      <w:sz w:val="20"/>
                      <w:szCs w:val="20"/>
                    </w:rPr>
                    <w:t> </w:t>
                  </w:r>
                </w:p>
              </w:tc>
              <w:tc>
                <w:tcPr>
                  <w:tcW w:w="966" w:type="dxa"/>
                  <w:tcBorders/>
                  <w:tcMar>
                    <w:top w:w="55" w:type="dxa"/>
                    <w:bottom w:w="55" w:type="dxa"/>
                  </w:tcMar>
                  <w:vAlign w:val="center"/>
                </w:tcPr>
                <w:p>
                  <w:pPr>
                    <w:pStyle w:val="Style31"/>
                    <w:bidi w:val="0"/>
                    <w:jc w:val="start"/>
                    <w:rPr>
                      <w:rFonts w:ascii="XO Thames" w:hAnsi="XO Thames" w:cs="XO Thames"/>
                      <w:sz w:val="20"/>
                      <w:szCs w:val="20"/>
                    </w:rPr>
                  </w:pPr>
                  <w:r>
                    <w:rPr>
                      <w:rFonts w:cs="XO Thames" w:ascii="XO Thames" w:hAnsi="XO Thames"/>
                      <w:sz w:val="20"/>
                      <w:szCs w:val="20"/>
                    </w:rPr>
                    <w:t> </w:t>
                  </w:r>
                </w:p>
              </w:tc>
              <w:tc>
                <w:tcPr>
                  <w:tcW w:w="2444" w:type="dxa"/>
                  <w:tcBorders/>
                  <w:tcMar>
                    <w:top w:w="55" w:type="dxa"/>
                    <w:bottom w:w="55" w:type="dxa"/>
                  </w:tcMar>
                  <w:vAlign w:val="center"/>
                </w:tcPr>
                <w:p>
                  <w:pPr>
                    <w:pStyle w:val="Style31"/>
                    <w:bidi w:val="0"/>
                    <w:jc w:val="start"/>
                    <w:rPr>
                      <w:rFonts w:ascii="XO Thames" w:hAnsi="XO Thames" w:cs="XO Thames"/>
                      <w:sz w:val="20"/>
                      <w:szCs w:val="20"/>
                    </w:rPr>
                  </w:pPr>
                  <w:r>
                    <w:rPr>
                      <w:rFonts w:cs="XO Thames" w:ascii="XO Thames" w:hAnsi="XO Thames"/>
                      <w:sz w:val="20"/>
                      <w:szCs w:val="20"/>
                    </w:rPr>
                    <w:t> </w:t>
                  </w:r>
                </w:p>
              </w:tc>
            </w:tr>
          </w:tbl>
          <w:p>
            <w:pPr>
              <w:pStyle w:val="Style31"/>
              <w:bidi w:val="0"/>
              <w:jc w:val="start"/>
              <w:rPr>
                <w:rFonts w:ascii="XO Thames" w:hAnsi="XO Thames" w:cs="XO Thames"/>
                <w:sz w:val="20"/>
                <w:szCs w:val="20"/>
              </w:rPr>
            </w:pPr>
            <w:r>
              <w:rPr>
                <w:rFonts w:cs="XO Thames" w:ascii="XO Thames" w:hAnsi="XO Thames"/>
                <w:sz w:val="20"/>
                <w:szCs w:val="20"/>
              </w:rPr>
            </w:r>
          </w:p>
        </w:tc>
      </w:tr>
      <w:tr>
        <w:trPr>
          <w:trHeight w:val="548" w:hRule="atLeast"/>
        </w:trPr>
        <w:tc>
          <w:tcPr>
            <w:tcW w:w="2730" w:type="dxa"/>
            <w:tcBorders>
              <w:top w:val="single" w:sz="4" w:space="0" w:color="000000"/>
              <w:start w:val="single" w:sz="4" w:space="0" w:color="000000"/>
              <w:bottom w:val="single" w:sz="4" w:space="0" w:color="000000"/>
            </w:tcBorders>
            <w:vAlign w:val="center"/>
          </w:tcPr>
          <w:p>
            <w:pPr>
              <w:pStyle w:val="Style31"/>
              <w:bidi w:val="0"/>
              <w:jc w:val="start"/>
              <w:rPr>
                <w:rFonts w:ascii="XO Thames" w:hAnsi="XO Thames" w:cs="XO Thames"/>
                <w:sz w:val="20"/>
                <w:szCs w:val="20"/>
              </w:rPr>
            </w:pPr>
            <w:r>
              <w:rPr>
                <w:rFonts w:cs="XO Thames" w:ascii="XO Thames" w:hAnsi="XO Thames"/>
                <w:sz w:val="20"/>
                <w:szCs w:val="20"/>
              </w:rPr>
              <w:t>Порядок и срок оказания услуг</w:t>
            </w:r>
          </w:p>
        </w:tc>
        <w:tc>
          <w:tcPr>
            <w:tcW w:w="6807" w:type="dxa"/>
            <w:tcBorders>
              <w:top w:val="single" w:sz="4" w:space="0" w:color="000000"/>
              <w:start w:val="single" w:sz="4" w:space="0" w:color="000000"/>
              <w:bottom w:val="single" w:sz="4" w:space="0" w:color="000000"/>
              <w:end w:val="single" w:sz="4" w:space="0" w:color="000000"/>
            </w:tcBorders>
            <w:vAlign w:val="center"/>
          </w:tcPr>
          <w:p>
            <w:pPr>
              <w:pStyle w:val="Style31"/>
              <w:bidi w:val="0"/>
              <w:jc w:val="start"/>
              <w:rPr>
                <w:rFonts w:ascii="XO Thames" w:hAnsi="XO Thames" w:cs="XO Thames"/>
                <w:sz w:val="20"/>
                <w:szCs w:val="20"/>
              </w:rPr>
            </w:pPr>
            <w:r>
              <w:rPr>
                <w:rFonts w:cs="XO Thames" w:ascii="XO Thames" w:hAnsi="XO Thames"/>
                <w:sz w:val="20"/>
                <w:szCs w:val="20"/>
              </w:rPr>
              <w:t>До 20 июля 2026 года.</w:t>
            </w:r>
          </w:p>
        </w:tc>
      </w:tr>
      <w:tr>
        <w:trPr>
          <w:trHeight w:val="817" w:hRule="atLeast"/>
        </w:trPr>
        <w:tc>
          <w:tcPr>
            <w:tcW w:w="2730" w:type="dxa"/>
            <w:tcBorders>
              <w:top w:val="single" w:sz="4" w:space="0" w:color="000000"/>
              <w:start w:val="single" w:sz="4" w:space="0" w:color="000000"/>
              <w:bottom w:val="single" w:sz="4" w:space="0" w:color="000000"/>
            </w:tcBorders>
            <w:vAlign w:val="center"/>
          </w:tcPr>
          <w:p>
            <w:pPr>
              <w:pStyle w:val="Style31"/>
              <w:bidi w:val="0"/>
              <w:jc w:val="start"/>
              <w:rPr>
                <w:rFonts w:ascii="XO Thames" w:hAnsi="XO Thames" w:cs="XO Thames"/>
                <w:sz w:val="20"/>
                <w:szCs w:val="20"/>
              </w:rPr>
            </w:pPr>
            <w:r>
              <w:rPr>
                <w:rFonts w:cs="XO Thames" w:ascii="XO Thames" w:hAnsi="XO Thames"/>
                <w:sz w:val="20"/>
                <w:szCs w:val="20"/>
              </w:rPr>
              <w:t>Результаты услуг</w:t>
            </w:r>
          </w:p>
        </w:tc>
        <w:tc>
          <w:tcPr>
            <w:tcW w:w="6807" w:type="dxa"/>
            <w:tcBorders>
              <w:top w:val="single" w:sz="4" w:space="0" w:color="000000"/>
              <w:start w:val="single" w:sz="4" w:space="0" w:color="000000"/>
              <w:bottom w:val="single" w:sz="4" w:space="0" w:color="000000"/>
              <w:end w:val="single" w:sz="4" w:space="0" w:color="000000"/>
            </w:tcBorders>
            <w:vAlign w:val="center"/>
          </w:tcPr>
          <w:p>
            <w:pPr>
              <w:pStyle w:val="Style31"/>
              <w:bidi w:val="0"/>
              <w:jc w:val="start"/>
              <w:rPr>
                <w:rFonts w:ascii="XO Thames" w:hAnsi="XO Thames" w:cs="XO Thames"/>
                <w:sz w:val="20"/>
                <w:szCs w:val="20"/>
              </w:rPr>
            </w:pPr>
            <w:r>
              <w:rPr>
                <w:rFonts w:cs="XO Thames" w:ascii="XO Thames" w:hAnsi="XO Thames"/>
                <w:sz w:val="20"/>
                <w:szCs w:val="20"/>
              </w:rPr>
              <w:t xml:space="preserve">Результатом услуг являются: </w:t>
            </w:r>
          </w:p>
          <w:p>
            <w:pPr>
              <w:pStyle w:val="Style31"/>
              <w:bidi w:val="0"/>
              <w:jc w:val="start"/>
              <w:rPr>
                <w:rFonts w:ascii="XO Thames" w:hAnsi="XO Thames" w:cs="XO Thames"/>
                <w:sz w:val="20"/>
                <w:szCs w:val="20"/>
              </w:rPr>
            </w:pPr>
            <w:r>
              <w:rPr>
                <w:rFonts w:cs="XO Thames" w:ascii="XO Thames" w:hAnsi="XO Thames"/>
                <w:sz w:val="20"/>
                <w:szCs w:val="20"/>
              </w:rPr>
              <w:t xml:space="preserve">выполнение всех указанных видов услуг в регламенте; </w:t>
            </w:r>
          </w:p>
          <w:p>
            <w:pPr>
              <w:pStyle w:val="Style31"/>
              <w:bidi w:val="0"/>
              <w:jc w:val="start"/>
              <w:rPr>
                <w:rFonts w:ascii="XO Thames" w:hAnsi="XO Thames" w:cs="XO Thames"/>
                <w:sz w:val="20"/>
                <w:szCs w:val="20"/>
              </w:rPr>
            </w:pPr>
            <w:r>
              <w:rPr>
                <w:rFonts w:cs="XO Thames" w:ascii="XO Thames" w:hAnsi="XO Thames"/>
                <w:sz w:val="20"/>
                <w:szCs w:val="20"/>
              </w:rPr>
              <w:t>полное обслуживание функционала указанной единици холодильного оборудования;</w:t>
            </w:r>
          </w:p>
          <w:p>
            <w:pPr>
              <w:pStyle w:val="Style31"/>
              <w:bidi w:val="0"/>
              <w:jc w:val="start"/>
              <w:rPr>
                <w:rFonts w:ascii="XO Thames" w:hAnsi="XO Thames" w:cs="XO Thames"/>
                <w:sz w:val="20"/>
                <w:szCs w:val="20"/>
              </w:rPr>
            </w:pPr>
            <w:r>
              <w:rPr>
                <w:rFonts w:cs="XO Thames" w:ascii="XO Thames" w:hAnsi="XO Thames"/>
                <w:sz w:val="20"/>
                <w:szCs w:val="20"/>
              </w:rPr>
              <w:t>доведение оборудования до рабочего состояния (ремонт, пуско-наладочные работы);</w:t>
            </w:r>
          </w:p>
          <w:p>
            <w:pPr>
              <w:pStyle w:val="Style31"/>
              <w:bidi w:val="0"/>
              <w:jc w:val="start"/>
              <w:rPr>
                <w:rFonts w:ascii="XO Thames" w:hAnsi="XO Thames" w:cs="XO Thames"/>
                <w:sz w:val="20"/>
                <w:szCs w:val="20"/>
              </w:rPr>
            </w:pPr>
            <w:r>
              <w:rPr>
                <w:rFonts w:cs="XO Thames" w:ascii="XO Thames" w:hAnsi="XO Thames"/>
                <w:sz w:val="20"/>
                <w:szCs w:val="20"/>
              </w:rPr>
              <w:t>гарантия на услуги составляет не менее 12 месяцев со дня подписания акта оказанных услуг.</w:t>
            </w:r>
          </w:p>
        </w:tc>
      </w:tr>
    </w:tbl>
    <w:p>
      <w:pPr>
        <w:pStyle w:val="34"/>
        <w:rPr>
          <w:rFonts w:ascii="PT Astra Serif" w:hAnsi="PT Astra Serif" w:cs="PT Astra Serif"/>
          <w:b/>
          <w:b/>
          <w:sz w:val="20"/>
          <w:szCs w:val="20"/>
        </w:rPr>
      </w:pPr>
      <w:r>
        <w:rPr>
          <w:rFonts w:cs="PT Astra Serif" w:ascii="PT Astra Serif" w:hAnsi="PT Astra Serif"/>
          <w:b/>
          <w:sz w:val="20"/>
          <w:szCs w:val="20"/>
        </w:rPr>
      </w:r>
    </w:p>
    <w:p>
      <w:pPr>
        <w:pStyle w:val="34"/>
        <w:rPr>
          <w:rFonts w:ascii="PT Astra Serif" w:hAnsi="PT Astra Serif" w:cs="PT Astra Serif"/>
          <w:b/>
          <w:b/>
          <w:sz w:val="20"/>
          <w:szCs w:val="20"/>
        </w:rPr>
      </w:pPr>
      <w:r>
        <w:rPr>
          <w:rFonts w:cs="PT Astra Serif" w:ascii="PT Astra Serif" w:hAnsi="PT Astra Serif"/>
          <w:b/>
          <w:sz w:val="20"/>
          <w:szCs w:val="20"/>
        </w:rPr>
      </w:r>
    </w:p>
    <w:tbl>
      <w:tblPr>
        <w:tblW w:w="9356" w:type="dxa"/>
        <w:jc w:val="start"/>
        <w:tblInd w:w="108" w:type="dxa"/>
        <w:tblCellMar>
          <w:top w:w="0" w:type="dxa"/>
          <w:start w:w="108" w:type="dxa"/>
          <w:bottom w:w="0" w:type="dxa"/>
          <w:end w:w="108" w:type="dxa"/>
        </w:tblCellMar>
      </w:tblPr>
      <w:tblGrid>
        <w:gridCol w:w="4678"/>
        <w:gridCol w:w="4678"/>
      </w:tblGrid>
      <w:tr>
        <w:trPr>
          <w:trHeight w:val="1276" w:hRule="atLeast"/>
        </w:trPr>
        <w:tc>
          <w:tcPr>
            <w:tcW w:w="4678" w:type="dxa"/>
            <w:tcBorders/>
          </w:tcPr>
          <w:p>
            <w:pPr>
              <w:pStyle w:val="Normal"/>
              <w:jc w:val="both"/>
              <w:rPr>
                <w:rFonts w:ascii="PT Astra Serif" w:hAnsi="PT Astra Serif" w:cs="PT Astra Serif"/>
                <w:b/>
                <w:b/>
              </w:rPr>
            </w:pPr>
            <w:r>
              <w:rPr>
                <w:rFonts w:cs="PT Astra Serif" w:ascii="PT Astra Serif" w:hAnsi="PT Astra Serif"/>
                <w:b/>
              </w:rPr>
              <w:t>Государственный заказчик</w:t>
            </w:r>
          </w:p>
          <w:p>
            <w:pPr>
              <w:pStyle w:val="Normal"/>
              <w:jc w:val="both"/>
              <w:rPr/>
            </w:pPr>
            <w:r>
              <w:rPr>
                <w:rFonts w:cs="PT Astra Serif" w:ascii="PT Astra Serif" w:hAnsi="PT Astra Serif"/>
                <w:b/>
              </w:rPr>
              <w:t xml:space="preserve">Врио начальника ФКУ ЛИУ-1 </w:t>
            </w:r>
          </w:p>
          <w:p>
            <w:pPr>
              <w:pStyle w:val="Normal"/>
              <w:jc w:val="both"/>
              <w:rPr>
                <w:rFonts w:ascii="PT Astra Serif" w:hAnsi="PT Astra Serif" w:cs="PT Astra Serif"/>
                <w:b/>
                <w:b/>
              </w:rPr>
            </w:pPr>
            <w:r>
              <w:rPr>
                <w:rFonts w:cs="PT Astra Serif" w:ascii="PT Astra Serif" w:hAnsi="PT Astra Serif"/>
                <w:b/>
              </w:rPr>
              <w:t>УФСИН России по Томской области</w:t>
            </w:r>
          </w:p>
          <w:p>
            <w:pPr>
              <w:pStyle w:val="Normal"/>
              <w:jc w:val="both"/>
              <w:rPr>
                <w:rFonts w:ascii="PT Astra Serif" w:hAnsi="PT Astra Serif" w:cs="PT Astra Serif"/>
                <w:b/>
                <w:b/>
              </w:rPr>
            </w:pPr>
            <w:r>
              <w:rPr>
                <w:rFonts w:cs="PT Astra Serif" w:ascii="PT Astra Serif" w:hAnsi="PT Astra Serif"/>
                <w:b/>
              </w:rPr>
            </w:r>
          </w:p>
          <w:p>
            <w:pPr>
              <w:pStyle w:val="Normal"/>
              <w:jc w:val="both"/>
              <w:rPr>
                <w:rFonts w:ascii="PT Astra Serif" w:hAnsi="PT Astra Serif" w:cs="PT Astra Serif"/>
                <w:b/>
                <w:b/>
              </w:rPr>
            </w:pPr>
            <w:r>
              <w:rPr>
                <w:rFonts w:cs="PT Astra Serif" w:ascii="PT Astra Serif" w:hAnsi="PT Astra Serif"/>
                <w:b/>
              </w:rPr>
              <w:t>______________ С.В.Волков</w:t>
            </w:r>
          </w:p>
          <w:p>
            <w:pPr>
              <w:pStyle w:val="Normal"/>
              <w:spacing w:lineRule="auto" w:line="120"/>
              <w:rPr>
                <w:rFonts w:ascii="PT Astra Serif" w:hAnsi="PT Astra Serif" w:cs="PT Astra Serif"/>
                <w:b/>
                <w:b/>
              </w:rPr>
            </w:pPr>
            <w:r>
              <w:rPr>
                <w:rFonts w:cs="PT Astra Serif" w:ascii="PT Astra Serif" w:hAnsi="PT Astra Serif"/>
                <w:b/>
              </w:rPr>
            </w:r>
          </w:p>
        </w:tc>
        <w:tc>
          <w:tcPr>
            <w:tcW w:w="4678" w:type="dxa"/>
            <w:tcBorders/>
          </w:tcPr>
          <w:p>
            <w:pPr>
              <w:pStyle w:val="Style23"/>
              <w:spacing w:before="0" w:after="0"/>
              <w:ind w:end="1038" w:hanging="0"/>
              <w:rPr>
                <w:rFonts w:ascii="PT Astra Serif" w:hAnsi="PT Astra Serif" w:cs="PT Astra Serif"/>
                <w:b/>
                <w:b/>
                <w:lang w:val="ru-RU"/>
              </w:rPr>
            </w:pPr>
            <w:r>
              <w:rPr>
                <w:rFonts w:cs="PT Astra Serif" w:ascii="PT Astra Serif" w:hAnsi="PT Astra Serif"/>
                <w:b/>
                <w:lang w:val="ru-RU"/>
              </w:rPr>
              <w:t>Исполнитель</w:t>
            </w:r>
          </w:p>
          <w:p>
            <w:pPr>
              <w:pStyle w:val="Style23"/>
              <w:spacing w:before="0" w:after="0"/>
              <w:ind w:end="1038" w:hanging="0"/>
              <w:rPr>
                <w:rFonts w:ascii="PT Astra Serif" w:hAnsi="PT Astra Serif" w:cs="PT Astra Serif"/>
                <w:b/>
                <w:b/>
                <w:lang w:val="ru-RU"/>
              </w:rPr>
            </w:pPr>
            <w:r>
              <w:rPr>
                <w:rFonts w:cs="PT Astra Serif" w:ascii="PT Astra Serif" w:hAnsi="PT Astra Serif"/>
                <w:b/>
                <w:lang w:val="ru-RU"/>
              </w:rPr>
            </w:r>
          </w:p>
          <w:p>
            <w:pPr>
              <w:pStyle w:val="Style23"/>
              <w:spacing w:before="0" w:after="0"/>
              <w:ind w:end="1038" w:hanging="0"/>
              <w:rPr>
                <w:rFonts w:ascii="PT Astra Serif" w:hAnsi="PT Astra Serif" w:cs="PT Astra Serif"/>
                <w:b/>
                <w:b/>
                <w:lang w:val="ru-RU"/>
              </w:rPr>
            </w:pPr>
            <w:r>
              <w:rPr>
                <w:rFonts w:cs="PT Astra Serif" w:ascii="PT Astra Serif" w:hAnsi="PT Astra Serif"/>
                <w:b/>
                <w:lang w:val="ru-RU"/>
              </w:rPr>
            </w:r>
          </w:p>
          <w:p>
            <w:pPr>
              <w:pStyle w:val="Style23"/>
              <w:spacing w:before="0" w:after="0"/>
              <w:ind w:end="1038" w:hanging="0"/>
              <w:rPr>
                <w:rFonts w:ascii="PT Astra Serif" w:hAnsi="PT Astra Serif" w:cs="PT Astra Serif"/>
                <w:b/>
                <w:b/>
                <w:lang w:val="ru-RU"/>
              </w:rPr>
            </w:pPr>
            <w:r>
              <w:rPr>
                <w:rFonts w:cs="PT Astra Serif" w:ascii="PT Astra Serif" w:hAnsi="PT Astra Serif"/>
                <w:b/>
                <w:lang w:val="ru-RU"/>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t xml:space="preserve">________________ </w:t>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23"/>
              <w:spacing w:before="0" w:after="120"/>
              <w:rPr>
                <w:rFonts w:ascii="PT Astra Serif" w:hAnsi="PT Astra Serif" w:cs="PT Astra Serif"/>
                <w:b/>
                <w:b/>
                <w:sz w:val="20"/>
                <w:szCs w:val="20"/>
                <w:lang w:val="ru-RU"/>
              </w:rPr>
            </w:pPr>
            <w:r>
              <w:rPr>
                <w:rFonts w:cs="PT Astra Serif" w:ascii="PT Astra Serif" w:hAnsi="PT Astra Serif"/>
                <w:b/>
                <w:sz w:val="20"/>
                <w:szCs w:val="20"/>
                <w:lang w:val="ru-RU"/>
              </w:rPr>
            </w:r>
          </w:p>
        </w:tc>
      </w:tr>
    </w:tbl>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spacing w:before="0" w:after="120"/>
        <w:rPr>
          <w:rFonts w:ascii="PT Astra Serif" w:hAnsi="PT Astra Serif" w:cs="PT Astra Serif"/>
          <w:sz w:val="20"/>
        </w:rPr>
      </w:pPr>
      <w:r>
        <w:rPr>
          <w:rFonts w:cs="PT Astra Serif" w:ascii="PT Astra Serif" w:hAnsi="PT Astra Serif"/>
          <w:sz w:val="20"/>
        </w:rPr>
      </w:r>
    </w:p>
    <w:sectPr>
      <w:headerReference w:type="default" r:id="rId14"/>
      <w:headerReference w:type="first" r:id="rId15"/>
      <w:type w:val="nextPage"/>
      <w:pgSz w:w="11906" w:h="16838"/>
      <w:pgMar w:left="1701" w:right="1089" w:header="709"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cc" w:characterSet="windows-1251"/>
    <w:family w:val="roman"/>
    <w:pitch w:val="variable"/>
  </w:font>
  <w:font w:name="Arial">
    <w:charset w:val="cc" w:characterSet="windows-1251"/>
    <w:family w:val="swiss"/>
    <w:pitch w:val="variable"/>
  </w:font>
  <w:font w:name="Courier New">
    <w:charset w:val="cc" w:characterSet="windows-1251"/>
    <w:family w:val="modern"/>
    <w:pitch w:val="default"/>
  </w:font>
  <w:font w:name="Wingdings">
    <w:charset w:val="02"/>
    <w:family w:val="auto"/>
    <w:pitch w:val="variable"/>
  </w:font>
  <w:font w:name="Cambria">
    <w:charset w:val="cc" w:characterSet="windows-1251"/>
    <w:family w:val="roman"/>
    <w:pitch w:val="variable"/>
  </w:font>
  <w:font w:name="Tahoma">
    <w:charset w:val="cc" w:characterSet="windows-1251"/>
    <w:family w:val="swiss"/>
    <w:pitch w:val="variable"/>
  </w:font>
  <w:font w:name="Calibri">
    <w:charset w:val="cc" w:characterSet="windows-1251"/>
    <w:family w:val="swiss"/>
    <w:pitch w:val="variable"/>
  </w:font>
  <w:font w:name="Verdana">
    <w:charset w:val="cc" w:characterSet="windows-1251"/>
    <w:family w:val="swiss"/>
    <w:pitch w:val="variable"/>
  </w:font>
  <w:font w:name="PT Astra Serif">
    <w:charset w:val="cc" w:characterSet="windows-1251"/>
    <w:family w:val="roman"/>
    <w:pitch w:val="variable"/>
  </w:font>
  <w:font w:name="XO Thames">
    <w:charset w:val="cc" w:characterSet="windows-125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rPr/>
    </w:pPr>
    <w:r>
      <w:rPr/>
    </w:r>
  </w:p>
  <w:p>
    <w:pPr>
      <w:pStyle w:val="Style2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start"/>
      <w:pPr>
        <w:tabs>
          <w:tab w:val="num" w:pos="0"/>
        </w:tabs>
        <w:ind w:start="0" w:hanging="0"/>
      </w:pPr>
    </w:lvl>
    <w:lvl w:ilvl="1">
      <w:start w:val="1"/>
      <w:pStyle w:val="2"/>
      <w:numFmt w:val="none"/>
      <w:suff w:val="nothing"/>
      <w:lvlText w:val=""/>
      <w:lvlJc w:val="start"/>
      <w:pPr>
        <w:tabs>
          <w:tab w:val="num" w:pos="0"/>
        </w:tabs>
        <w:ind w:start="0" w:hanging="0"/>
      </w:pPr>
    </w:lvl>
    <w:lvl w:ilvl="2">
      <w:start w:val="1"/>
      <w:pStyle w:val="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rPr/>
    </w:lvl>
  </w:abstractNum>
  <w:abstractNum w:abstractNumId="3">
    <w:lvl w:ilvl="0">
      <w:start w:val="1"/>
      <w:numFmt w:val="decimal"/>
      <w:lvlText w:val="%1."/>
      <w:lvlJc w:val="center"/>
      <w:pPr>
        <w:tabs>
          <w:tab w:val="num" w:pos="0"/>
        </w:tabs>
        <w:ind w:start="0" w:hanging="0"/>
      </w:pPr>
      <w:rPr>
        <w:i w:val="false"/>
        <w:b/>
        <w:rFonts w:cs="Times New Roman"/>
      </w:rPr>
    </w:lvl>
    <w:lvl w:ilvl="1">
      <w:start w:val="1"/>
      <w:numFmt w:val="decimal"/>
      <w:lvlText w:val="%1.%2"/>
      <w:lvlJc w:val="start"/>
      <w:pPr>
        <w:tabs>
          <w:tab w:val="num" w:pos="2471"/>
        </w:tabs>
        <w:ind w:start="2471" w:hanging="851"/>
      </w:pPr>
      <w:rPr>
        <w:smallCaps w:val="false"/>
        <w:caps w:val="false"/>
        <w:outline w:val="false"/>
        <w:dstrike w:val="false"/>
        <w:strike w:val="false"/>
        <w:vertAlign w:val="baseline"/>
        <w:position w:val="0"/>
        <w:sz w:val="24"/>
        <w:sz w:val="24"/>
        <w:spacing w:val="0"/>
        <w:i w:val="false"/>
        <w:shadow w:val="false"/>
        <w:u w:val="none"/>
        <w:b w:val="false"/>
        <w:kern w:val="0"/>
        <w:szCs w:val="24"/>
        <w:iCs w:val="false"/>
        <w:bCs w:val="false"/>
        <w:w w:val="100"/>
        <w:vanish w:val="false"/>
        <w:rFonts w:cs="Times New Roman"/>
        <w:color w:val="000000"/>
      </w:rPr>
    </w:lvl>
    <w:lvl w:ilvl="2">
      <w:start w:val="1"/>
      <w:numFmt w:val="decimal"/>
      <w:lvlText w:val="%1.%2.%3"/>
      <w:lvlJc w:val="start"/>
      <w:pPr>
        <w:tabs>
          <w:tab w:val="num" w:pos="851"/>
        </w:tabs>
        <w:ind w:start="851" w:hanging="851"/>
      </w:pPr>
      <w:rPr>
        <w:i w:val="false"/>
        <w:b w:val="false"/>
        <w:iCs w:val="false"/>
        <w:bCs w:val="false"/>
        <w:rFonts w:cs="Times New Roman"/>
      </w:rPr>
    </w:lvl>
    <w:lvl w:ilvl="3">
      <w:start w:val="1"/>
      <w:numFmt w:val="lowerLetter"/>
      <w:lvlText w:val="%4)"/>
      <w:lvlJc w:val="start"/>
      <w:pPr>
        <w:tabs>
          <w:tab w:val="num" w:pos="1418"/>
        </w:tabs>
        <w:ind w:start="1418" w:hanging="567"/>
      </w:pPr>
      <w:rPr>
        <w:smallCaps w:val="false"/>
        <w:caps w:val="false"/>
        <w:outline w:val="false"/>
        <w:dstrike w:val="false"/>
        <w:strike w:val="false"/>
        <w:vertAlign w:val="baseline"/>
        <w:position w:val="0"/>
        <w:sz w:val="24"/>
        <w:spacing w:val="0"/>
        <w:i w:val="false"/>
        <w:shadow w:val="false"/>
        <w:u w:val="none"/>
        <w:b w:val="false"/>
        <w:kern w:val="0"/>
        <w:iCs w:val="false"/>
        <w:bCs w:val="false"/>
        <w:w w:val="100"/>
        <w:vanish w:val="false"/>
        <w:rFonts w:cs="Times New Roman"/>
        <w:color w:val="000000"/>
      </w:rPr>
    </w:lvl>
    <w:lvl w:ilvl="4">
      <w:start w:val="1"/>
      <w:numFmt w:val="lowerLetter"/>
      <w:lvlText w:val="%5)"/>
      <w:lvlJc w:val="start"/>
      <w:pPr>
        <w:tabs>
          <w:tab w:val="num" w:pos="1134"/>
        </w:tabs>
        <w:ind w:start="1134" w:hanging="567"/>
      </w:pPr>
      <w:rPr>
        <w:rFonts w:cs="Times New Roman"/>
      </w:rPr>
    </w:lvl>
    <w:lvl w:ilvl="5">
      <w:start w:val="1"/>
      <w:numFmt w:val="bullet"/>
      <w:lvlText w:val=""/>
      <w:lvlJc w:val="start"/>
      <w:pPr>
        <w:tabs>
          <w:tab w:val="num" w:pos="1701"/>
        </w:tabs>
        <w:ind w:start="1701" w:hanging="567"/>
      </w:pPr>
      <w:rPr>
        <w:rFonts w:ascii="Symbol" w:hAnsi="Symbol" w:cs="Symbol" w:hint="default"/>
      </w:rPr>
    </w:lvl>
    <w:lvl w:ilvl="6">
      <w:start w:val="1"/>
      <w:numFmt w:val="lowerLetter"/>
      <w:lvlText w:val="%5.%6.%7)"/>
      <w:lvlJc w:val="start"/>
      <w:pPr>
        <w:tabs>
          <w:tab w:val="num" w:pos="2268"/>
        </w:tabs>
        <w:ind w:start="2268" w:hanging="567"/>
      </w:pPr>
      <w:rPr>
        <w:rFonts w:cs="Times New Roman"/>
      </w:rPr>
    </w:lvl>
    <w:lvl w:ilvl="7">
      <w:start w:val="1"/>
      <w:numFmt w:val="decimal"/>
      <w:lvlText w:val="%1.%2.%3.%4.%5.%6.%7.%8."/>
      <w:lvlJc w:val="start"/>
      <w:pPr>
        <w:tabs>
          <w:tab w:val="num" w:pos="3978"/>
        </w:tabs>
        <w:ind w:start="2322" w:hanging="1224"/>
      </w:pPr>
      <w:rPr>
        <w:rFonts w:cs="Times New Roman"/>
      </w:rPr>
    </w:lvl>
    <w:lvl w:ilvl="8">
      <w:start w:val="1"/>
      <w:numFmt w:val="decimal"/>
      <w:lvlText w:val="%1.%2.%3.%4.%5.%6.%7.%8.%9."/>
      <w:lvlJc w:val="start"/>
      <w:pPr>
        <w:tabs>
          <w:tab w:val="num" w:pos="4698"/>
        </w:tabs>
        <w:ind w:start="2898" w:hanging="1440"/>
      </w:pPr>
      <w:rPr>
        <w:rFonts w:cs="Times New Roman"/>
      </w:rPr>
    </w:lvl>
  </w:abstractNum>
  <w:abstractNum w:abstractNumId="4">
    <w:lvl w:ilvl="0">
      <w:start w:val="1"/>
      <w:numFmt w:val="decimal"/>
      <w:lvlText w:val="%1."/>
      <w:lvlJc w:val="start"/>
      <w:pPr>
        <w:tabs>
          <w:tab w:val="num" w:pos="0"/>
        </w:tabs>
        <w:ind w:start="2040" w:hanging="360"/>
      </w:pPr>
      <w:rPr/>
    </w:lvl>
    <w:lvl w:ilvl="1">
      <w:start w:val="1"/>
      <w:numFmt w:val="decimal"/>
      <w:lvlText w:val="%1.%2."/>
      <w:lvlJc w:val="start"/>
      <w:pPr>
        <w:tabs>
          <w:tab w:val="num" w:pos="0"/>
        </w:tabs>
        <w:ind w:start="912" w:hanging="432"/>
      </w:pPr>
      <w:rPr>
        <w:b w:val="false"/>
      </w:rPr>
    </w:lvl>
    <w:lvl w:ilvl="2">
      <w:start w:val="1"/>
      <w:numFmt w:val="decimal"/>
      <w:lvlText w:val="%1.%2.%3."/>
      <w:lvlJc w:val="start"/>
      <w:pPr>
        <w:tabs>
          <w:tab w:val="num" w:pos="0"/>
        </w:tabs>
        <w:ind w:start="1224" w:hanging="504"/>
      </w:pPr>
      <w:rPr>
        <w:b w:val="false"/>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6"/>
  <w:defaultTabStop w:val="708"/>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ru-RU" w:bidi="ar-SA" w:eastAsia="zh-CN"/>
    </w:rPr>
  </w:style>
  <w:style w:type="paragraph" w:styleId="2">
    <w:name w:val="Heading 2"/>
    <w:basedOn w:val="Normal"/>
    <w:next w:val="Normal"/>
    <w:qFormat/>
    <w:pPr>
      <w:keepNext w:val="true"/>
      <w:numPr>
        <w:ilvl w:val="1"/>
        <w:numId w:val="1"/>
      </w:numPr>
      <w:spacing w:before="240" w:after="60"/>
      <w:outlineLvl w:val="1"/>
    </w:pPr>
    <w:rPr>
      <w:rFonts w:ascii="Arial" w:hAnsi="Arial" w:cs="Arial"/>
      <w:b/>
      <w:bCs/>
      <w:i/>
      <w:iCs/>
      <w:sz w:val="24"/>
      <w:szCs w:val="24"/>
      <w:lang w:val="ru-RU"/>
    </w:rPr>
  </w:style>
  <w:style w:type="paragraph" w:styleId="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8">
    <w:name w:val="Heading 8"/>
    <w:basedOn w:val="Normal"/>
    <w:next w:val="Normal"/>
    <w:qFormat/>
    <w:pPr>
      <w:numPr>
        <w:ilvl w:val="7"/>
        <w:numId w:val="1"/>
      </w:numPr>
      <w:spacing w:before="240" w:after="60"/>
      <w:outlineLvl w:val="7"/>
    </w:pPr>
    <w:rPr>
      <w:i/>
      <w:iCs/>
      <w:sz w:val="24"/>
      <w:szCs w:val="24"/>
      <w:lang w:val="ru-RU"/>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Times New Roman" w:hAnsi="Times New Roman" w:cs="Times New Roman"/>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eastAsia="Times New Roman"/>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cs="Times New Roman"/>
      <w:b/>
      <w:i w:val="false"/>
    </w:rPr>
  </w:style>
  <w:style w:type="character" w:styleId="WW8Num19z1">
    <w:name w:val="WW8Num19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szCs w:val="24"/>
      <w:u w:val="none"/>
      <w:vertAlign w:val="baseline"/>
    </w:rPr>
  </w:style>
  <w:style w:type="character" w:styleId="WW8Num19z2">
    <w:name w:val="WW8Num19z2"/>
    <w:qFormat/>
    <w:rPr>
      <w:rFonts w:cs="Times New Roman"/>
      <w:b w:val="false"/>
      <w:bCs w:val="false"/>
      <w:i w:val="false"/>
      <w:iCs w:val="false"/>
    </w:rPr>
  </w:style>
  <w:style w:type="character" w:styleId="WW8Num19z3">
    <w:name w:val="WW8Num19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19z4">
    <w:name w:val="WW8Num19z4"/>
    <w:qFormat/>
    <w:rPr>
      <w:rFonts w:cs="Times New Roman"/>
    </w:rPr>
  </w:style>
  <w:style w:type="character" w:styleId="WW8Num19z5">
    <w:name w:val="WW8Num19z5"/>
    <w:qFormat/>
    <w:rPr>
      <w:rFonts w:ascii="Symbol" w:hAnsi="Symbol" w:cs="Symbol"/>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2z1">
    <w:name w:val="WW8Num22z1"/>
    <w:qFormat/>
    <w:rPr>
      <w:b w:val="false"/>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Symbol" w:hAnsi="Symbol" w:cs="Symbol"/>
      <w:sz w:val="20"/>
    </w:rPr>
  </w:style>
  <w:style w:type="character" w:styleId="WW8Num24z1">
    <w:name w:val="WW8Num24z1"/>
    <w:qFormat/>
    <w:rPr>
      <w:rFonts w:ascii="Courier New" w:hAnsi="Courier New" w:cs="Courier New"/>
      <w:sz w:val="20"/>
    </w:rPr>
  </w:style>
  <w:style w:type="character" w:styleId="WW8Num24z2">
    <w:name w:val="WW8Num24z2"/>
    <w:qFormat/>
    <w:rPr>
      <w:rFonts w:ascii="Wingdings" w:hAnsi="Wingdings" w:cs="Wingdings"/>
      <w:sz w:val="20"/>
    </w:rPr>
  </w:style>
  <w:style w:type="character" w:styleId="WW8Num25z0">
    <w:name w:val="WW8Num25z0"/>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St3z0">
    <w:name w:val="WW8NumSt3z0"/>
    <w:qFormat/>
    <w:rPr>
      <w:rFonts w:ascii="Times New Roman" w:hAnsi="Times New Roman" w:cs="Times New Roman"/>
    </w:rPr>
  </w:style>
  <w:style w:type="character" w:styleId="Style11">
    <w:name w:val="Основной шрифт абзаца"/>
    <w:qFormat/>
    <w:rPr/>
  </w:style>
  <w:style w:type="character" w:styleId="Style12">
    <w:name w:val="Основной текст Знак"/>
    <w:qFormat/>
    <w:rPr>
      <w:rFonts w:ascii="Times New Roman" w:hAnsi="Times New Roman" w:eastAsia="Times New Roman" w:cs="Times New Roman"/>
      <w:sz w:val="20"/>
      <w:szCs w:val="20"/>
    </w:rPr>
  </w:style>
  <w:style w:type="character" w:styleId="21">
    <w:name w:val="Основной текст 2 Знак"/>
    <w:qFormat/>
    <w:rPr>
      <w:rFonts w:ascii="Times New Roman" w:hAnsi="Times New Roman" w:eastAsia="Times New Roman" w:cs="Times New Roman"/>
      <w:sz w:val="28"/>
      <w:szCs w:val="20"/>
    </w:rPr>
  </w:style>
  <w:style w:type="character" w:styleId="Style13">
    <w:name w:val="Основной текст с отступом Знак"/>
    <w:qFormat/>
    <w:rPr>
      <w:rFonts w:ascii="Times New Roman" w:hAnsi="Times New Roman" w:eastAsia="Times New Roman" w:cs="Times New Roman"/>
      <w:sz w:val="20"/>
      <w:szCs w:val="20"/>
    </w:rPr>
  </w:style>
  <w:style w:type="character" w:styleId="31">
    <w:name w:val="Основной текст с отступом 3 Знак"/>
    <w:qFormat/>
    <w:rPr>
      <w:rFonts w:ascii="Times New Roman" w:hAnsi="Times New Roman" w:eastAsia="Times New Roman" w:cs="Times New Roman"/>
      <w:sz w:val="16"/>
      <w:szCs w:val="16"/>
    </w:rPr>
  </w:style>
  <w:style w:type="character" w:styleId="FontStyle15">
    <w:name w:val="Font Style15"/>
    <w:qFormat/>
    <w:rPr>
      <w:rFonts w:ascii="Times New Roman" w:hAnsi="Times New Roman" w:cs="Times New Roman"/>
      <w:sz w:val="22"/>
      <w:szCs w:val="22"/>
    </w:rPr>
  </w:style>
  <w:style w:type="character" w:styleId="Style14">
    <w:name w:val="Верхний колонтитул Знак"/>
    <w:qFormat/>
    <w:rPr>
      <w:rFonts w:ascii="Times New Roman" w:hAnsi="Times New Roman" w:eastAsia="Times New Roman" w:cs="Times New Roman"/>
    </w:rPr>
  </w:style>
  <w:style w:type="character" w:styleId="Style15">
    <w:name w:val="Нижний колонтитул Знак"/>
    <w:qFormat/>
    <w:rPr>
      <w:rFonts w:ascii="Times New Roman" w:hAnsi="Times New Roman" w:eastAsia="Times New Roman" w:cs="Times New Roman"/>
    </w:rPr>
  </w:style>
  <w:style w:type="character" w:styleId="22">
    <w:name w:val="Заголовок 2 Знак"/>
    <w:qFormat/>
    <w:rPr>
      <w:rFonts w:ascii="Cambria" w:hAnsi="Cambria" w:eastAsia="Times New Roman" w:cs="Times New Roman"/>
      <w:b/>
      <w:bCs/>
      <w:i/>
      <w:iCs/>
      <w:sz w:val="28"/>
      <w:szCs w:val="28"/>
    </w:rPr>
  </w:style>
  <w:style w:type="character" w:styleId="81">
    <w:name w:val="Заголовок 8 Знак"/>
    <w:qFormat/>
    <w:rPr>
      <w:rFonts w:ascii="Times New Roman" w:hAnsi="Times New Roman" w:eastAsia="Times New Roman" w:cs="Times New Roman"/>
      <w:i/>
      <w:iCs/>
      <w:sz w:val="24"/>
      <w:szCs w:val="24"/>
    </w:rPr>
  </w:style>
  <w:style w:type="character" w:styleId="211">
    <w:name w:val="Заголовок 2 Знак1"/>
    <w:qFormat/>
    <w:rPr>
      <w:rFonts w:ascii="Arial" w:hAnsi="Arial" w:eastAsia="Times New Roman" w:cs="Arial"/>
      <w:b/>
      <w:bCs/>
      <w:i/>
      <w:iCs/>
      <w:sz w:val="24"/>
      <w:szCs w:val="24"/>
    </w:rPr>
  </w:style>
  <w:style w:type="character" w:styleId="23">
    <w:name w:val="Основной текст с отступом 2 Знак"/>
    <w:qFormat/>
    <w:rPr>
      <w:rFonts w:ascii="Times New Roman" w:hAnsi="Times New Roman" w:eastAsia="Times New Roman" w:cs="Times New Roman"/>
    </w:rPr>
  </w:style>
  <w:style w:type="character" w:styleId="ConsPlusNormal">
    <w:name w:val="ConsPlusNormal Знак"/>
    <w:qFormat/>
    <w:rPr>
      <w:rFonts w:ascii="Arial" w:hAnsi="Arial" w:eastAsia="Times New Roman" w:cs="Arial"/>
      <w:sz w:val="24"/>
      <w:szCs w:val="24"/>
      <w:lang w:bidi="ar-SA"/>
    </w:rPr>
  </w:style>
  <w:style w:type="character" w:styleId="Style16">
    <w:name w:val="Пункты Знак"/>
    <w:qFormat/>
    <w:rPr>
      <w:bCs/>
      <w:iCs/>
      <w:color w:val="000000"/>
      <w:sz w:val="24"/>
      <w:szCs w:val="28"/>
      <w:lang w:val="ru-RU" w:bidi="ar-SA"/>
    </w:rPr>
  </w:style>
  <w:style w:type="character" w:styleId="Style17">
    <w:name w:val="Текст выноски Знак"/>
    <w:qFormat/>
    <w:rPr>
      <w:rFonts w:ascii="Tahoma" w:hAnsi="Tahoma" w:eastAsia="Times New Roman" w:cs="Tahoma"/>
      <w:sz w:val="16"/>
      <w:szCs w:val="16"/>
    </w:rPr>
  </w:style>
  <w:style w:type="character" w:styleId="Style18">
    <w:name w:val="Без интервала Знак"/>
    <w:qFormat/>
    <w:rPr>
      <w:sz w:val="22"/>
      <w:szCs w:val="22"/>
      <w:lang w:bidi="ar-SA"/>
    </w:rPr>
  </w:style>
  <w:style w:type="character" w:styleId="Style19">
    <w:name w:val="Текст сноски Знак"/>
    <w:qFormat/>
    <w:rPr>
      <w:rFonts w:ascii="Times New Roman" w:hAnsi="Times New Roman" w:eastAsia="Times New Roman" w:cs="Times New Roman"/>
    </w:rPr>
  </w:style>
  <w:style w:type="character" w:styleId="Style20">
    <w:name w:val="Символ сноски"/>
    <w:qFormat/>
    <w:rPr>
      <w:vertAlign w:val="superscript"/>
    </w:rPr>
  </w:style>
  <w:style w:type="character" w:styleId="Blk">
    <w:name w:val="blk"/>
    <w:qFormat/>
    <w:rPr/>
  </w:style>
  <w:style w:type="character" w:styleId="Style21">
    <w:name w:val="Интернет-ссылка"/>
    <w:rPr>
      <w:color w:val="0000FF"/>
      <w:u w:val="single"/>
    </w:rPr>
  </w:style>
  <w:style w:type="character" w:styleId="32">
    <w:name w:val="Основной текст 3 Знак"/>
    <w:basedOn w:val="Style11"/>
    <w:qFormat/>
    <w:rPr>
      <w:rFonts w:ascii="Times New Roman" w:hAnsi="Times New Roman" w:eastAsia="Times New Roman" w:cs="Times New Roman"/>
      <w:sz w:val="16"/>
      <w:szCs w:val="16"/>
    </w:rPr>
  </w:style>
  <w:style w:type="paragraph" w:styleId="Style22">
    <w:name w:val="Заголовок"/>
    <w:basedOn w:val="Normal"/>
    <w:next w:val="Style23"/>
    <w:qFormat/>
    <w:pPr>
      <w:keepNext w:val="true"/>
      <w:spacing w:before="240" w:after="120"/>
    </w:pPr>
    <w:rPr>
      <w:rFonts w:ascii="PT Astra Serif" w:hAnsi="PT Astra Serif" w:eastAsia="Tahoma" w:cs="Noto Sans Devanagari"/>
      <w:sz w:val="28"/>
      <w:szCs w:val="28"/>
    </w:rPr>
  </w:style>
  <w:style w:type="paragraph" w:styleId="Style23">
    <w:name w:val="Body Text"/>
    <w:basedOn w:val="Normal"/>
    <w:pPr>
      <w:spacing w:before="0" w:after="120"/>
    </w:pPr>
    <w:rPr>
      <w:lang w:val="ru-RU"/>
    </w:rPr>
  </w:style>
  <w:style w:type="paragraph" w:styleId="Style24">
    <w:name w:val="List"/>
    <w:basedOn w:val="Style23"/>
    <w:pPr/>
    <w:rPr>
      <w:rFonts w:ascii="PT Astra Serif" w:hAnsi="PT Astra Serif" w:cs="Noto Sans Devanagari"/>
    </w:rPr>
  </w:style>
  <w:style w:type="paragraph" w:styleId="Style25">
    <w:name w:val="Caption"/>
    <w:basedOn w:val="Normal"/>
    <w:qFormat/>
    <w:pPr>
      <w:suppressLineNumbers/>
      <w:spacing w:before="120" w:after="120"/>
    </w:pPr>
    <w:rPr>
      <w:rFonts w:ascii="PT Astra Serif" w:hAnsi="PT Astra Serif" w:cs="Noto Sans Devanagari"/>
      <w:i/>
      <w:iCs/>
      <w:sz w:val="24"/>
      <w:szCs w:val="24"/>
    </w:rPr>
  </w:style>
  <w:style w:type="paragraph" w:styleId="Style26">
    <w:name w:val="Указатель"/>
    <w:basedOn w:val="Normal"/>
    <w:qFormat/>
    <w:pPr>
      <w:suppressLineNumbers/>
    </w:pPr>
    <w:rPr>
      <w:rFonts w:ascii="PT Astra Serif" w:hAnsi="PT Astra Serif" w:cs="Noto Sans Devanagari"/>
    </w:rPr>
  </w:style>
  <w:style w:type="paragraph" w:styleId="24">
    <w:name w:val="Основной текст 2"/>
    <w:basedOn w:val="Normal"/>
    <w:qFormat/>
    <w:pPr>
      <w:jc w:val="both"/>
    </w:pPr>
    <w:rPr>
      <w:sz w:val="28"/>
      <w:lang w:val="ru-RU"/>
    </w:rPr>
  </w:style>
  <w:style w:type="paragraph" w:styleId="Style27">
    <w:name w:val="Body Text Indent"/>
    <w:basedOn w:val="Normal"/>
    <w:pPr>
      <w:spacing w:before="0" w:after="120"/>
      <w:ind w:start="283" w:hanging="0"/>
    </w:pPr>
    <w:rPr>
      <w:lang w:val="ru-RU"/>
    </w:rPr>
  </w:style>
  <w:style w:type="paragraph" w:styleId="33">
    <w:name w:val="Основной текст с отступом 3"/>
    <w:basedOn w:val="Normal"/>
    <w:qFormat/>
    <w:pPr>
      <w:spacing w:before="0" w:after="120"/>
      <w:ind w:start="283" w:hanging="0"/>
    </w:pPr>
    <w:rPr>
      <w:sz w:val="16"/>
      <w:szCs w:val="16"/>
      <w:lang w:val="ru-RU"/>
    </w:rPr>
  </w:style>
  <w:style w:type="paragraph" w:styleId="Iacaaiea">
    <w:name w:val="Iacaaiea"/>
    <w:basedOn w:val="Normal"/>
    <w:qFormat/>
    <w:pPr>
      <w:tabs>
        <w:tab w:val="clear" w:pos="708"/>
        <w:tab w:val="left" w:pos="426" w:leader="none"/>
      </w:tabs>
      <w:spacing w:lineRule="atLeast" w:line="360" w:before="120" w:after="0"/>
      <w:jc w:val="center"/>
    </w:pPr>
    <w:rPr>
      <w:b/>
      <w:bCs/>
      <w:sz w:val="22"/>
      <w:szCs w:val="22"/>
    </w:rPr>
  </w:style>
  <w:style w:type="paragraph" w:styleId="Style28">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9">
    <w:name w:val="Header"/>
    <w:basedOn w:val="Normal"/>
    <w:pPr>
      <w:tabs>
        <w:tab w:val="clear" w:pos="708"/>
        <w:tab w:val="center" w:pos="4677" w:leader="none"/>
        <w:tab w:val="right" w:pos="9355" w:leader="none"/>
      </w:tabs>
    </w:pPr>
    <w:rPr>
      <w:lang w:val="ru-RU"/>
    </w:rPr>
  </w:style>
  <w:style w:type="paragraph" w:styleId="Style30">
    <w:name w:val="Footer"/>
    <w:basedOn w:val="Normal"/>
    <w:pPr>
      <w:tabs>
        <w:tab w:val="clear" w:pos="708"/>
        <w:tab w:val="center" w:pos="4677" w:leader="none"/>
        <w:tab w:val="right" w:pos="9355" w:leader="none"/>
      </w:tabs>
    </w:pPr>
    <w:rPr>
      <w:lang w:val="ru-RU"/>
    </w:rPr>
  </w:style>
  <w:style w:type="paragraph" w:styleId="25">
    <w:name w:val="Основной текст с отступом 2"/>
    <w:basedOn w:val="Normal"/>
    <w:qFormat/>
    <w:pPr>
      <w:spacing w:lineRule="auto" w:line="480" w:before="0" w:after="120"/>
      <w:ind w:start="283" w:hanging="0"/>
    </w:pPr>
    <w:rPr>
      <w:lang w:val="ru-RU"/>
    </w:rPr>
  </w:style>
  <w:style w:type="paragraph" w:styleId="1">
    <w:name w:val="Абзац списка1"/>
    <w:basedOn w:val="Normal"/>
    <w:qFormat/>
    <w:pPr>
      <w:spacing w:lineRule="auto" w:line="276" w:before="0" w:after="200"/>
      <w:ind w:start="720" w:hanging="0"/>
    </w:pPr>
    <w:rPr>
      <w:rFonts w:ascii="Calibri" w:hAnsi="Calibri" w:cs="Calibri"/>
      <w:sz w:val="22"/>
      <w:szCs w:val="22"/>
    </w:rPr>
  </w:style>
  <w:style w:type="paragraph" w:styleId="11">
    <w:name w:val="Без интервала1"/>
    <w:qFormat/>
    <w:pPr>
      <w:widowControl/>
      <w:bidi w:val="0"/>
    </w:pPr>
    <w:rPr>
      <w:rFonts w:ascii="Calibri" w:hAnsi="Calibri" w:eastAsia="Times New Roman" w:cs="Calibri"/>
      <w:color w:val="auto"/>
      <w:sz w:val="22"/>
      <w:szCs w:val="22"/>
      <w:lang w:val="ru-RU" w:bidi="ar-SA" w:eastAsia="zh-CN"/>
    </w:rPr>
  </w:style>
  <w:style w:type="paragraph" w:styleId="12">
    <w:name w:val="Обычный1"/>
    <w:qFormat/>
    <w:pPr>
      <w:widowControl w:val="false"/>
      <w:bidi w:val="0"/>
      <w:spacing w:lineRule="auto" w:line="300"/>
      <w:ind w:firstLine="720"/>
      <w:jc w:val="both"/>
    </w:pPr>
    <w:rPr>
      <w:rFonts w:ascii="Times New Roman" w:hAnsi="Times New Roman" w:eastAsia="Times New Roman" w:cs="Times New Roman"/>
      <w:color w:val="auto"/>
      <w:sz w:val="24"/>
      <w:szCs w:val="24"/>
      <w:lang w:val="ru-RU" w:bidi="ar-SA" w:eastAsia="zh-CN"/>
    </w:rPr>
  </w:style>
  <w:style w:type="paragraph" w:styleId="7">
    <w:name w:val="Обычный7"/>
    <w:qFormat/>
    <w:pPr>
      <w:widowControl w:val="false"/>
      <w:bidi w:val="0"/>
      <w:spacing w:lineRule="auto" w:line="300"/>
      <w:ind w:firstLine="720"/>
      <w:jc w:val="both"/>
    </w:pPr>
    <w:rPr>
      <w:rFonts w:ascii="Times New Roman" w:hAnsi="Times New Roman" w:eastAsia="Times New Roman" w:cs="Times New Roman"/>
      <w:color w:val="auto"/>
      <w:sz w:val="24"/>
      <w:szCs w:val="24"/>
      <w:lang w:val="ru-RU" w:bidi="ar-SA" w:eastAsia="zh-CN"/>
    </w:rPr>
  </w:style>
  <w:style w:type="paragraph" w:styleId="ConsPlusNormal1">
    <w:name w:val="ConsPlusNormal"/>
    <w:qFormat/>
    <w:pPr>
      <w:widowControl/>
      <w:autoSpaceDE w:val="false"/>
      <w:bidi w:val="0"/>
      <w:ind w:firstLine="720"/>
    </w:pPr>
    <w:rPr>
      <w:rFonts w:ascii="Arial" w:hAnsi="Arial" w:eastAsia="Times New Roman" w:cs="Arial"/>
      <w:color w:val="auto"/>
      <w:sz w:val="24"/>
      <w:szCs w:val="24"/>
      <w:lang w:bidi="ar-SA" w:val="ru-RU" w:eastAsia="zh-CN"/>
    </w:rPr>
  </w:style>
  <w:style w:type="paragraph" w:styleId="Style31">
    <w:name w:val="Без интервала"/>
    <w:qFormat/>
    <w:pPr>
      <w:widowControl/>
      <w:bidi w:val="0"/>
    </w:pPr>
    <w:rPr>
      <w:rFonts w:ascii="Calibri" w:hAnsi="Calibri" w:eastAsia="Calibri" w:cs="Times New Roman"/>
      <w:color w:val="auto"/>
      <w:sz w:val="22"/>
      <w:szCs w:val="22"/>
      <w:lang w:bidi="ar-SA" w:val="ru-RU" w:eastAsia="zh-CN"/>
    </w:rPr>
  </w:style>
  <w:style w:type="paragraph" w:styleId="Style32">
    <w:name w:val="Знак"/>
    <w:basedOn w:val="Normal"/>
    <w:qFormat/>
    <w:pPr>
      <w:spacing w:lineRule="exact" w:line="240" w:before="0" w:after="160"/>
    </w:pPr>
    <w:rPr>
      <w:rFonts w:ascii="Verdana" w:hAnsi="Verdana" w:cs="Verdana"/>
      <w:sz w:val="24"/>
      <w:szCs w:val="24"/>
      <w:lang w:val="en-US"/>
    </w:rPr>
  </w:style>
  <w:style w:type="paragraph" w:styleId="34">
    <w:name w:val="Основной текст 3"/>
    <w:basedOn w:val="Normal"/>
    <w:qFormat/>
    <w:pPr>
      <w:spacing w:before="0" w:after="120"/>
    </w:pPr>
    <w:rPr>
      <w:sz w:val="16"/>
      <w:szCs w:val="16"/>
    </w:rPr>
  </w:style>
  <w:style w:type="paragraph" w:styleId="Style33">
    <w:name w:val="Абзац списка"/>
    <w:basedOn w:val="Normal"/>
    <w:qFormat/>
    <w:pPr>
      <w:spacing w:lineRule="auto" w:line="276" w:before="0" w:after="200"/>
      <w:ind w:start="720" w:hanging="0"/>
      <w:contextualSpacing/>
    </w:pPr>
    <w:rPr>
      <w:rFonts w:ascii="Calibri" w:hAnsi="Calibri" w:eastAsia="Calibri" w:cs="Calibri"/>
      <w:sz w:val="22"/>
      <w:szCs w:val="22"/>
    </w:rPr>
  </w:style>
  <w:style w:type="paragraph" w:styleId="Style34">
    <w:name w:val="Обычный (веб)"/>
    <w:basedOn w:val="Normal"/>
    <w:qFormat/>
    <w:pPr>
      <w:spacing w:before="280" w:after="280"/>
    </w:pPr>
    <w:rPr>
      <w:sz w:val="24"/>
      <w:szCs w:val="24"/>
    </w:rPr>
  </w:style>
  <w:style w:type="paragraph" w:styleId="Style35">
    <w:name w:val="Контракт-раздел"/>
    <w:basedOn w:val="Normal"/>
    <w:next w:val="Style36"/>
    <w:qFormat/>
    <w:pPr>
      <w:keepNext w:val="true"/>
      <w:numPr>
        <w:ilvl w:val="0"/>
        <w:numId w:val="3"/>
      </w:numPr>
      <w:tabs>
        <w:tab w:val="clear" w:pos="708"/>
        <w:tab w:val="left" w:pos="540" w:leader="none"/>
      </w:tabs>
      <w:suppressAutoHyphens w:val="true"/>
      <w:spacing w:before="360" w:after="120"/>
      <w:jc w:val="center"/>
      <w:outlineLvl w:val="3"/>
    </w:pPr>
    <w:rPr>
      <w:rFonts w:eastAsia="Calibri"/>
      <w:b/>
      <w:bCs/>
      <w:caps/>
      <w:sz w:val="24"/>
      <w:szCs w:val="24"/>
    </w:rPr>
  </w:style>
  <w:style w:type="paragraph" w:styleId="Style36">
    <w:name w:val="Контракт-пункт"/>
    <w:basedOn w:val="Normal"/>
    <w:qFormat/>
    <w:pPr>
      <w:numPr>
        <w:ilvl w:val="0"/>
        <w:numId w:val="3"/>
      </w:numPr>
      <w:tabs>
        <w:tab w:val="clear" w:pos="708"/>
        <w:tab w:val="left" w:pos="1391" w:leader="none"/>
      </w:tabs>
      <w:ind w:start="1391" w:hanging="0"/>
      <w:jc w:val="both"/>
    </w:pPr>
    <w:rPr>
      <w:rFonts w:eastAsia="Calibri"/>
      <w:sz w:val="24"/>
      <w:szCs w:val="24"/>
    </w:rPr>
  </w:style>
  <w:style w:type="paragraph" w:styleId="Style37">
    <w:name w:val="Контракт-подпункт"/>
    <w:basedOn w:val="Normal"/>
    <w:qFormat/>
    <w:pPr>
      <w:numPr>
        <w:ilvl w:val="0"/>
        <w:numId w:val="3"/>
      </w:numPr>
      <w:jc w:val="both"/>
    </w:pPr>
    <w:rPr>
      <w:rFonts w:eastAsia="Calibri"/>
      <w:sz w:val="24"/>
      <w:szCs w:val="24"/>
    </w:rPr>
  </w:style>
  <w:style w:type="paragraph" w:styleId="Style38">
    <w:name w:val="Контракт-подподпункт"/>
    <w:basedOn w:val="Normal"/>
    <w:qFormat/>
    <w:pPr>
      <w:numPr>
        <w:ilvl w:val="0"/>
        <w:numId w:val="3"/>
      </w:numPr>
      <w:jc w:val="both"/>
    </w:pPr>
    <w:rPr>
      <w:rFonts w:eastAsia="Calibri"/>
      <w:sz w:val="24"/>
      <w:szCs w:val="24"/>
    </w:rPr>
  </w:style>
  <w:style w:type="paragraph" w:styleId="Normal1">
    <w:name w:val="LO-normal"/>
    <w:basedOn w:val="Normal"/>
    <w:qFormat/>
    <w:pPr>
      <w:spacing w:before="280" w:after="280"/>
    </w:pPr>
    <w:rPr>
      <w:rFonts w:eastAsia="Calibri"/>
      <w:sz w:val="24"/>
      <w:szCs w:val="24"/>
    </w:rPr>
  </w:style>
  <w:style w:type="paragraph" w:styleId="Style39">
    <w:name w:val="Пункты"/>
    <w:basedOn w:val="2"/>
    <w:qFormat/>
    <w:pPr>
      <w:numPr>
        <w:ilvl w:val="0"/>
        <w:numId w:val="4"/>
      </w:numPr>
      <w:tabs>
        <w:tab w:val="clear" w:pos="708"/>
        <w:tab w:val="left" w:pos="1134" w:leader="none"/>
      </w:tabs>
      <w:spacing w:before="120" w:after="0"/>
      <w:jc w:val="both"/>
    </w:pPr>
    <w:rPr>
      <w:rFonts w:ascii="Calibri" w:hAnsi="Calibri" w:eastAsia="Calibri" w:cs="Calibri"/>
      <w:b w:val="false"/>
      <w:i w:val="false"/>
      <w:color w:val="000000"/>
      <w:szCs w:val="28"/>
    </w:rPr>
  </w:style>
  <w:style w:type="paragraph" w:styleId="ListParagraph">
    <w:name w:val="List Paragraph"/>
    <w:basedOn w:val="Normal"/>
    <w:qFormat/>
    <w:pPr>
      <w:widowControl w:val="false"/>
      <w:shd w:fill="FFFFFF" w:val="clear"/>
      <w:ind w:start="720" w:firstLine="709"/>
      <w:jc w:val="both"/>
    </w:pPr>
    <w:rPr>
      <w:rFonts w:eastAsia="Calibri"/>
      <w:sz w:val="22"/>
      <w:szCs w:val="22"/>
    </w:rPr>
  </w:style>
  <w:style w:type="paragraph" w:styleId="NoSpacing">
    <w:name w:val="No Spacing"/>
    <w:qFormat/>
    <w:pPr>
      <w:widowControl/>
      <w:bidi w:val="0"/>
    </w:pPr>
    <w:rPr>
      <w:rFonts w:ascii="Calibri" w:hAnsi="Calibri" w:eastAsia="Calibri" w:cs="Times New Roman"/>
      <w:color w:val="auto"/>
      <w:sz w:val="22"/>
      <w:szCs w:val="22"/>
      <w:lang w:val="ru-RU" w:bidi="ar-SA" w:eastAsia="zh-CN"/>
    </w:rPr>
  </w:style>
  <w:style w:type="paragraph" w:styleId="Style40">
    <w:name w:val="Текст выноски"/>
    <w:basedOn w:val="Normal"/>
    <w:qFormat/>
    <w:pPr/>
    <w:rPr>
      <w:rFonts w:ascii="Tahoma" w:hAnsi="Tahoma" w:cs="Tahoma"/>
      <w:sz w:val="16"/>
      <w:szCs w:val="16"/>
      <w:lang w:val="ru-RU"/>
    </w:rPr>
  </w:style>
  <w:style w:type="paragraph" w:styleId="Style41">
    <w:name w:val="Footnote Text"/>
    <w:basedOn w:val="Normal"/>
    <w:pPr/>
    <w:rPr>
      <w:lang w:val="ru-RU"/>
    </w:rPr>
  </w:style>
  <w:style w:type="paragraph" w:styleId="35">
    <w:name w:val="Без интервала3"/>
    <w:qFormat/>
    <w:pPr>
      <w:widowControl/>
      <w:bidi w:val="0"/>
    </w:pPr>
    <w:rPr>
      <w:rFonts w:ascii="Calibri" w:hAnsi="Calibri" w:eastAsia="Calibri" w:cs="Calibri"/>
      <w:color w:val="auto"/>
      <w:sz w:val="22"/>
      <w:szCs w:val="22"/>
      <w:lang w:val="ru-RU" w:bidi="ar-SA" w:eastAsia="zh-CN"/>
    </w:rPr>
  </w:style>
  <w:style w:type="paragraph" w:styleId="Docdata">
    <w:name w:val="docdata"/>
    <w:basedOn w:val="Normal"/>
    <w:qFormat/>
    <w:pPr>
      <w:spacing w:before="280" w:after="280"/>
    </w:pPr>
    <w:rPr>
      <w:sz w:val="24"/>
      <w:szCs w:val="24"/>
    </w:rPr>
  </w:style>
  <w:style w:type="paragraph" w:styleId="Style42">
    <w:name w:val="Содержимое таблицы"/>
    <w:basedOn w:val="Normal"/>
    <w:qFormat/>
    <w:pPr>
      <w:suppressLineNumbers/>
    </w:pPr>
    <w:rPr/>
  </w:style>
  <w:style w:type="paragraph" w:styleId="Style43">
    <w:name w:val="Заголовок таблицы"/>
    <w:basedOn w:val="Style42"/>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5272F20611F609A21F27D4606B39D072E3021938DAAB1BCE67DEDC94271D3FA82B6BAA2159A97E0L0U1K" TargetMode="External"/><Relationship Id="rId3" Type="http://schemas.openxmlformats.org/officeDocument/2006/relationships/hyperlink" Target="consultantplus://offline/ref=05272F20611F609A21F27D4606B39D072E3021938DAAB1BCE67DEDC94271D3FA82B6BAA2159A97E0L0U0K" TargetMode="External"/><Relationship Id="rId4" Type="http://schemas.openxmlformats.org/officeDocument/2006/relationships/hyperlink" Target="consultantplus://offline/ref=930C186CFEFD7EF455142C2781D642BC378E9249242CF0E573E58E70F54430F7FEE3522B59C0B20DE1BCC81181329CE3186BA5CF64AAAB1E2DfDH" TargetMode="External"/><Relationship Id="rId5" Type="http://schemas.openxmlformats.org/officeDocument/2006/relationships/hyperlink" Target="consultantplus://offline/ref=51FB079AB93DA7152B9D8D80D2256A9AF1D4462C0245FCB59DB096D3C1F60991F7851B4306145EC72415D937089782830CD802371550CC04qCr1E" TargetMode="External"/><Relationship Id="rId6" Type="http://schemas.openxmlformats.org/officeDocument/2006/relationships/hyperlink" Target="consultantplus://offline/ref=0463A26E38399AFAD7066D045585B74B56755B1E19D9F79610D70CCCAFB30E17B7E544D8F543A5FBB03298087E878AE6D14EDCR8dDE" TargetMode="External"/><Relationship Id="rId7" Type="http://schemas.openxmlformats.org/officeDocument/2006/relationships/hyperlink" Target="consultantplus://offline/ref=0463A26E38399AFAD7066D045585B74B56755B1E19D9F79610D70CCCAFB30E17B7E544DFF71CA0EEA16A9501699982F0CD4CDD85RAd6E" TargetMode="External"/><Relationship Id="rId8" Type="http://schemas.openxmlformats.org/officeDocument/2006/relationships/hyperlink" Target="consultantplus://offline/ref=0463A26E38399AFAD7066D045585B74B56755B1E19D9F79610D70CCCAFB30E17B7E544DCFD1CA0EEA16A9501699982F0CD4CDD85RAd6E" TargetMode="External"/><Relationship Id="rId9" Type="http://schemas.openxmlformats.org/officeDocument/2006/relationships/hyperlink" Target="consultantplus://offline/ref=33F0FE22A057525D2F380D6A0EBE74975C7029C5DA554150AFFBD1CDC717D7E05DA972694B057C3AC7AEDBC685484FB5F3B4AE2EAF1D5C9BACe3E" TargetMode="External"/><Relationship Id="rId10" Type="http://schemas.openxmlformats.org/officeDocument/2006/relationships/hyperlink" Target="consultantplus://offline/ref=33F0FE22A057525D2F380D6A0EBE74975C7029C5DA554150AFFBD1CDC717D7E05DA972694B057C3CCDAEDBC685484FB5F3B4AE2EAF1D5C9BACe3E" TargetMode="External"/><Relationship Id="rId11" Type="http://schemas.openxmlformats.org/officeDocument/2006/relationships/hyperlink" Target="consultantplus://offline/ref=33F0FE22A057525D2F380D6A0EBE74975C7028CCDA574150AFFBD1CDC717D7E05DA972694B057C39C7AEDBC685484FB5F3B4AE2EAF1D5C9BACe3E" TargetMode="External"/><Relationship Id="rId12" Type="http://schemas.openxmlformats.org/officeDocument/2006/relationships/hyperlink" Target="consultantplus://offline/ref=1C89C39252F3AE84DD229CBBAB5C24AD2D478319C8E4FCCF5ED221FBA193D81CEC5226BD958A5D742F33D5C3A0A60D6D5EC737781B568C00H3h2E" TargetMode="External"/><Relationship Id="rId13" Type="http://schemas.openxmlformats.org/officeDocument/2006/relationships/hyperlink" Target="consultantplus://offline/ref=2EC3B0C6AB034A324789027B8222FB2BB2AFB23EA8576590A137B23C045A1A386081A1463F4F542FB443509A665A96D8C5D90A78D56ED7940Fi1E"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480</TotalTime>
  <Application>LibreOffice/6.4.7.2$Linux_X86_64 LibreOffice_project/40$Build-2</Application>
  <Pages>8</Pages>
  <Words>3220</Words>
  <Characters>23814</Characters>
  <CharactersWithSpaces>27588</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2022-02-11T17:29:00Z</dcterms:created>
  <dc:creator>User</dc:creator>
  <dc:description/>
  <cp:keywords/>
  <dc:language>ru-RU</dc:language>
  <cp:lastModifiedBy>LIU1N1</cp:lastModifiedBy>
  <cp:lastPrinted>2026-02-20T08:10:00Z</cp:lastPrinted>
  <dcterms:modified xsi:type="dcterms:W3CDTF">2026-06-03T15:58:00Z</dcterms:modified>
  <cp:revision>220</cp:revision>
  <dc:subject/>
  <dc:title/>
</cp:coreProperties>
</file>