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p>
      <w:pPr>
        <w:pStyle w:val="Normal"/>
        <w:keepNext w:val="true"/>
        <w:keepLines/>
        <w:tabs>
          <w:tab w:val="clear" w:pos="708"/>
          <w:tab w:val="left" w:pos="1701" w:leader="none"/>
        </w:tabs>
        <w:spacing w:before="0" w:after="0"/>
        <w:ind w:firstLine="851" w:right="0"/>
        <w:jc w:val="right"/>
        <w:rPr/>
      </w:pPr>
      <w:bookmarkStart w:id="0" w:name="_Hlk92141792"/>
      <w:bookmarkEnd w:id="0"/>
      <w:r>
        <w:rPr/>
        <w:t xml:space="preserve"> </w:t>
      </w:r>
    </w:p>
    <w:p>
      <w:pPr>
        <w:pStyle w:val="Normal"/>
        <w:spacing w:before="0" w:after="0"/>
        <w:jc w:val="center"/>
        <w:rPr>
          <w:rFonts w:eastAsia="Calibri"/>
          <w:b/>
          <w:bCs/>
          <w:color w:val="000000"/>
          <w:lang w:eastAsia="en-US"/>
        </w:rPr>
      </w:pPr>
      <w:bookmarkStart w:id="1" w:name="_Hlk92141792_Копия_1"/>
      <w:bookmarkEnd w:id="1"/>
      <w:r>
        <w:rPr>
          <w:b/>
          <w:bCs/>
          <w:lang w:val="ru-RU" w:eastAsia="ru-RU"/>
        </w:rPr>
        <w:t xml:space="preserve">Обоснование </w:t>
      </w:r>
      <w:r>
        <w:rPr>
          <w:b/>
          <w:bCs/>
          <w:color w:val="000000"/>
          <w:sz w:val="24"/>
          <w:szCs w:val="24"/>
          <w:lang w:val="ru-RU"/>
        </w:rPr>
        <w:t xml:space="preserve">начальной (максимальной) цены контракта </w:t>
      </w:r>
    </w:p>
    <w:p>
      <w:pPr>
        <w:pStyle w:val="Style28"/>
        <w:spacing w:lineRule="atLeast" w:line="288" w:before="0" w:after="0"/>
        <w:jc w:val="both"/>
        <w:rPr>
          <w:rFonts w:eastAsia="Calibri"/>
          <w:b w:val="false"/>
          <w:bCs w:val="false"/>
          <w:lang w:eastAsia="en-US"/>
        </w:rPr>
      </w:pPr>
      <w:r>
        <w:rPr>
          <w:rFonts w:eastAsia="Calibri"/>
          <w:b/>
          <w:bCs/>
          <w:color w:val="000000"/>
          <w:lang w:eastAsia="en-US"/>
        </w:rPr>
        <w:tab/>
      </w:r>
      <w:r>
        <w:rPr>
          <w:rFonts w:eastAsia="Calibri"/>
          <w:b w:val="false"/>
          <w:bCs w:val="false"/>
          <w:color w:val="000000"/>
          <w:lang w:eastAsia="en-US"/>
        </w:rPr>
        <w:t>Начальная (максимальная) цена контракта (далее - НМЦК) определена Государственным заказчиком методом сопоставимых рыночных цен (анализа рынка). На основании п. 1 ч. 1 ст. 22 Федерального закона от 05.04.2013г. № 44-ФЗ.</w:t>
      </w:r>
    </w:p>
    <w:p>
      <w:pPr>
        <w:pStyle w:val="s12"/>
        <w:shd w:val="clear" w:fill="FFFFFF"/>
        <w:ind w:firstLine="708" w:left="0" w:right="0"/>
        <w:jc w:val="both"/>
        <w:rPr>
          <w:rFonts w:eastAsia="Calibri"/>
          <w:b w:val="false"/>
          <w:bCs w:val="false"/>
          <w:color w:val="000000"/>
          <w:lang w:eastAsia="en-US"/>
        </w:rPr>
      </w:pPr>
      <w:r>
        <w:rPr>
          <w:rFonts w:eastAsia="Calibri"/>
          <w:b w:val="false"/>
          <w:bCs w:val="false"/>
          <w:lang w:eastAsia="en-US"/>
        </w:rPr>
        <w:t>Источниками информации о цене товара, являющегося предметом закупки, являлись исследование рынка, проведенные по инициативе Государственного заказчика на основании коммерческих и ценовых предложений поставщиков (основание – части 5, 18 статьи 22 Федерального закона от 05.04.2013г. № 44-ФЗ).</w:t>
      </w:r>
    </w:p>
    <w:p>
      <w:pPr>
        <w:pStyle w:val="Style28"/>
        <w:spacing w:lineRule="atLeast" w:line="288" w:before="0" w:after="0"/>
        <w:jc w:val="both"/>
        <w:rPr>
          <w:rFonts w:eastAsia="Calibri"/>
          <w:lang w:eastAsia="en-US"/>
        </w:rPr>
      </w:pPr>
      <w:r>
        <w:rPr>
          <w:rFonts w:eastAsia="Calibri"/>
          <w:b w:val="false"/>
          <w:bCs w:val="false"/>
          <w:color w:val="000000"/>
          <w:lang w:eastAsia="en-US"/>
        </w:rPr>
        <w:tab/>
        <w:t>Особенности определения НМЦК, постановлением Правительства РФ от 23.12.2024 № 1875 «О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лиц» (далее -  постановление Правительства РФ № 1875) не установлены.</w:t>
      </w:r>
    </w:p>
    <w:p>
      <w:pPr>
        <w:pStyle w:val="s12"/>
        <w:shd w:val="clear" w:fill="FFFFFF"/>
        <w:ind w:hanging="0" w:left="0" w:right="0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9"/>
        <w:gridCol w:w="3082"/>
        <w:gridCol w:w="1754"/>
        <w:gridCol w:w="799"/>
        <w:gridCol w:w="1595"/>
        <w:gridCol w:w="1757"/>
        <w:gridCol w:w="1691"/>
        <w:gridCol w:w="1856"/>
        <w:gridCol w:w="1888"/>
      </w:tblGrid>
      <w:tr>
        <w:trPr>
          <w:trHeight w:val="240" w:hRule="atLeast"/>
        </w:trPr>
        <w:tc>
          <w:tcPr>
            <w:tcW w:w="4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before="280"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№</w:t>
            </w:r>
          </w:p>
        </w:tc>
        <w:tc>
          <w:tcPr>
            <w:tcW w:w="30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Наименование товара</w:t>
            </w:r>
          </w:p>
          <w:p>
            <w:pPr>
              <w:pStyle w:val="Normal"/>
              <w:spacing w:before="0" w:after="0"/>
              <w:jc w:val="center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(работ, услуг)</w:t>
            </w:r>
          </w:p>
        </w:tc>
        <w:tc>
          <w:tcPr>
            <w:tcW w:w="17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280" w:after="0"/>
              <w:jc w:val="center"/>
              <w:rPr/>
            </w:pPr>
            <w:r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  <w:lang w:val="ru-RU"/>
              </w:rPr>
              <w:t>Ед</w:t>
            </w:r>
            <w:r>
              <w:rPr>
                <w:color w:val="000000"/>
                <w:sz w:val="20"/>
                <w:szCs w:val="20"/>
              </w:rPr>
              <w:t xml:space="preserve">. </w:t>
            </w:r>
            <w:r>
              <w:rPr>
                <w:color w:val="000000"/>
                <w:sz w:val="20"/>
                <w:szCs w:val="20"/>
                <w:lang w:val="ru-RU"/>
              </w:rPr>
              <w:t>изм</w:t>
            </w:r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7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before="280"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Кол –во</w:t>
            </w:r>
          </w:p>
        </w:tc>
        <w:tc>
          <w:tcPr>
            <w:tcW w:w="5043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57" w:after="0"/>
              <w:jc w:val="center"/>
              <w:rPr/>
            </w:pPr>
            <w:r>
              <w:rPr>
                <w:color w:val="000000"/>
                <w:sz w:val="20"/>
                <w:szCs w:val="20"/>
                <w:lang w:val="ru-RU"/>
              </w:rPr>
              <w:t>цена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  <w:lang w:val="ru-RU"/>
              </w:rPr>
              <w:t>за</w:t>
            </w:r>
            <w:r>
              <w:rPr>
                <w:color w:val="000000"/>
                <w:sz w:val="20"/>
                <w:szCs w:val="20"/>
              </w:rPr>
              <w:t xml:space="preserve"> 1 </w:t>
            </w:r>
            <w:r>
              <w:rPr>
                <w:color w:val="000000"/>
                <w:sz w:val="20"/>
                <w:szCs w:val="20"/>
                <w:lang w:val="ru-RU"/>
              </w:rPr>
              <w:t>единицу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  <w:lang w:val="ru-RU"/>
              </w:rPr>
              <w:t>руб</w:t>
            </w:r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8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color w:val="000000"/>
                <w:sz w:val="20"/>
                <w:szCs w:val="20"/>
                <w:lang w:val="ru-RU"/>
              </w:rPr>
              <w:t>Средняя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  <w:lang w:val="ru-RU"/>
              </w:rPr>
              <w:t>цена единицы</w:t>
            </w:r>
            <w:r>
              <w:rPr>
                <w:color w:val="000000"/>
                <w:sz w:val="20"/>
                <w:szCs w:val="20"/>
              </w:rPr>
              <w:t>, руб.</w:t>
            </w:r>
          </w:p>
        </w:tc>
        <w:tc>
          <w:tcPr>
            <w:tcW w:w="18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Средняя арифметическая цена предложений</w:t>
            </w:r>
          </w:p>
          <w:p>
            <w:pPr>
              <w:pStyle w:val="Normal"/>
              <w:spacing w:before="0" w:after="0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руб.</w:t>
            </w:r>
          </w:p>
        </w:tc>
      </w:tr>
      <w:tr>
        <w:trPr>
          <w:trHeight w:val="240" w:hRule="atLeast"/>
        </w:trPr>
        <w:tc>
          <w:tcPr>
            <w:tcW w:w="42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napToGrid w:val="false"/>
              <w:spacing w:before="280" w:after="0"/>
              <w:rPr>
                <w:b/>
                <w:bCs/>
                <w:color w:val="000000"/>
                <w:sz w:val="20"/>
                <w:szCs w:val="20"/>
                <w:lang w:val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ru-RU"/>
              </w:rPr>
            </w:r>
          </w:p>
        </w:tc>
        <w:tc>
          <w:tcPr>
            <w:tcW w:w="308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napToGrid w:val="false"/>
              <w:spacing w:before="280" w:after="0"/>
              <w:rPr>
                <w:b/>
                <w:bCs/>
                <w:color w:val="000000"/>
                <w:sz w:val="20"/>
                <w:szCs w:val="20"/>
                <w:lang w:val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ru-RU"/>
              </w:rPr>
            </w:r>
          </w:p>
        </w:tc>
        <w:tc>
          <w:tcPr>
            <w:tcW w:w="175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280" w:after="0"/>
              <w:rPr>
                <w:b/>
                <w:bCs/>
                <w:color w:val="000000"/>
                <w:sz w:val="20"/>
                <w:szCs w:val="20"/>
                <w:lang w:val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ru-RU"/>
              </w:rPr>
            </w:r>
          </w:p>
        </w:tc>
        <w:tc>
          <w:tcPr>
            <w:tcW w:w="79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napToGrid w:val="false"/>
              <w:spacing w:before="280" w:after="0"/>
              <w:rPr>
                <w:b/>
                <w:bCs/>
                <w:color w:val="000000"/>
                <w:sz w:val="20"/>
                <w:szCs w:val="20"/>
                <w:lang w:val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ru-RU"/>
              </w:rPr>
            </w:r>
          </w:p>
        </w:tc>
        <w:tc>
          <w:tcPr>
            <w:tcW w:w="5043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57"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Мониторинг цен</w:t>
            </w:r>
          </w:p>
        </w:tc>
        <w:tc>
          <w:tcPr>
            <w:tcW w:w="185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280"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88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280"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</w:tr>
      <w:tr>
        <w:trPr>
          <w:trHeight w:val="537" w:hRule="atLeast"/>
        </w:trPr>
        <w:tc>
          <w:tcPr>
            <w:tcW w:w="42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napToGrid w:val="false"/>
              <w:spacing w:before="280" w:after="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</w:r>
          </w:p>
        </w:tc>
        <w:tc>
          <w:tcPr>
            <w:tcW w:w="308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napToGrid w:val="false"/>
              <w:spacing w:before="280" w:after="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</w:r>
          </w:p>
        </w:tc>
        <w:tc>
          <w:tcPr>
            <w:tcW w:w="175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280" w:after="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</w:r>
          </w:p>
        </w:tc>
        <w:tc>
          <w:tcPr>
            <w:tcW w:w="79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napToGrid w:val="false"/>
              <w:spacing w:before="280" w:after="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</w:r>
          </w:p>
        </w:tc>
        <w:tc>
          <w:tcPr>
            <w:tcW w:w="15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Источник ценовой информации №1</w:t>
            </w:r>
          </w:p>
        </w:tc>
        <w:tc>
          <w:tcPr>
            <w:tcW w:w="175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Источник ценовой информации №2</w:t>
            </w:r>
          </w:p>
        </w:tc>
        <w:tc>
          <w:tcPr>
            <w:tcW w:w="169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Источник ценовой информации №3</w:t>
            </w:r>
          </w:p>
        </w:tc>
        <w:tc>
          <w:tcPr>
            <w:tcW w:w="185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280" w:after="0"/>
              <w:rPr>
                <w:b/>
                <w:bCs/>
                <w:color w:val="000000"/>
                <w:sz w:val="20"/>
                <w:szCs w:val="20"/>
                <w:highlight w:val="yellow"/>
                <w:lang w:val="ru-RU"/>
              </w:rPr>
            </w:pPr>
            <w:r>
              <w:rPr>
                <w:b/>
                <w:bCs/>
                <w:color w:val="000000"/>
                <w:sz w:val="20"/>
                <w:szCs w:val="20"/>
                <w:highlight w:val="yellow"/>
                <w:lang w:val="ru-RU"/>
              </w:rPr>
            </w:r>
          </w:p>
        </w:tc>
        <w:tc>
          <w:tcPr>
            <w:tcW w:w="188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280" w:after="0"/>
              <w:rPr>
                <w:b/>
                <w:bCs/>
                <w:color w:val="000000"/>
                <w:sz w:val="20"/>
                <w:szCs w:val="20"/>
                <w:highlight w:val="yellow"/>
                <w:lang w:val="ru-RU"/>
              </w:rPr>
            </w:pPr>
            <w:r>
              <w:rPr>
                <w:b/>
                <w:bCs/>
                <w:color w:val="000000"/>
                <w:sz w:val="20"/>
                <w:szCs w:val="20"/>
                <w:highlight w:val="yellow"/>
                <w:lang w:val="ru-RU"/>
              </w:rPr>
            </w:r>
          </w:p>
        </w:tc>
      </w:tr>
      <w:tr>
        <w:trPr>
          <w:trHeight w:val="335" w:hRule="atLeast"/>
        </w:trPr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113" w:after="0"/>
              <w:jc w:val="center"/>
              <w:rPr/>
            </w:pPr>
            <w:r>
              <w:rPr>
                <w:rFonts w:cs="Liberation Serif;Times New Roman" w:ascii="Liberation Serif;Times New Roman" w:hAnsi="Liberation Serif;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113" w:after="0"/>
              <w:jc w:val="both"/>
              <w:rPr/>
            </w:pPr>
            <w:r>
              <w:rPr>
                <w:rFonts w:cs="Liberation Serif;Times New Roman" w:ascii="Liberation Serif;Times New Roman" w:hAnsi="Liberation Serif;Times New Roman"/>
                <w:sz w:val="24"/>
                <w:szCs w:val="24"/>
                <w:lang w:val="ru-RU"/>
              </w:rPr>
              <w:t>Пылесос бытовой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113" w:after="0"/>
              <w:jc w:val="center"/>
              <w:rPr/>
            </w:pPr>
            <w:r>
              <w:rPr>
                <w:rFonts w:cs="Liberation Serif;Times New Roman" w:ascii="Liberation Serif;Times New Roman" w:hAnsi="Liberation Serif;Times New Roman"/>
                <w:sz w:val="24"/>
                <w:szCs w:val="24"/>
                <w:lang w:val="ru-RU"/>
              </w:rPr>
              <w:t>штука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113" w:after="0"/>
              <w:jc w:val="center"/>
              <w:rPr/>
            </w:pPr>
            <w:r>
              <w:rPr>
                <w:rFonts w:cs="Liberation Serif;Times New Roman" w:ascii="Liberation Serif;Times New Roman" w:hAnsi="Liberation Serif;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113" w:after="0"/>
              <w:jc w:val="center"/>
              <w:rPr/>
            </w:pPr>
            <w:r>
              <w:rPr>
                <w:rFonts w:cs="Liberation Serif;Times New Roman" w:ascii="Liberation Serif;Times New Roman" w:hAnsi="Liberation Serif;Times New Roman"/>
                <w:sz w:val="24"/>
                <w:szCs w:val="24"/>
                <w:shd w:fill="auto" w:val="clear"/>
                <w:lang w:val="ru-RU"/>
              </w:rPr>
              <w:t>13 490</w:t>
            </w:r>
            <w:r>
              <w:rPr>
                <w:rFonts w:cs="Liberation Serif;Times New Roman" w:ascii="Liberation Serif;Times New Roman" w:hAnsi="Liberation Serif;Times New Roman"/>
                <w:sz w:val="24"/>
                <w:szCs w:val="24"/>
                <w:shd w:fill="auto" w:val="clear"/>
                <w:lang w:val="ru-RU"/>
              </w:rPr>
              <w:t>,00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before="113" w:after="0"/>
              <w:jc w:val="center"/>
              <w:rPr>
                <w:rFonts w:ascii="Liberation Serif;Times New Roman" w:hAnsi="Liberation Serif;Times New Roman" w:cs="Liberation Serif;Times New Roman"/>
                <w:sz w:val="24"/>
                <w:szCs w:val="24"/>
              </w:rPr>
            </w:pPr>
            <w:r>
              <w:rPr>
                <w:rFonts w:cs="Liberation Serif;Times New Roman" w:ascii="Liberation Serif;Times New Roman" w:hAnsi="Liberation Serif;Times New Roman"/>
                <w:sz w:val="24"/>
                <w:szCs w:val="24"/>
              </w:rPr>
              <w:t>15 611</w:t>
            </w:r>
            <w:r>
              <w:rPr>
                <w:rFonts w:cs="Liberation Serif;Times New Roman" w:ascii="Liberation Serif;Times New Roman" w:hAnsi="Liberation Serif;Times New Roman"/>
                <w:sz w:val="24"/>
                <w:szCs w:val="24"/>
              </w:rPr>
              <w:t>,00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before="113" w:after="0"/>
              <w:jc w:val="center"/>
              <w:rPr>
                <w:rFonts w:ascii="Liberation Serif;Times New Roman" w:hAnsi="Liberation Serif;Times New Roman" w:cs="Liberation Serif;Times New Roman"/>
                <w:sz w:val="24"/>
                <w:szCs w:val="24"/>
              </w:rPr>
            </w:pPr>
            <w:r>
              <w:rPr>
                <w:rFonts w:cs="Liberation Serif;Times New Roman" w:ascii="Liberation Serif;Times New Roman" w:hAnsi="Liberation Serif;Times New Roman"/>
                <w:sz w:val="24"/>
                <w:szCs w:val="24"/>
              </w:rPr>
              <w:t>13 490</w:t>
            </w:r>
            <w:r>
              <w:rPr>
                <w:rFonts w:cs="Liberation Serif;Times New Roman" w:ascii="Liberation Serif;Times New Roman" w:hAnsi="Liberation Serif;Times New Roman"/>
                <w:sz w:val="24"/>
                <w:szCs w:val="24"/>
              </w:rPr>
              <w:t>,00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tabs>
                <w:tab w:val="clear" w:pos="708"/>
              </w:tabs>
              <w:spacing w:before="113" w:after="0"/>
              <w:jc w:val="righ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14 197,00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tabs>
                <w:tab w:val="clear" w:pos="708"/>
              </w:tabs>
              <w:spacing w:before="113" w:after="0"/>
              <w:jc w:val="righ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14 197,00</w:t>
            </w:r>
          </w:p>
        </w:tc>
      </w:tr>
      <w:tr>
        <w:trPr>
          <w:trHeight w:val="199" w:hRule="atLeast"/>
        </w:trPr>
        <w:tc>
          <w:tcPr>
            <w:tcW w:w="1110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113" w:after="0"/>
              <w:jc w:val="right"/>
              <w:rPr/>
            </w:pPr>
            <w:r>
              <w:rPr>
                <w:rFonts w:cs="Liberation Serif;Times New Roman" w:ascii="Liberation Serif;Times New Roman" w:hAnsi="Liberation Serif;Times New Roman"/>
                <w:sz w:val="24"/>
                <w:szCs w:val="24"/>
              </w:rPr>
              <w:t>ИТОГО</w:t>
            </w:r>
          </w:p>
        </w:tc>
        <w:tc>
          <w:tcPr>
            <w:tcW w:w="37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spacing w:before="113" w:after="0"/>
              <w:jc w:val="righ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cs="Liberation Serif;Times New Roman" w:ascii="Liberation Serif" w:hAnsi="Liberation Serif"/>
                <w:sz w:val="24"/>
                <w:szCs w:val="24"/>
              </w:rPr>
              <w:t>14 197,00</w:t>
            </w:r>
          </w:p>
        </w:tc>
      </w:tr>
    </w:tbl>
    <w:p>
      <w:pPr>
        <w:pStyle w:val="Normal"/>
        <w:shd w:val="clear" w:fill="FFFFFF"/>
        <w:spacing w:before="227" w:after="278"/>
        <w:rPr/>
      </w:pPr>
      <w:r>
        <w:rPr>
          <w:rFonts w:eastAsia="Calibri"/>
          <w:b/>
          <w:bCs/>
          <w:lang w:val="ru-RU"/>
        </w:rPr>
        <w:t>Начальная (максимальная) цена</w:t>
      </w:r>
      <w:r>
        <w:rPr>
          <w:b/>
          <w:lang w:val="ru-RU"/>
        </w:rPr>
        <w:t xml:space="preserve"> контракта: </w:t>
      </w:r>
      <w:r>
        <w:rPr>
          <w:b w:val="false"/>
          <w:bCs w:val="false"/>
          <w:shd w:fill="auto" w:val="clear"/>
          <w:lang w:val="ru-RU"/>
        </w:rPr>
        <w:t>14 197</w:t>
      </w:r>
      <w:r>
        <w:rPr>
          <w:b w:val="false"/>
          <w:bCs w:val="false"/>
          <w:sz w:val="24"/>
          <w:szCs w:val="24"/>
          <w:shd w:fill="auto" w:val="clear"/>
          <w:lang w:val="ru-RU"/>
        </w:rPr>
        <w:t xml:space="preserve"> (</w:t>
      </w:r>
      <w:r>
        <w:rPr>
          <w:b w:val="false"/>
          <w:bCs w:val="false"/>
          <w:sz w:val="24"/>
          <w:szCs w:val="24"/>
          <w:shd w:fill="auto" w:val="clear"/>
          <w:lang w:val="ru-RU"/>
        </w:rPr>
        <w:t>четырнадцать</w:t>
      </w:r>
      <w:r>
        <w:rPr>
          <w:b w:val="false"/>
          <w:bCs w:val="false"/>
          <w:sz w:val="24"/>
          <w:szCs w:val="24"/>
          <w:shd w:fill="auto" w:val="clear"/>
          <w:lang w:val="ru-RU"/>
        </w:rPr>
        <w:t xml:space="preserve"> тысяч </w:t>
      </w:r>
      <w:r>
        <w:rPr>
          <w:b w:val="false"/>
          <w:bCs w:val="false"/>
          <w:sz w:val="24"/>
          <w:szCs w:val="24"/>
          <w:shd w:fill="auto" w:val="clear"/>
          <w:lang w:val="ru-RU"/>
        </w:rPr>
        <w:t>сто девяносто семь</w:t>
      </w:r>
      <w:r>
        <w:rPr>
          <w:b w:val="false"/>
          <w:bCs w:val="false"/>
          <w:sz w:val="24"/>
          <w:szCs w:val="24"/>
          <w:shd w:fill="auto" w:val="clear"/>
          <w:lang w:val="ru-RU"/>
        </w:rPr>
        <w:t xml:space="preserve">) рублей </w:t>
      </w:r>
      <w:r>
        <w:rPr>
          <w:b w:val="false"/>
          <w:bCs w:val="false"/>
          <w:sz w:val="24"/>
          <w:szCs w:val="24"/>
          <w:shd w:fill="auto" w:val="clear"/>
          <w:lang w:val="ru-RU"/>
        </w:rPr>
        <w:t>00</w:t>
      </w:r>
      <w:r>
        <w:rPr>
          <w:b w:val="false"/>
          <w:bCs w:val="false"/>
          <w:sz w:val="24"/>
          <w:szCs w:val="24"/>
          <w:shd w:fill="auto" w:val="clear"/>
          <w:lang w:val="ru-RU"/>
        </w:rPr>
        <w:t xml:space="preserve"> копе</w:t>
      </w:r>
      <w:r>
        <w:rPr>
          <w:b w:val="false"/>
          <w:bCs w:val="false"/>
          <w:sz w:val="24"/>
          <w:szCs w:val="24"/>
          <w:shd w:fill="auto" w:val="clear"/>
          <w:lang w:val="ru-RU"/>
        </w:rPr>
        <w:t>ек</w:t>
      </w:r>
    </w:p>
    <w:sectPr>
      <w:footerReference w:type="even" r:id="rId2"/>
      <w:footerReference w:type="default" r:id="rId3"/>
      <w:footerReference w:type="first" r:id="rId4"/>
      <w:type w:val="nextPage"/>
      <w:pgSz w:orient="landscape" w:w="16838" w:h="11906"/>
      <w:pgMar w:left="1134" w:right="851" w:gutter="0" w:header="0" w:top="964" w:footer="709" w:bottom="851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Segoe UI">
    <w:charset w:val="01"/>
    <w:family w:val="swiss"/>
    <w:pitch w:val="variable"/>
  </w:font>
  <w:font w:name="Liberation Sans">
    <w:altName w:val="Arial"/>
    <w:charset w:val="01"/>
    <w:family w:val="roman"/>
    <w:pitch w:val="variable"/>
  </w:font>
  <w:font w:name="Calibri">
    <w:charset w:val="01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tabs>
        <w:tab w:val="center" w:pos="4153" w:leader="none"/>
        <w:tab w:val="right" w:pos="8306" w:leader="none"/>
        <w:tab w:val="right" w:pos="9840" w:leader="none"/>
      </w:tabs>
      <w:ind w:right="360"/>
      <w:jc w:val="cen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tabs>
        <w:tab w:val="center" w:pos="4153" w:leader="none"/>
        <w:tab w:val="right" w:pos="8306" w:leader="none"/>
        <w:tab w:val="right" w:pos="9840" w:leader="none"/>
      </w:tabs>
      <w:ind w:right="360"/>
      <w:jc w:val="center"/>
      <w:rPr/>
    </w:pPr>
    <w:r>
      <w:rPr/>
    </w:r>
  </w:p>
</w:ftr>
</file>

<file path=word/settings.xml><?xml version="1.0" encoding="utf-8"?>
<w:settings xmlns:w="http://schemas.openxmlformats.org/wordprocessingml/2006/main">
  <w:zoom w:percent="94"/>
  <w:displayBackgroundShape/>
  <w:defaultTabStop w:val="708"/>
  <w:autoHyphenation w:val="true"/>
  <w:hyphenationZone w:val="0"/>
  <w:compat>
    <w:doNotBreakWrappedTables/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DejaVu Sans" w:cs="Droid Sans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280" w:after="28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en-US" w:eastAsia="zh-CN" w:bidi="ar-SA"/>
    </w:rPr>
  </w:style>
  <w:style w:type="character" w:styleId="Style14">
    <w:name w:val="Основной шрифт абзаца"/>
    <w:qFormat/>
    <w:rPr/>
  </w:style>
  <w:style w:type="character" w:styleId="1">
    <w:name w:val="Основной шрифт абзаца1"/>
    <w:qFormat/>
    <w:rPr/>
  </w:style>
  <w:style w:type="character" w:styleId="Style15">
    <w:name w:val="Нижний колонтитул Знак"/>
    <w:qFormat/>
    <w:rPr>
      <w:rFonts w:ascii="Times New Roman" w:hAnsi="Times New Roman" w:eastAsia="Times New Roman" w:cs="Times New Roman"/>
      <w:sz w:val="24"/>
      <w:szCs w:val="24"/>
      <w:lang w:val="ru-RU" w:eastAsia="ru-RU"/>
    </w:rPr>
  </w:style>
  <w:style w:type="character" w:styleId="11">
    <w:name w:val="Заголовок 1 Знак"/>
    <w:qFormat/>
    <w:rPr>
      <w:b/>
      <w:bCs/>
      <w:kern w:val="2"/>
      <w:sz w:val="36"/>
      <w:szCs w:val="36"/>
      <w:lang w:val="ru-RU"/>
    </w:rPr>
  </w:style>
  <w:style w:type="character" w:styleId="Style16">
    <w:name w:val="Без интервала Знак"/>
    <w:qFormat/>
    <w:rPr>
      <w:sz w:val="24"/>
      <w:szCs w:val="24"/>
    </w:rPr>
  </w:style>
  <w:style w:type="character" w:styleId="12">
    <w:name w:val="Знак примечания1"/>
    <w:qFormat/>
    <w:rPr>
      <w:sz w:val="16"/>
      <w:szCs w:val="16"/>
    </w:rPr>
  </w:style>
  <w:style w:type="character" w:styleId="Style17">
    <w:name w:val="Текст примечания Знак"/>
    <w:qFormat/>
    <w:rPr>
      <w:rFonts w:ascii="Times New Roman" w:hAnsi="Times New Roman" w:eastAsia="Times New Roman" w:cs="Times New Roman"/>
      <w:lang w:val="en-US"/>
    </w:rPr>
  </w:style>
  <w:style w:type="character" w:styleId="Style18">
    <w:name w:val="Тема примечания Знак"/>
    <w:qFormat/>
    <w:rPr>
      <w:rFonts w:ascii="Times New Roman" w:hAnsi="Times New Roman" w:eastAsia="Times New Roman" w:cs="Times New Roman"/>
      <w:b/>
      <w:bCs/>
      <w:lang w:val="en-US"/>
    </w:rPr>
  </w:style>
  <w:style w:type="character" w:styleId="Style19">
    <w:name w:val="Текст выноски Знак"/>
    <w:qFormat/>
    <w:rPr>
      <w:rFonts w:ascii="Segoe UI" w:hAnsi="Segoe UI" w:eastAsia="Times New Roman" w:cs="Segoe UI"/>
      <w:sz w:val="18"/>
      <w:szCs w:val="18"/>
      <w:lang w:val="en-US"/>
    </w:rPr>
  </w:style>
  <w:style w:type="character" w:styleId="Style20">
    <w:name w:val="Верхний колонтитул Знак"/>
    <w:qFormat/>
    <w:rPr>
      <w:rFonts w:ascii="Times New Roman" w:hAnsi="Times New Roman" w:eastAsia="Times New Roman" w:cs="Times New Roman"/>
      <w:sz w:val="22"/>
      <w:szCs w:val="22"/>
      <w:lang w:val="en-US"/>
    </w:rPr>
  </w:style>
  <w:style w:type="character" w:styleId="Hyperlink">
    <w:name w:val="Hyperlink"/>
    <w:rPr>
      <w:color w:val="0000FF"/>
      <w:u w:val="single"/>
    </w:rPr>
  </w:style>
  <w:style w:type="paragraph" w:styleId="Style21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;Arial" w:hAnsi="Liberation Sans;Arial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Droid Sans"/>
      <w:i/>
      <w:iCs/>
      <w:sz w:val="24"/>
      <w:szCs w:val="24"/>
    </w:rPr>
  </w:style>
  <w:style w:type="paragraph" w:styleId="Style22">
    <w:name w:val="Указатель"/>
    <w:basedOn w:val="Normal"/>
    <w:qFormat/>
    <w:pPr>
      <w:suppressLineNumbers/>
    </w:pPr>
    <w:rPr>
      <w:rFonts w:cs="Lucida Sans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Droid Sans"/>
      <w:i/>
      <w:iCs/>
      <w:sz w:val="24"/>
      <w:szCs w:val="24"/>
    </w:rPr>
  </w:style>
  <w:style w:type="paragraph" w:styleId="caption11">
    <w:name w:val="caption11"/>
    <w:basedOn w:val="Normal"/>
    <w:qFormat/>
    <w:pPr>
      <w:suppressLineNumbers/>
      <w:spacing w:before="120" w:after="120"/>
    </w:pPr>
    <w:rPr>
      <w:rFonts w:cs="Droid Sans"/>
      <w:i/>
      <w:iCs/>
      <w:sz w:val="24"/>
      <w:szCs w:val="24"/>
    </w:rPr>
  </w:style>
  <w:style w:type="paragraph" w:styleId="caption111">
    <w:name w:val="caption111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caption1111">
    <w:name w:val="caption1111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13">
    <w:name w:val="Заголовок1"/>
    <w:basedOn w:val="Normal"/>
    <w:next w:val="BodyText"/>
    <w:qFormat/>
    <w:pPr>
      <w:keepNext w:val="true"/>
      <w:spacing w:before="240" w:after="120"/>
    </w:pPr>
    <w:rPr>
      <w:rFonts w:ascii="Liberation Sans;Arial" w:hAnsi="Liberation Sans;Arial" w:eastAsia="Microsoft YaHei" w:cs="Lucida Sans"/>
      <w:sz w:val="28"/>
      <w:szCs w:val="28"/>
    </w:rPr>
  </w:style>
  <w:style w:type="paragraph" w:styleId="Style23">
    <w:name w:val="Название объекта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14">
    <w:name w:val="Указатель1"/>
    <w:basedOn w:val="Normal"/>
    <w:qFormat/>
    <w:pPr>
      <w:suppressLineNumbers/>
    </w:pPr>
    <w:rPr>
      <w:rFonts w:cs="Lucida Sans"/>
    </w:rPr>
  </w:style>
  <w:style w:type="paragraph" w:styleId="caption11111">
    <w:name w:val="caption11111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caption111111">
    <w:name w:val="caption111111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caption1111111">
    <w:name w:val="caption1111111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24">
    <w:name w:val="Колонтитулы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HeaderandFooter">
    <w:name w:val="Header and Footer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Footer">
    <w:name w:val="footer"/>
    <w:basedOn w:val="Normal"/>
    <w:pPr>
      <w:tabs>
        <w:tab w:val="clear" w:pos="708"/>
        <w:tab w:val="center" w:pos="4153" w:leader="none"/>
        <w:tab w:val="right" w:pos="8306" w:leader="none"/>
      </w:tabs>
      <w:spacing w:before="0" w:after="0"/>
    </w:pPr>
    <w:rPr>
      <w:sz w:val="24"/>
      <w:szCs w:val="24"/>
      <w:lang w:val="ru-RU" w:eastAsia="ru-RU"/>
    </w:rPr>
  </w:style>
  <w:style w:type="paragraph" w:styleId="s12">
    <w:name w:val="s_12"/>
    <w:basedOn w:val="Normal"/>
    <w:qFormat/>
    <w:pPr>
      <w:spacing w:before="0" w:after="0"/>
      <w:ind w:firstLine="720" w:left="0" w:right="0"/>
    </w:pPr>
    <w:rPr>
      <w:sz w:val="24"/>
      <w:szCs w:val="24"/>
      <w:lang w:val="ru-RU"/>
    </w:rPr>
  </w:style>
  <w:style w:type="paragraph" w:styleId="Style25">
    <w:name w:val="Без интервала"/>
    <w:qFormat/>
    <w:pPr>
      <w:widowControl/>
      <w:suppressAutoHyphens w:val="true"/>
      <w:bidi w:val="0"/>
      <w:spacing w:before="0" w:after="0"/>
      <w:jc w:val="both"/>
    </w:pPr>
    <w:rPr>
      <w:rFonts w:ascii="Calibri" w:hAnsi="Calibri" w:eastAsia="Calibri" w:cs="Calibri"/>
      <w:color w:val="auto"/>
      <w:kern w:val="0"/>
      <w:sz w:val="24"/>
      <w:szCs w:val="24"/>
      <w:lang w:val="ru-RU" w:eastAsia="zh-CN" w:bidi="ar-SA"/>
    </w:rPr>
  </w:style>
  <w:style w:type="paragraph" w:styleId="15">
    <w:name w:val="Текст примечания1"/>
    <w:basedOn w:val="Normal"/>
    <w:qFormat/>
    <w:pPr/>
    <w:rPr>
      <w:sz w:val="20"/>
      <w:szCs w:val="20"/>
    </w:rPr>
  </w:style>
  <w:style w:type="paragraph" w:styleId="Style26">
    <w:name w:val="Тема примечания"/>
    <w:basedOn w:val="15"/>
    <w:next w:val="15"/>
    <w:qFormat/>
    <w:pPr/>
    <w:rPr>
      <w:b/>
      <w:bCs/>
    </w:rPr>
  </w:style>
  <w:style w:type="paragraph" w:styleId="Style27">
    <w:name w:val="Текст выноски"/>
    <w:basedOn w:val="Normal"/>
    <w:qFormat/>
    <w:pPr>
      <w:spacing w:before="0" w:after="0"/>
    </w:pPr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Style28">
    <w:name w:val="Обычный (Интернет)"/>
    <w:basedOn w:val="Normal"/>
    <w:qFormat/>
    <w:pPr/>
    <w:rPr>
      <w:sz w:val="24"/>
      <w:szCs w:val="24"/>
      <w:lang w:val="ru-RU"/>
    </w:rPr>
  </w:style>
  <w:style w:type="paragraph" w:styleId="Style29">
    <w:name w:val="Содержимое таблицы"/>
    <w:basedOn w:val="Normal"/>
    <w:qFormat/>
    <w:pPr>
      <w:widowControl w:val="false"/>
      <w:suppressLineNumbers/>
    </w:pPr>
    <w:rPr/>
  </w:style>
  <w:style w:type="paragraph" w:styleId="Style30">
    <w:name w:val="Заголовок таблицы"/>
    <w:basedOn w:val="Style29"/>
    <w:qFormat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footer" Target="footer3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Normal_x005F_x0000_</Template>
  <TotalTime>1410</TotalTime>
  <Application>LibreOffice/24.8.4.1$Linux_X86_64 LibreOffice_project/480$Build-1</Application>
  <AppVersion>15.0000</AppVersion>
  <Pages>1</Pages>
  <Words>184</Words>
  <Characters>1194</Characters>
  <CharactersWithSpaces>1356</CharactersWithSpaces>
  <Paragraphs>30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2023-02-10T16:15:00Z</dcterms:created>
  <dc:creator>n.butuzova</dc:creator>
  <dc:description/>
  <dc:language>ru-RU</dc:language>
  <cp:lastModifiedBy/>
  <dcterms:modified xsi:type="dcterms:W3CDTF">2026-07-20T11:27:24Z</dcterms:modified>
  <cp:revision>38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