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 xml:space="preserve">                  Приложение к закупочной сессии </w:t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left="0" w:right="0" w:firstLine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spacing w:val="-6"/>
          <w:sz w:val="24"/>
          <w:szCs w:val="24"/>
        </w:rPr>
        <w:t xml:space="preserve">ИКЗ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261773301215177330100100280000000244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eastAsia="MS Mincho"/>
          <w:b/>
          <w:spacing w:val="-6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1.1. Поставщик обязуется</w:t>
      </w:r>
      <w:r>
        <w:rPr>
          <w:b/>
          <w:sz w:val="22"/>
          <w:szCs w:val="22"/>
        </w:rPr>
        <w:t xml:space="preserve"> поставить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реактивы</w:t>
      </w:r>
      <w:r>
        <w:rPr>
          <w:b/>
          <w:bCs/>
          <w:sz w:val="23"/>
          <w:szCs w:val="23"/>
        </w:rPr>
        <w:t xml:space="preserve"> и р</w:t>
      </w:r>
      <w:r>
        <w:rPr>
          <w:b/>
          <w:sz w:val="23"/>
          <w:szCs w:val="23"/>
        </w:rPr>
        <w:t xml:space="preserve">асходные материалы для научных целей</w:t>
      </w:r>
      <w:r>
        <w:rPr>
          <w:rFonts w:ascii="Times New Roman" w:hAnsi="Times New Roman" w:eastAsia="Times New Roman" w:cs="Times New Roman"/>
          <w:color w:val="000000"/>
          <w:spacing w:val="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,</w:t>
      </w:r>
      <w:r>
        <w:rPr>
          <w:sz w:val="22"/>
          <w:szCs w:val="22"/>
        </w:rPr>
        <w:t xml:space="preserve"> а Заказчик обязуется принять и оплатить товар в порядке и на условиях, предусмотренных электронным Контрактом.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</w:t>
      </w:r>
      <w:r>
        <w:rPr>
          <w:rFonts w:eastAsia="Calibri"/>
          <w:sz w:val="22"/>
          <w:szCs w:val="22"/>
          <w:lang w:eastAsia="en-US"/>
        </w:rPr>
        <w:t xml:space="preserve">Контракт</w:t>
      </w:r>
      <w:r>
        <w:rPr>
          <w:rFonts w:eastAsia="Calibri"/>
          <w:sz w:val="22"/>
          <w:szCs w:val="22"/>
          <w:lang w:eastAsia="en-US"/>
        </w:rPr>
        <w:t xml:space="preserve">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2.2. Поставщик гарантирует безопасность Товара в соответствии с требованиями, установленным</w:t>
      </w:r>
      <w:r>
        <w:rPr>
          <w:rFonts w:eastAsia="Calibri"/>
          <w:sz w:val="22"/>
          <w:szCs w:val="22"/>
          <w:lang w:eastAsia="en-US"/>
        </w:rPr>
        <w:t xml:space="preserve">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eastAsia="Calibri"/>
          <w:sz w:val="22"/>
          <w:szCs w:val="22"/>
          <w:lang w:eastAsia="en-US"/>
        </w:rPr>
        <w:t xml:space="preserve">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6</w:t>
      </w:r>
      <w:r>
        <w:rPr>
          <w:rFonts w:eastAsia="Calibri"/>
          <w:sz w:val="22"/>
          <w:szCs w:val="22"/>
          <w:lang w:eastAsia="en-US"/>
        </w:rPr>
        <w:t xml:space="preserve">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7</w:t>
      </w:r>
      <w:r>
        <w:rPr>
          <w:rFonts w:eastAsia="Calibri"/>
          <w:sz w:val="22"/>
          <w:szCs w:val="22"/>
          <w:lang w:eastAsia="en-US"/>
        </w:rPr>
        <w:t xml:space="preserve">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8</w:t>
      </w:r>
      <w:r>
        <w:rPr>
          <w:rFonts w:eastAsia="Calibri"/>
          <w:sz w:val="22"/>
          <w:szCs w:val="22"/>
          <w:lang w:eastAsia="en-US"/>
        </w:rPr>
        <w:t xml:space="preserve">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</w:r>
      <w:bookmarkStart w:id="6" w:name="Par162"/>
      <w:r>
        <w:rPr>
          <w:sz w:val="22"/>
          <w:szCs w:val="22"/>
        </w:rPr>
      </w:r>
      <w:bookmarkEnd w:id="6"/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9</w:t>
      </w:r>
      <w:r>
        <w:rPr>
          <w:rFonts w:eastAsia="Calibri"/>
          <w:sz w:val="22"/>
          <w:szCs w:val="22"/>
          <w:lang w:eastAsia="en-US"/>
        </w:rPr>
        <w:t xml:space="preserve">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3.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Поставщик осуществляет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поставку</w:t>
      </w:r>
      <w:r>
        <w:rPr>
          <w:rFonts w:ascii="Times New Roman" w:hAnsi="Times New Roman"/>
          <w:sz w:val="22"/>
          <w:szCs w:val="22"/>
          <w:highlight w:val="white"/>
        </w:rPr>
        <w:t xml:space="preserve"> товара с даты заключения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а, </w:t>
      </w:r>
      <w:r>
        <w:rPr>
          <w:rFonts w:ascii="Times New Roman" w:hAnsi="Times New Roman"/>
          <w:sz w:val="22"/>
          <w:szCs w:val="22"/>
          <w:highlight w:val="white"/>
        </w:rPr>
        <w:t xml:space="preserve">до 30.11.2026 года</w:t>
      </w:r>
      <w:r>
        <w:rPr>
          <w:rFonts w:ascii="Times New Roman" w:hAnsi="Times New Roman"/>
          <w:sz w:val="22"/>
          <w:szCs w:val="22"/>
          <w:highlight w:val="white"/>
        </w:rPr>
        <w:t xml:space="preserve">. Поставка осуществляется партиями по заявке Заказчика в течение 3 (трех) рабочих дней с даты </w:t>
      </w:r>
      <w:r>
        <w:rPr>
          <w:rFonts w:ascii="Times New Roman" w:hAnsi="Times New Roman"/>
          <w:sz w:val="22"/>
          <w:szCs w:val="22"/>
          <w:highlight w:val="white"/>
        </w:rPr>
        <w:t xml:space="preserve">получения Поставщиком Заявки на поставку товара, в которой Заказчик указывает наименование, количество поставляемого товара и адрес доставки. Заявка оформляется Заказчиком в зависимости от его потребности в товаре и передается по электронной почте.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товара осуществляется в рабочие дни (по предварительной </w:t>
      </w:r>
      <w:r>
        <w:rPr>
          <w:sz w:val="22"/>
          <w:szCs w:val="22"/>
        </w:rPr>
        <w:t xml:space="preserve">договоре</w:t>
      </w:r>
      <w:r>
        <w:rPr>
          <w:sz w:val="22"/>
          <w:szCs w:val="22"/>
        </w:rPr>
        <w:t xml:space="preserve">нности) с 09:00 до 15:00 часов по адрес</w:t>
      </w:r>
      <w:r>
        <w:rPr>
          <w:sz w:val="22"/>
          <w:szCs w:val="22"/>
        </w:rPr>
        <w:t xml:space="preserve">у: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Москва, Волоколамское шоссе, д.80 </w:t>
      </w:r>
      <w:r>
        <w:rPr>
          <w:sz w:val="22"/>
          <w:szCs w:val="22"/>
        </w:rPr>
        <w:t xml:space="preserve">(далее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место доставки).</w:t>
      </w:r>
      <w:r>
        <w:rPr>
          <w:iCs/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</w:r>
      <w:r>
        <w:rPr>
          <w:sz w:val="22"/>
          <w:szCs w:val="22"/>
        </w:rPr>
        <w:t xml:space="preserve">3.3. Поставка Товара осуществляется путем передачи Поставщиком Товара и следующих документов о приемке: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 фактура, 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или деклараци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соответствии</w:t>
      </w:r>
      <w:r>
        <w:rPr>
          <w:sz w:val="22"/>
          <w:szCs w:val="22"/>
        </w:rPr>
        <w:t xml:space="preserve">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</w:t>
      </w:r>
      <w:r>
        <w:rPr>
          <w:sz w:val="22"/>
          <w:szCs w:val="22"/>
        </w:rPr>
        <w:t xml:space="preserve">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 Упаковка и маркировка товара должны соответствовать требованиям </w:t>
      </w:r>
      <w:r>
        <w:rPr>
          <w:sz w:val="22"/>
          <w:szCs w:val="22"/>
        </w:rPr>
        <w:t xml:space="preserve">ГОСТ 17527-2020 </w:t>
      </w:r>
      <w:r>
        <w:rPr>
          <w:sz w:val="22"/>
          <w:szCs w:val="22"/>
        </w:rPr>
        <w:t xml:space="preserve">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3.8.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4.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4.1. </w:t>
      </w:r>
      <w:r>
        <w:rPr>
          <w:rFonts w:eastAsia="MS Mincho"/>
          <w:sz w:val="22"/>
          <w:szCs w:val="22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rPr>
          <w:sz w:val="22"/>
          <w:szCs w:val="22"/>
        </w:rP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4.3. Поставляемый Товар Заказчик оплачивает по ценам, указанным в </w:t>
      </w:r>
      <w:r>
        <w:rPr>
          <w:rFonts w:eastAsia="Batang"/>
          <w:sz w:val="22"/>
          <w:szCs w:val="22"/>
        </w:rPr>
        <w:t xml:space="preserve">Счетах,  выставленным</w:t>
      </w:r>
      <w:r>
        <w:rPr>
          <w:rFonts w:eastAsia="Batang"/>
          <w:sz w:val="22"/>
          <w:szCs w:val="22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sz w:val="22"/>
          <w:szCs w:val="22"/>
        </w:rPr>
        <w:t xml:space="preserve">4.4. </w:t>
      </w:r>
      <w:r>
        <w:rPr>
          <w:sz w:val="22"/>
          <w:szCs w:val="22"/>
        </w:rPr>
      </w:r>
      <w:r/>
      <w:r>
        <w:rPr>
          <w:sz w:val="23"/>
          <w:szCs w:val="23"/>
        </w:rPr>
      </w:r>
      <w:r>
        <w:rPr>
          <w:color w:val="1a1a1a"/>
          <w:sz w:val="23"/>
          <w:szCs w:val="23"/>
          <w:highlight w:val="white"/>
        </w:rPr>
        <w:t xml:space="preserve">Оплата за поставленный Товар осуществляется Заказчиком в течение 7 (семи) рабочих дней с момента подписания Заказчиком Товарной накладной или УПД</w:t>
      </w:r>
      <w:r>
        <w:rPr>
          <w:color w:val="000000"/>
          <w:sz w:val="23"/>
          <w:szCs w:val="23"/>
          <w:highlight w:val="white"/>
        </w:rPr>
        <w:t xml:space="preserve">, а также Акта по форме ОКУД 0510452 (Приказ Минфина РФ от 15.04.2021 г. № 61н). При этом срок оплаты по настоящему договору исчисляется с даты приемки по Акту приемки по форме ОКУД 0510452 </w:t>
      </w:r>
      <w:r>
        <w:rPr>
          <w:color w:val="1a1a1a"/>
          <w:sz w:val="23"/>
          <w:szCs w:val="23"/>
          <w:highlight w:val="white"/>
        </w:rPr>
        <w:t xml:space="preserve">на основании выставленного Поставщиком счёта на оплату</w:t>
      </w:r>
      <w:r>
        <w:rPr>
          <w:sz w:val="23"/>
          <w:szCs w:val="23"/>
        </w:rPr>
        <w:t xml:space="preserve">. </w:t>
      </w:r>
      <w:r/>
      <w:r/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Batang"/>
          <w:sz w:val="22"/>
          <w:szCs w:val="22"/>
        </w:rPr>
        <w:t xml:space="preserve">4.5.</w:t>
      </w:r>
      <w:r>
        <w:rPr>
          <w:sz w:val="22"/>
          <w:szCs w:val="22"/>
        </w:rP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  <w:sz w:val="22"/>
          <w:szCs w:val="22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4.6. </w:t>
      </w:r>
      <w:r>
        <w:rPr>
          <w:sz w:val="22"/>
          <w:szCs w:val="22"/>
        </w:rP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  <w:sz w:val="22"/>
          <w:szCs w:val="22"/>
        </w:rPr>
        <w:t xml:space="preserve">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MS Mincho"/>
          <w:sz w:val="22"/>
          <w:szCs w:val="22"/>
        </w:rPr>
        <w:t xml:space="preserve">4.7.</w:t>
      </w:r>
      <w:r>
        <w:rPr>
          <w:sz w:val="22"/>
          <w:szCs w:val="22"/>
        </w:rP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rPr>
          <w:sz w:val="22"/>
          <w:szCs w:val="22"/>
        </w:rPr>
        <w:t xml:space="preserve">вычета</w:t>
      </w:r>
      <w:r>
        <w:rPr>
          <w:sz w:val="22"/>
          <w:szCs w:val="22"/>
        </w:rP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bCs/>
          <w:sz w:val="22"/>
          <w:szCs w:val="22"/>
          <w:highlight w:val="none"/>
        </w:rPr>
        <w:t xml:space="preserve">5. Порядок Приемки товара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</w:t>
      </w:r>
      <w:r>
        <w:rPr>
          <w:sz w:val="22"/>
          <w:szCs w:val="22"/>
        </w:rPr>
        <w:t xml:space="preserve">лы следующих документов: Товарная накладная, счет фактуры, УПД и </w:t>
      </w:r>
      <w:r>
        <w:rPr>
          <w:sz w:val="22"/>
          <w:szCs w:val="22"/>
        </w:rPr>
        <w:t xml:space="preserve">счета, </w:t>
      </w:r>
      <w:r>
        <w:rPr>
          <w:sz w:val="22"/>
          <w:szCs w:val="22"/>
        </w:rPr>
        <w:t xml:space="preserve">(в соответствии с налоговым законодательством РФ)</w:t>
      </w:r>
      <w:r>
        <w:rPr>
          <w:sz w:val="22"/>
          <w:szCs w:val="22"/>
        </w:rPr>
        <w:t xml:space="preserve">, 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</w:t>
      </w:r>
      <w:r>
        <w:rPr>
          <w:sz w:val="22"/>
          <w:szCs w:val="22"/>
        </w:rPr>
      </w:r>
      <w:r>
        <w:rPr>
          <w:color w:val="000000"/>
          <w:sz w:val="23"/>
          <w:szCs w:val="23"/>
          <w:highlight w:val="white"/>
        </w:rPr>
        <w:t xml:space="preserve">Приемка Товара оформляется Актом приемки. Акт приемки оформляется  по форме ОКУД 0510452 (Приказ Минфина РФ от 15.04.2021 г. № 61н). Заказчик вправе подписать Акт приемки по форме ОКУД 05104</w:t>
      </w:r>
      <w:r>
        <w:rPr>
          <w:color w:val="000000"/>
          <w:sz w:val="23"/>
          <w:szCs w:val="23"/>
          <w:highlight w:val="white"/>
        </w:rPr>
        <w:t xml:space="preserve">52 в одностороннем порядке, за исключением случаев выявления качественных или количественных расхождений поставленного товара (оказанных услуг, выполненных работ) с условиями договора. В случае выявления качественных или количественных расхождений поставле</w:t>
      </w:r>
      <w:r>
        <w:rPr>
          <w:color w:val="000000"/>
          <w:sz w:val="23"/>
          <w:szCs w:val="23"/>
          <w:highlight w:val="white"/>
        </w:rPr>
        <w:t xml:space="preserve">нного товара (оказанных услуг, выполненных работ) с условиями договора, приемка осуществляется с участием представителя Поставщика, а при его отсутствии при приемке подписанный со стороны Заказчика Акт приемки по форме ОКУД 0510452 направляется Поставщику </w:t>
      </w:r>
      <w:r>
        <w:rPr>
          <w:color w:val="000000"/>
          <w:sz w:val="23"/>
          <w:szCs w:val="23"/>
          <w:highlight w:val="white"/>
        </w:rPr>
        <w:t xml:space="preserve">на подписание. Если Поставщик в течение 3 дней не направит Заказчику подписанный Акт приемки по форме ОКУД 0510452 с качественными или количественными расхождениями, такой Акт приемки считается подписанным Поставщиком.</w:t>
      </w:r>
      <w:r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В случае если Поставщик некорректно о</w:t>
      </w:r>
      <w:r>
        <w:rPr>
          <w:sz w:val="22"/>
          <w:szCs w:val="22"/>
        </w:rPr>
        <w:t xml:space="preserve">формил счет, документы о приемке (УПД)</w:t>
      </w:r>
      <w:r>
        <w:rPr>
          <w:sz w:val="22"/>
          <w:szCs w:val="22"/>
        </w:rPr>
        <w:t xml:space="preserve">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части их соответствия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</w:t>
      </w:r>
      <w:r>
        <w:rPr>
          <w:sz w:val="22"/>
          <w:szCs w:val="22"/>
        </w:rPr>
        <w:t xml:space="preserve">ртизу товара должностным лицом (работником) Заказчика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оформляются в виде заключения, которое должно быть объективным, обоснова</w:t>
      </w:r>
      <w:r>
        <w:rPr>
          <w:sz w:val="22"/>
          <w:szCs w:val="22"/>
        </w:rPr>
        <w:t xml:space="preserve">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</w:t>
      </w:r>
      <w:r>
        <w:rPr>
          <w:sz w:val="22"/>
          <w:szCs w:val="22"/>
        </w:rPr>
        <w:t xml:space="preserve">товарной накладной </w:t>
      </w:r>
      <w:r>
        <w:rPr>
          <w:sz w:val="22"/>
          <w:szCs w:val="22"/>
        </w:rPr>
        <w:t xml:space="preserve">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</w:t>
      </w:r>
      <w:r>
        <w:rPr>
          <w:sz w:val="22"/>
          <w:szCs w:val="22"/>
        </w:rPr>
        <w:t xml:space="preserve">й в товарной накладной,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 </w:t>
      </w:r>
      <w:r>
        <w:rPr>
          <w:sz w:val="22"/>
          <w:szCs w:val="22"/>
        </w:rPr>
        <w:t xml:space="preserve">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Гражданского кодекса Российской Федерации. Осмотр и проверка Товара на соответствие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</w:t>
      </w:r>
      <w:r>
        <w:rPr>
          <w:sz w:val="22"/>
          <w:szCs w:val="22"/>
        </w:rPr>
        <w:t xml:space="preserve">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</w:t>
      </w:r>
      <w:r>
        <w:rPr>
          <w:sz w:val="22"/>
          <w:szCs w:val="22"/>
        </w:rPr>
        <w:t xml:space="preserve"> Заказчик в течение 5 рабочих дней со дня получения от Поставщика документов, предусмотренных пунктом </w:t>
      </w:r>
      <w:r>
        <w:rPr>
          <w:sz w:val="22"/>
          <w:szCs w:val="22"/>
        </w:rPr>
        <w:t xml:space="preserve">3.3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</w:t>
      </w:r>
      <w:r>
        <w:rPr>
          <w:sz w:val="22"/>
          <w:szCs w:val="22"/>
        </w:rPr>
        <w:t xml:space="preserve">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</w:t>
      </w:r>
      <w:r>
        <w:rPr>
          <w:sz w:val="22"/>
          <w:szCs w:val="22"/>
        </w:rPr>
        <w:t xml:space="preserve">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</w:t>
      </w:r>
      <w:r>
        <w:rPr>
          <w:sz w:val="22"/>
          <w:szCs w:val="22"/>
        </w:rPr>
        <w:t xml:space="preserve">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</w:t>
      </w:r>
      <w:r>
        <w:rPr>
          <w:sz w:val="22"/>
          <w:szCs w:val="22"/>
        </w:rPr>
        <w:t xml:space="preserve">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</w:t>
      </w:r>
      <w:r>
        <w:rPr>
          <w:sz w:val="22"/>
          <w:szCs w:val="22"/>
        </w:rPr>
        <w:t xml:space="preserve">Поставщик в установленный в мотивированном отказе от подписания срок обязан уст</w:t>
      </w:r>
      <w:r>
        <w:rPr>
          <w:sz w:val="22"/>
          <w:szCs w:val="22"/>
        </w:rPr>
        <w:t xml:space="preserve">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соглашению сторон (и (или) принять решение об одностороннем отказе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), в случае, если</w:t>
      </w:r>
      <w:r>
        <w:rPr>
          <w:sz w:val="22"/>
          <w:szCs w:val="22"/>
        </w:rPr>
        <w:t xml:space="preserve"> устранение нарушений потребует больших временных затрат, в связи с чем Заказчик утрачивает интерес к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sz w:val="22"/>
          <w:szCs w:val="22"/>
        </w:rPr>
        <w:t xml:space="preserve">5.18. </w:t>
      </w:r>
      <w:r>
        <w:rPr>
          <w:sz w:val="22"/>
          <w:szCs w:val="22"/>
        </w:rPr>
        <w:t xml:space="preserve">Риск случайной гибели или повреждения Товара и право собственности на Товар переходит на Заказчика после подписания Сторонами товарной накладной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6. Обязательства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 Поставщик обязуется: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6.1.1. Поставить Товар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17"/>
        <w:ind w:right="27" w:firstLine="709"/>
        <w:jc w:val="both"/>
        <w:widowControl/>
        <w:rPr>
          <w:rFonts w:ascii="Times New Roman" w:hAnsi="Times New Roman" w:eastAsia="Batang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pStyle w:val="917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Стороны обязуются сохранять в тайне информацию служебного и частного характера, ставшую известной в ходе исполнения обязательств по настоящему контракту,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2"/>
          <w:szCs w:val="22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2"/>
          <w:szCs w:val="22"/>
        </w:rPr>
        <w:t xml:space="preserve">реданную для свободного доступа и ставшую известной Сторонам в ходе исполнения настоящего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ascii="Times New Roman" w:hAnsi="Times New Roman" w:cs="Times New Roman"/>
          <w:sz w:val="22"/>
          <w:szCs w:val="22"/>
        </w:rPr>
        <w:t xml:space="preserve">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8"/>
        <w:ind w:left="0"/>
        <w:jc w:val="both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rFonts w:eastAsia="Batang"/>
          <w:b/>
          <w:sz w:val="22"/>
          <w:szCs w:val="22"/>
        </w:rPr>
        <w:t xml:space="preserve">7.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</w:t>
      </w:r>
      <w:r>
        <w:rPr>
          <w:sz w:val="22"/>
          <w:szCs w:val="22"/>
        </w:rPr>
        <w:t xml:space="preserve">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7.5.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7.6.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7.7.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7.7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z w:val="22"/>
          <w:szCs w:val="22"/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7.8.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z w:val="22"/>
          <w:szCs w:val="22"/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z w:val="22"/>
          <w:szCs w:val="22"/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7.10.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z w:val="22"/>
          <w:szCs w:val="22"/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z w:val="22"/>
          <w:szCs w:val="22"/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z w:val="22"/>
          <w:szCs w:val="22"/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z w:val="22"/>
          <w:szCs w:val="22"/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8.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Ни одна из Сторон не несет ответственности перед другой Стороной за неисполнение обязательств по настоящему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у, при этом срок выполнения обязательств по настоящему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8.3. Если обстоятельства непреодолимой силы действуют на протяжении 3 (трех) последовательных месяцев, настоящий </w:t>
      </w:r>
      <w:r>
        <w:rPr>
          <w:rFonts w:ascii="Times New Roman" w:hAnsi="Times New Roman" w:cs="Times New Roman"/>
          <w:sz w:val="22"/>
          <w:szCs w:val="22"/>
        </w:rPr>
        <w:t xml:space="preserve">контракту</w:t>
      </w:r>
      <w:r>
        <w:rPr>
          <w:rFonts w:eastAsia="Batang"/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8.4. </w:t>
      </w:r>
      <w:r>
        <w:rPr>
          <w:rFonts w:eastAsia="Batang"/>
          <w:sz w:val="22"/>
          <w:szCs w:val="22"/>
        </w:rPr>
        <w:t xml:space="preserve">В случаях, не предусмотренных настоящим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</w:r>
      <w:bookmarkStart w:id="0" w:name="bookmark0"/>
      <w:r>
        <w:rPr>
          <w:rFonts w:eastAsia="Batang"/>
          <w:b/>
          <w:sz w:val="22"/>
          <w:szCs w:val="22"/>
        </w:rPr>
        <w:t xml:space="preserve">9. Порядок разрешения споров</w:t>
      </w:r>
      <w:bookmarkEnd w:id="0"/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Все споры или разногласия, возникающие между Сторонами по настоящему Контракту,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имеет право передать спор на разрешение </w:t>
      </w:r>
      <w:r>
        <w:rPr>
          <w:sz w:val="22"/>
          <w:szCs w:val="22"/>
        </w:rPr>
        <w:t xml:space="preserve">Арбитражого</w:t>
      </w:r>
      <w:r>
        <w:rPr>
          <w:sz w:val="22"/>
          <w:szCs w:val="22"/>
        </w:rPr>
        <w:t xml:space="preserve"> суда по истечении 10 рабочих дней со дня получения претензии (требования) другой Стороной. При невозможности </w:t>
      </w:r>
      <w:r>
        <w:rPr>
          <w:sz w:val="22"/>
          <w:szCs w:val="22"/>
        </w:rPr>
        <w:t xml:space="preserve">разрешения  споров</w:t>
      </w:r>
      <w:r>
        <w:rPr>
          <w:sz w:val="22"/>
          <w:szCs w:val="22"/>
        </w:rPr>
        <w:t xml:space="preserve"> путем переговоров или в претензионном порядке спорный вопрос передается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на рассмотрение в Арбитражный суд, где он</w:t>
      </w:r>
      <w:r>
        <w:rPr>
          <w:rFonts w:eastAsia="Batang"/>
          <w:sz w:val="22"/>
          <w:szCs w:val="22"/>
        </w:rPr>
        <w:t xml:space="preserve"> </w:t>
      </w:r>
      <w:r>
        <w:rPr>
          <w:rFonts w:eastAsia="Batang"/>
          <w:sz w:val="22"/>
          <w:szCs w:val="22"/>
        </w:rPr>
        <w:t xml:space="preserve">разрешается  в</w:t>
      </w:r>
      <w:r>
        <w:rPr>
          <w:rFonts w:eastAsia="Batang"/>
          <w:sz w:val="22"/>
          <w:szCs w:val="22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10. Прочие условия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10.1. Настоящий К</w:t>
      </w:r>
      <w:r>
        <w:rPr>
          <w:rFonts w:ascii="Times New Roman" w:hAnsi="Times New Roman" w:cs="Times New Roman"/>
          <w:sz w:val="22"/>
          <w:szCs w:val="22"/>
        </w:rPr>
        <w:t xml:space="preserve">онтракт</w:t>
      </w:r>
      <w:r>
        <w:rPr>
          <w:rFonts w:eastAsia="Batang"/>
          <w:sz w:val="22"/>
          <w:szCs w:val="22"/>
        </w:rPr>
        <w:t xml:space="preserve"> вступает в силу с момента его </w:t>
      </w:r>
      <w:r>
        <w:rPr>
          <w:rFonts w:eastAsia="Batang"/>
          <w:sz w:val="22"/>
          <w:szCs w:val="22"/>
        </w:rPr>
        <w:t xml:space="preserve">подписания  и</w:t>
      </w:r>
      <w:r>
        <w:rPr>
          <w:rFonts w:eastAsia="Batang"/>
          <w:sz w:val="22"/>
          <w:szCs w:val="22"/>
        </w:rPr>
        <w:t xml:space="preserve">  действует до полного исполнения сторонами своих обязательств по настоящему Контрактуу, но не позднее 30.12.2026 г.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 Настоящий К</w:t>
      </w:r>
      <w:r>
        <w:rPr>
          <w:rFonts w:ascii="Times New Roman" w:hAnsi="Times New Roman" w:cs="Times New Roman"/>
          <w:sz w:val="22"/>
          <w:szCs w:val="22"/>
        </w:rPr>
        <w:t xml:space="preserve">онтракт</w:t>
      </w:r>
      <w:r>
        <w:rPr>
          <w:rFonts w:eastAsia="Batang"/>
          <w:sz w:val="22"/>
          <w:szCs w:val="22"/>
        </w:rPr>
        <w:t xml:space="preserve">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10.3. В случае изменения у како</w:t>
      </w:r>
      <w:r>
        <w:rPr>
          <w:rFonts w:eastAsia="Batang"/>
          <w:sz w:val="22"/>
          <w:szCs w:val="22"/>
        </w:rPr>
        <w:t xml:space="preserve">й</w:t>
      </w:r>
      <w:r>
        <w:rPr>
          <w:rFonts w:eastAsia="Batang"/>
          <w:sz w:val="22"/>
          <w:szCs w:val="22"/>
        </w:rPr>
        <w:t xml:space="preserve">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10.4. Настоящий Контракт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10.5. Во всем остальном, что не предусмотрено настоящим Контрактом,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24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Контракту,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Контракту,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1.3. В случае возникновения у Стороны подозрений, что произошло или может произойти нарушение каких-либо положений настоящей части Контракта,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2"/>
          <w:szCs w:val="22"/>
        </w:rPr>
        <w:t xml:space="preserve">я</w:t>
      </w:r>
      <w:r>
        <w:rPr>
          <w:rFonts w:ascii="Times New Roman" w:hAnsi="Times New Roman" w:cs="Times New Roman"/>
          <w:sz w:val="22"/>
          <w:szCs w:val="22"/>
        </w:rPr>
        <w:t xml:space="preserve">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Контракта контрагентом, его аффилированными лицами, работникам</w:t>
      </w:r>
      <w:r>
        <w:rPr>
          <w:rFonts w:ascii="Times New Roman" w:hAnsi="Times New Roman" w:cs="Times New Roman"/>
          <w:sz w:val="22"/>
          <w:szCs w:val="22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2"/>
          <w:szCs w:val="22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.4. В случае нарушения одной Стороной обязательств воздерживаться от запрещенных в данной части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</w:t>
      </w:r>
      <w:r>
        <w:rPr>
          <w:sz w:val="22"/>
          <w:szCs w:val="22"/>
        </w:rPr>
        <w:t xml:space="preserve"> им</w:t>
      </w:r>
      <w:r>
        <w:rPr>
          <w:sz w:val="22"/>
          <w:szCs w:val="22"/>
        </w:rPr>
        <w:t xml:space="preserve">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был, расторгнут Контракт в соответствии с положениями настоящей части Контракта, вправе требовать возме</w:t>
      </w:r>
      <w:r>
        <w:rPr>
          <w:sz w:val="22"/>
          <w:szCs w:val="22"/>
        </w:rPr>
        <w:t xml:space="preserve">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27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</w:t>
      </w:r>
      <w:r>
        <w:rPr>
          <w:rFonts w:ascii="Times New Roman" w:hAnsi="Times New Roman" w:eastAsia="MS Mincho"/>
          <w:b/>
          <w:bCs/>
          <w:sz w:val="22"/>
          <w:szCs w:val="22"/>
        </w:rPr>
        <w:t xml:space="preserve">12.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tabs>
          <w:tab w:val="left" w:pos="1133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125367, г. Москва, Волоколамское шоссе, д. 80,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Заключение контракта: </w:t>
      </w:r>
      <w:r>
        <w:rPr>
          <w:sz w:val="22"/>
          <w:szCs w:val="22"/>
        </w:rPr>
        <w:t xml:space="preserve">(495) 4902230 (474)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rStyle w:val="865"/>
          <w:sz w:val="22"/>
          <w:szCs w:val="22"/>
          <w:highlight w:val="none"/>
        </w:rPr>
        <w:t xml:space="preserve">Контактное лицо: </w:t>
      </w:r>
      <w:r>
        <w:rPr>
          <w:rStyle w:val="865"/>
          <w:sz w:val="22"/>
          <w:szCs w:val="22"/>
          <w:highlight w:val="none"/>
        </w:rPr>
        <w:t xml:space="preserve">Берлянт Анна Николаевна 8 (495) 490-24-15  доб.384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ОГРН 1027739766812 от 16.04.1993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7733012151, КПП 773301001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01897653, ОКТМО 45368000, ОКОПФ 75103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Банковские реквизиты: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г. Москве (ФГБНУ РЦНН л/с 20736У94110)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Единый казначейский счет (счет банка получателя) 40102810545370000003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Казначейский счет (расчетный счет) 03214643000000017300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hd w:val="clear" w:color="auto" w:fill="ffffff"/>
        <w:rPr>
          <w:color w:val="000000"/>
          <w:spacing w:val="5"/>
          <w:highlight w:val="white"/>
        </w:rPr>
      </w:pPr>
      <w:r>
        <w:rPr>
          <w:sz w:val="22"/>
          <w:szCs w:val="22"/>
        </w:rPr>
      </w:r>
      <w:r>
        <w:rPr>
          <w:sz w:val="22"/>
          <w:szCs w:val="22"/>
          <w:highlight w:val="white"/>
        </w:rPr>
        <w:t xml:space="preserve"> </w:t>
      </w:r>
      <w:r>
        <w:rPr>
          <w:color w:val="000000"/>
          <w:spacing w:val="5"/>
          <w:sz w:val="22"/>
          <w:szCs w:val="22"/>
          <w:highlight w:val="white"/>
        </w:rPr>
        <w:t xml:space="preserve">ОКЦ № 1 ГУ БАНКА РОССИИ ПО ЦФО//УФК</w:t>
      </w:r>
      <w:r>
        <w:rPr>
          <w:color w:val="000000"/>
          <w:spacing w:val="5"/>
          <w:highlight w:val="white"/>
        </w:rPr>
      </w:r>
      <w:r>
        <w:rPr>
          <w:color w:val="000000"/>
          <w:spacing w:val="5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/>
          <w:spacing w:val="5"/>
          <w:sz w:val="22"/>
          <w:szCs w:val="22"/>
          <w:highlight w:val="white"/>
        </w:rPr>
        <w:t xml:space="preserve">ПО Г. МОСКВЕ г. Москв</w:t>
      </w:r>
      <w:r>
        <w:rPr>
          <w:color w:val="000000"/>
          <w:spacing w:val="5"/>
          <w:sz w:val="22"/>
          <w:szCs w:val="22"/>
          <w:highlight w:val="white"/>
        </w:rPr>
        <w:t xml:space="preserve">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БИК 004525988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line="100" w:lineRule="atLeast"/>
      </w:pPr>
      <w:r>
        <w:br w:type="page" w:clear="all"/>
      </w:r>
      <w:r>
        <w:rPr>
          <w:sz w:val="32"/>
          <w:szCs w:val="32"/>
          <w:highlight w:val="none"/>
        </w:rPr>
      </w:r>
      <w:r/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  <w:t xml:space="preserve">                                                                                                                                           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</w:rPr>
        <w:t xml:space="preserve">Спецификация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tbl>
      <w:tblPr>
        <w:tblStyle w:val="739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3827"/>
        <w:gridCol w:w="7341"/>
        <w:gridCol w:w="1305"/>
        <w:gridCol w:w="6371"/>
      </w:tblGrid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                  </w:t>
            </w:r>
            <w:r>
              <w:rPr>
                <w:sz w:val="28"/>
                <w:szCs w:val="28"/>
                <w:highlight w:val="none"/>
              </w:rPr>
              <w:t xml:space="preserve">Артикул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Наименование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Ед.измерения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textDirection w:val="lrTb"/>
            <w:noWrap w:val="false"/>
          </w:tcPr>
          <w:p>
            <w:pPr>
              <w:ind w:left="0" w:right="3031" w:firstLine="0"/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Количество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ГИСТОПОИНТ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Среда парафиновая гомогенизированная с добавками и компонентами для гистологической заливки по ТУ 9398- 004-09659054-2015. Среда парафиновая гомогенизированная для проводки ГИСТОПОИНТ, 5 кг., пр-во ООО "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МедТехникаПоинт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", Россия.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Среда парафиновая для гистологической проводки и заливки. Температура плавления: строго 56-58 °C. Форма: гранулы, упаковка 5 кг. Наличие действующего РУ.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ГИСТОМИКС ЭКСТРА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Парафин для гистологической заливки, 5 кг, пр-во ООО "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ЭргоПродакшн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", Россия.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Среда на основе высокоочищенного парафина (содержание масел &lt;0,5%) с пластифицирующими сополимерами этилен-винилацетата. Температура плавления: строго 54-56 °C. Форма: гранулы, упаковка 1 кг. Наличие действующего РУ.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</w:t>
            </w:r>
            <w:r>
              <w:rPr>
                <w:sz w:val="22"/>
                <w:szCs w:val="22"/>
                <w:highlight w:val="none"/>
              </w:rPr>
              <w:t xml:space="preserve">      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0500-5020-хх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Планшет на 20 стекол без крышки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Изделие, предна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значенное для безопасного, упорядоченного хранения, просмотра и отбора предметных стекол с окрашенными препаратами. Обычно представляет собой плоский пластмассовый поддон с ячейками под горизонтальную укладку предметных стёкол. Дно лотка обычно делается бе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лым, чтобы проще было различать слайды по цвету красителя или пигмента. Обычно помещается в шкаф для хранения предметных стекол. Изделие многоразового использования.  Материал изготовления: полимерный материал, устойчивый к действию растворителей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Цитотест Лэбвэа Мэньюфэкчеринг Ко., Лтд, Китай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                                             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штуки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</w:t>
            </w:r>
            <w:r>
              <w:rPr>
                <w:sz w:val="22"/>
                <w:szCs w:val="22"/>
                <w:highlight w:val="none"/>
              </w:rPr>
              <w:t xml:space="preserve">50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DS9800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Набор реагентов для детекции Бонд на основе полимера -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Bond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Polymer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Refine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Detection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(200-300 тестов)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Соединенное Королевство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Набор для детекции ИГХ реакций, бесбиотиновый, использующий полимерный конъюгат, меченный пероксидазой хрена (HRP), а также хромоген 3,3'-диам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инобензидин (DAB). В составе: блокиратор эндогенной пероксидазы, сыворотка для снижения неспецифического связывания, полимерный конъюгат, хромоген, буфер, гематоксилин для контрастирования. Объем реагентов рассчитан на проведение не менее 150 определений.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штуки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CS9100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Набор для очистки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пробозаборника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от DAB для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Bond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15 циклов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Система очистки зонда, Leica Biosystems 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Вспо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могательный раствор общего назначения для IVD. Специализированный очищающий раствор для промывки иглы заборщика. Совместимость с платформой Leica Bond. Формат поставки - готовый к использованию раствор в специализированном флаконе для установки в стейнер.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штуки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AR9961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Раствор Бонд для высокотемпературной демаскировки 1-Bond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Epitope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Retrieval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1 (1литр/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упак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.)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Реагент демаскировки. Представляет собой готовый буферный раствор на основе цитрата с кислым значением pH (в диапазоне 5,9-6,1). Предназначен для проведения автоматической демаскировки антигенов в стейнерах Leica Bond. Объем упаковки: 1 литр. 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7.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AR9640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Раствор Бонд для высокотемпературной демаскировки 2 -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Bond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Epitope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Retrieval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2 (1литр/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упак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.)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Раствор для высокотемпературной демаскировки 2-Bond Epitope Retrieval к Bond MAX 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Реагент демаскировки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. Готовый к использованию буферный раствор на основе этилендиаминтетрауксусной кислоты (ЭДТА) со щелочным значением pH (в диапазоне 8,9-9,1). Предназначен для проведения автоматической демаскировки антигенов в стейнерах Leica Bond. Объем упаковки: 1 литр.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8.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AR9590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Отмывочный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раствор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Бонд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, 1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- Bond Wash Solution 10X Concentrate, 1 L (1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литр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/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упак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.)</w:t>
            </w:r>
            <w:r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Вспомогат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ельный раствор. Концентрированный (10х) фосфатно-солевой буферный раствор (PBS) с добавлением сурфактанта для снижения поверхностного натяжения. Предназначен для проведения промывочных циклов на автоматических стейнерах Leica Bond. Объем упаковки: 1 литр. </w:t>
            </w:r>
            <w:r>
              <w:rPr>
                <w:color w:val="000000"/>
                <w:sz w:val="24"/>
                <w:szCs w:val="24"/>
                <w:lang w:val="en-US" w:eastAsia="ru-RU"/>
              </w:rPr>
            </w:r>
            <w:r>
              <w:rPr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 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9.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Пикриновая кислота 250мл., пр-во ООО "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МедТехникаПоинт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", Россия.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Пикриновая кислота, 1.2% раствор, для </w:t>
              <w:br/>
              <w:t xml:space="preserve">анализа (AR), CAS 88-89-1, 500 мл, Pallav </w:t>
              <w:br/>
              <w:t xml:space="preserve">Chemicals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Кислота пикриновая (2,4,6-тринитрофенол), влажная. Содержание воды должно составлять не менее 30% по массе. Квалификация: ЧДА или ХЧ. Фасовка: по 250 граммов в специализированной полимерной или стеклянной банке.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2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Реактив изопентан (2-метилбутан), 1л/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уп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  <w:t xml:space="preserve">Индия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11.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1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Крезил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виолет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25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мг.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пр-во ООО "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МедТехникаПоинт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", Россия.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Порошок Бриллиантовый крезиловый синий для окраски ретикулоцитов в крови.</w:t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Крезил виолет ацетат, сухой порошок красителя высокой степени чистоты (содержание основного вещества не менее 70%) для окраски по Нисслю. Фасовка: строго 25 граммов в темной банке.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1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pPr>
        <w:jc w:val="center"/>
        <w:spacing w:line="100" w:lineRule="atLeast"/>
        <w:rPr>
          <w:sz w:val="32"/>
          <w:szCs w:val="32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sectPr>
      <w:footnotePr/>
      <w:endnotePr/>
      <w:type w:val="nextPage"/>
      <w:pgSz w:w="16838" w:h="11906" w:orient="landscape"/>
      <w:pgMar w:top="1134" w:right="993" w:bottom="397" w:left="70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11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12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13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14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2 Char"/>
    <w:basedOn w:val="712"/>
    <w:link w:val="704"/>
    <w:uiPriority w:val="9"/>
    <w:rPr>
      <w:rFonts w:ascii="Arial" w:hAnsi="Arial" w:eastAsia="Arial" w:cs="Arial"/>
      <w:sz w:val="34"/>
    </w:rPr>
  </w:style>
  <w:style w:type="character" w:styleId="687">
    <w:name w:val="Heading 3 Char"/>
    <w:basedOn w:val="712"/>
    <w:link w:val="705"/>
    <w:uiPriority w:val="9"/>
    <w:rPr>
      <w:rFonts w:ascii="Arial" w:hAnsi="Arial" w:eastAsia="Arial" w:cs="Arial"/>
      <w:sz w:val="30"/>
      <w:szCs w:val="30"/>
    </w:rPr>
  </w:style>
  <w:style w:type="character" w:styleId="688">
    <w:name w:val="Heading 4 Char"/>
    <w:basedOn w:val="712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>
    <w:name w:val="Heading 5 Char"/>
    <w:basedOn w:val="712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>
    <w:name w:val="Heading 6 Char"/>
    <w:basedOn w:val="712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>
    <w:name w:val="Heading 7 Char"/>
    <w:basedOn w:val="712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8 Char"/>
    <w:basedOn w:val="712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>
    <w:name w:val="Heading 9 Char"/>
    <w:basedOn w:val="712"/>
    <w:link w:val="711"/>
    <w:uiPriority w:val="9"/>
    <w:rPr>
      <w:rFonts w:ascii="Arial" w:hAnsi="Arial" w:eastAsia="Arial" w:cs="Arial"/>
      <w:i/>
      <w:iCs/>
      <w:sz w:val="21"/>
      <w:szCs w:val="21"/>
    </w:rPr>
  </w:style>
  <w:style w:type="character" w:styleId="694">
    <w:name w:val="Title Char"/>
    <w:basedOn w:val="712"/>
    <w:link w:val="725"/>
    <w:uiPriority w:val="10"/>
    <w:rPr>
      <w:sz w:val="48"/>
      <w:szCs w:val="48"/>
    </w:rPr>
  </w:style>
  <w:style w:type="character" w:styleId="695">
    <w:name w:val="Subtitle Char"/>
    <w:basedOn w:val="712"/>
    <w:link w:val="727"/>
    <w:uiPriority w:val="11"/>
    <w:rPr>
      <w:sz w:val="24"/>
      <w:szCs w:val="24"/>
    </w:rPr>
  </w:style>
  <w:style w:type="character" w:styleId="696">
    <w:name w:val="Quote Char"/>
    <w:link w:val="729"/>
    <w:uiPriority w:val="29"/>
    <w:rPr>
      <w:i/>
    </w:rPr>
  </w:style>
  <w:style w:type="character" w:styleId="697">
    <w:name w:val="Intense Quote Char"/>
    <w:link w:val="731"/>
    <w:uiPriority w:val="30"/>
    <w:rPr>
      <w:i/>
    </w:rPr>
  </w:style>
  <w:style w:type="character" w:styleId="698">
    <w:name w:val="Header Char"/>
    <w:basedOn w:val="712"/>
    <w:link w:val="733"/>
    <w:uiPriority w:val="99"/>
  </w:style>
  <w:style w:type="character" w:styleId="699">
    <w:name w:val="Caption Char"/>
    <w:basedOn w:val="737"/>
    <w:link w:val="735"/>
    <w:uiPriority w:val="99"/>
  </w:style>
  <w:style w:type="character" w:styleId="700">
    <w:name w:val="Footnote Text Char"/>
    <w:link w:val="866"/>
    <w:uiPriority w:val="99"/>
    <w:rPr>
      <w:sz w:val="18"/>
    </w:rPr>
  </w:style>
  <w:style w:type="character" w:styleId="701">
    <w:name w:val="Endnote Text Char"/>
    <w:link w:val="869"/>
    <w:uiPriority w:val="99"/>
    <w:rPr>
      <w:sz w:val="20"/>
    </w:rPr>
  </w:style>
  <w:style w:type="paragraph" w:styleId="702" w:default="1">
    <w:name w:val="Normal"/>
    <w:rPr>
      <w:sz w:val="24"/>
      <w:szCs w:val="24"/>
      <w:lang w:eastAsia="ar-SA"/>
    </w:rPr>
  </w:style>
  <w:style w:type="paragraph" w:styleId="703">
    <w:name w:val="Heading 1"/>
    <w:basedOn w:val="702"/>
    <w:link w:val="919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704">
    <w:name w:val="Heading 2"/>
    <w:basedOn w:val="702"/>
    <w:next w:val="702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5">
    <w:name w:val="Heading 3"/>
    <w:basedOn w:val="702"/>
    <w:next w:val="702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6">
    <w:name w:val="Heading 4"/>
    <w:basedOn w:val="702"/>
    <w:next w:val="702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702"/>
    <w:next w:val="702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8">
    <w:name w:val="Heading 6"/>
    <w:basedOn w:val="702"/>
    <w:next w:val="702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702"/>
    <w:next w:val="702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702"/>
    <w:next w:val="702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702"/>
    <w:next w:val="702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character" w:styleId="715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6" w:customStyle="1">
    <w:name w:val="Заголовок 2 Знак"/>
    <w:link w:val="704"/>
    <w:uiPriority w:val="9"/>
    <w:rPr>
      <w:rFonts w:ascii="Arial" w:hAnsi="Arial" w:eastAsia="Arial" w:cs="Arial"/>
      <w:sz w:val="34"/>
    </w:rPr>
  </w:style>
  <w:style w:type="character" w:styleId="717" w:customStyle="1">
    <w:name w:val="Заголовок 3 Знак"/>
    <w:link w:val="705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Заголовок 4 Знак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Заголовок 5 Знак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Заголовок 6 Знак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Заголовок 7 Знак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Заголовок 8 Знак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Заголовок 9 Знак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No Spacing"/>
    <w:rPr>
      <w:sz w:val="24"/>
      <w:szCs w:val="24"/>
      <w:lang w:eastAsia="ru-RU"/>
    </w:rPr>
  </w:style>
  <w:style w:type="paragraph" w:styleId="725">
    <w:name w:val="Title"/>
    <w:basedOn w:val="702"/>
    <w:next w:val="901"/>
    <w:link w:val="726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26" w:customStyle="1">
    <w:name w:val="Заголовок Знак"/>
    <w:link w:val="725"/>
    <w:uiPriority w:val="10"/>
    <w:rPr>
      <w:sz w:val="48"/>
      <w:szCs w:val="48"/>
    </w:rPr>
  </w:style>
  <w:style w:type="paragraph" w:styleId="727">
    <w:name w:val="Subtitle"/>
    <w:basedOn w:val="702"/>
    <w:next w:val="702"/>
    <w:link w:val="728"/>
    <w:uiPriority w:val="11"/>
    <w:qFormat/>
    <w:pPr>
      <w:spacing w:before="200" w:after="200"/>
    </w:pPr>
  </w:style>
  <w:style w:type="character" w:styleId="728" w:customStyle="1">
    <w:name w:val="Подзаголовок Знак"/>
    <w:link w:val="727"/>
    <w:uiPriority w:val="11"/>
    <w:rPr>
      <w:sz w:val="24"/>
      <w:szCs w:val="24"/>
    </w:rPr>
  </w:style>
  <w:style w:type="paragraph" w:styleId="729">
    <w:name w:val="Quote"/>
    <w:basedOn w:val="702"/>
    <w:next w:val="702"/>
    <w:link w:val="730"/>
    <w:uiPriority w:val="29"/>
    <w:qFormat/>
    <w:pPr>
      <w:ind w:left="720" w:right="720"/>
    </w:pPr>
    <w:rPr>
      <w:i/>
    </w:rPr>
  </w:style>
  <w:style w:type="character" w:styleId="730" w:customStyle="1">
    <w:name w:val="Цитата 2 Знак"/>
    <w:link w:val="729"/>
    <w:uiPriority w:val="29"/>
    <w:rPr>
      <w:i/>
    </w:rPr>
  </w:style>
  <w:style w:type="paragraph" w:styleId="731">
    <w:name w:val="Intense Quote"/>
    <w:basedOn w:val="702"/>
    <w:next w:val="702"/>
    <w:link w:val="73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 w:customStyle="1">
    <w:name w:val="Выделенная цитата Знак"/>
    <w:link w:val="731"/>
    <w:uiPriority w:val="30"/>
    <w:rPr>
      <w:i/>
    </w:rPr>
  </w:style>
  <w:style w:type="paragraph" w:styleId="733">
    <w:name w:val="Header"/>
    <w:basedOn w:val="702"/>
    <w:link w:val="7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4" w:customStyle="1">
    <w:name w:val="Верхний колонтитул Знак"/>
    <w:link w:val="733"/>
    <w:uiPriority w:val="99"/>
  </w:style>
  <w:style w:type="paragraph" w:styleId="735">
    <w:name w:val="Footer"/>
    <w:basedOn w:val="702"/>
    <w:link w:val="73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6" w:customStyle="1">
    <w:name w:val="Footer Char"/>
    <w:uiPriority w:val="99"/>
  </w:style>
  <w:style w:type="paragraph" w:styleId="737">
    <w:name w:val="Caption"/>
    <w:basedOn w:val="702"/>
    <w:next w:val="702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 w:customStyle="1">
    <w:name w:val="Нижний колонтитул Знак"/>
    <w:link w:val="735"/>
    <w:uiPriority w:val="99"/>
  </w:style>
  <w:style w:type="table" w:styleId="739">
    <w:name w:val="Table Grid"/>
    <w:basedOn w:val="713"/>
    <w:tblPr/>
  </w:style>
  <w:style w:type="table" w:styleId="74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5">
    <w:name w:val="Hyperlink"/>
    <w:basedOn w:val="890"/>
    <w:rPr>
      <w:color w:val="0000ff"/>
      <w:u w:val="single"/>
    </w:rPr>
  </w:style>
  <w:style w:type="paragraph" w:styleId="866">
    <w:name w:val="footnote text"/>
    <w:basedOn w:val="702"/>
    <w:link w:val="867"/>
    <w:uiPriority w:val="99"/>
    <w:semiHidden/>
    <w:unhideWhenUsed/>
    <w:pPr>
      <w:spacing w:after="40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uiPriority w:val="99"/>
    <w:unhideWhenUsed/>
    <w:rPr>
      <w:vertAlign w:val="superscript"/>
    </w:rPr>
  </w:style>
  <w:style w:type="paragraph" w:styleId="869">
    <w:name w:val="endnote text"/>
    <w:basedOn w:val="702"/>
    <w:link w:val="870"/>
    <w:uiPriority w:val="99"/>
    <w:semiHidden/>
    <w:unhideWhenUsed/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702"/>
    <w:next w:val="702"/>
    <w:uiPriority w:val="39"/>
    <w:unhideWhenUsed/>
    <w:pPr>
      <w:spacing w:after="57"/>
    </w:pPr>
  </w:style>
  <w:style w:type="paragraph" w:styleId="873">
    <w:name w:val="toc 2"/>
    <w:basedOn w:val="702"/>
    <w:next w:val="702"/>
    <w:uiPriority w:val="39"/>
    <w:unhideWhenUsed/>
    <w:pPr>
      <w:ind w:left="283"/>
      <w:spacing w:after="57"/>
    </w:pPr>
  </w:style>
  <w:style w:type="paragraph" w:styleId="874">
    <w:name w:val="toc 3"/>
    <w:basedOn w:val="702"/>
    <w:next w:val="702"/>
    <w:uiPriority w:val="39"/>
    <w:unhideWhenUsed/>
    <w:pPr>
      <w:ind w:left="567"/>
      <w:spacing w:after="57"/>
    </w:pPr>
  </w:style>
  <w:style w:type="paragraph" w:styleId="875">
    <w:name w:val="toc 4"/>
    <w:basedOn w:val="702"/>
    <w:next w:val="702"/>
    <w:uiPriority w:val="39"/>
    <w:unhideWhenUsed/>
    <w:pPr>
      <w:ind w:left="850"/>
      <w:spacing w:after="57"/>
    </w:pPr>
  </w:style>
  <w:style w:type="paragraph" w:styleId="876">
    <w:name w:val="toc 5"/>
    <w:basedOn w:val="702"/>
    <w:next w:val="702"/>
    <w:uiPriority w:val="39"/>
    <w:unhideWhenUsed/>
    <w:pPr>
      <w:ind w:left="1134"/>
      <w:spacing w:after="57"/>
    </w:pPr>
  </w:style>
  <w:style w:type="paragraph" w:styleId="877">
    <w:name w:val="toc 6"/>
    <w:basedOn w:val="702"/>
    <w:next w:val="702"/>
    <w:uiPriority w:val="39"/>
    <w:unhideWhenUsed/>
    <w:pPr>
      <w:ind w:left="1417"/>
      <w:spacing w:after="57"/>
    </w:pPr>
  </w:style>
  <w:style w:type="paragraph" w:styleId="878">
    <w:name w:val="toc 7"/>
    <w:basedOn w:val="702"/>
    <w:next w:val="702"/>
    <w:uiPriority w:val="39"/>
    <w:unhideWhenUsed/>
    <w:pPr>
      <w:ind w:left="1701"/>
      <w:spacing w:after="57"/>
    </w:pPr>
  </w:style>
  <w:style w:type="paragraph" w:styleId="879">
    <w:name w:val="toc 8"/>
    <w:basedOn w:val="702"/>
    <w:next w:val="702"/>
    <w:uiPriority w:val="39"/>
    <w:unhideWhenUsed/>
    <w:pPr>
      <w:ind w:left="1984"/>
      <w:spacing w:after="57"/>
    </w:pPr>
  </w:style>
  <w:style w:type="paragraph" w:styleId="880">
    <w:name w:val="toc 9"/>
    <w:basedOn w:val="702"/>
    <w:next w:val="702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2"/>
    <w:next w:val="702"/>
    <w:uiPriority w:val="99"/>
    <w:unhideWhenUsed/>
  </w:style>
  <w:style w:type="character" w:styleId="883" w:customStyle="1">
    <w:name w:val="Absatz-Standardschriftart"/>
  </w:style>
  <w:style w:type="character" w:styleId="884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85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86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87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88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89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90" w:customStyle="1">
    <w:name w:val="Основной шрифт абзаца1"/>
  </w:style>
  <w:style w:type="character" w:styleId="891" w:customStyle="1">
    <w:name w:val="Основной текст (2)_"/>
    <w:basedOn w:val="890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92" w:customStyle="1">
    <w:name w:val="Основной текст (2) + Интервал 0 pt"/>
    <w:basedOn w:val="891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93" w:customStyle="1">
    <w:name w:val="Основной текст_"/>
    <w:basedOn w:val="890"/>
    <w:link w:val="928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94" w:customStyle="1">
    <w:name w:val="Основной текст + Интервал 0 pt"/>
    <w:basedOn w:val="893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95" w:customStyle="1">
    <w:name w:val="Основной текст + Интервал 2 pt"/>
    <w:basedOn w:val="893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96" w:customStyle="1">
    <w:name w:val="Основной текст (2) + Интервал 0 pt1"/>
    <w:basedOn w:val="891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97" w:customStyle="1">
    <w:name w:val="Основной текст + Arial Narrow"/>
    <w:basedOn w:val="893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98" w:customStyle="1">
    <w:name w:val="Заголовок №1_"/>
    <w:basedOn w:val="890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99" w:customStyle="1">
    <w:name w:val="Заголовок №1 + Batang"/>
    <w:basedOn w:val="898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900" w:customStyle="1">
    <w:name w:val="Основной текст + Интервал 0 pt1"/>
    <w:basedOn w:val="893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901">
    <w:name w:val="Body Text"/>
    <w:basedOn w:val="702"/>
    <w:link w:val="915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902">
    <w:name w:val="List"/>
    <w:basedOn w:val="901"/>
    <w:rPr>
      <w:rFonts w:ascii="Arial" w:hAnsi="Arial" w:cs="Mangal"/>
    </w:rPr>
  </w:style>
  <w:style w:type="paragraph" w:styleId="903" w:customStyle="1">
    <w:name w:val="Название1"/>
    <w:basedOn w:val="702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904" w:customStyle="1">
    <w:name w:val="Указатель1"/>
    <w:basedOn w:val="702"/>
    <w:pPr>
      <w:suppressLineNumbers/>
    </w:pPr>
    <w:rPr>
      <w:rFonts w:ascii="Arial" w:hAnsi="Arial" w:cs="Mangal"/>
    </w:rPr>
  </w:style>
  <w:style w:type="paragraph" w:styleId="905" w:customStyle="1">
    <w:name w:val="Основной текст (2)"/>
    <w:basedOn w:val="702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906" w:customStyle="1">
    <w:name w:val="Заголовок №1"/>
    <w:basedOn w:val="702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907" w:customStyle="1">
    <w:name w:val="western"/>
    <w:basedOn w:val="702"/>
    <w:pPr>
      <w:spacing w:before="280" w:after="280"/>
    </w:pPr>
  </w:style>
  <w:style w:type="paragraph" w:styleId="908" w:customStyle="1">
    <w:name w:val="Содержимое таблицы"/>
    <w:basedOn w:val="702"/>
    <w:pPr>
      <w:suppressLineNumbers/>
    </w:pPr>
  </w:style>
  <w:style w:type="paragraph" w:styleId="909" w:customStyle="1">
    <w:name w:val="Заголовок таблицы"/>
    <w:basedOn w:val="908"/>
    <w:pPr>
      <w:jc w:val="center"/>
    </w:pPr>
    <w:rPr>
      <w:b/>
      <w:bCs/>
    </w:rPr>
  </w:style>
  <w:style w:type="character" w:styleId="910" w:customStyle="1">
    <w:name w:val="Основной текст + 4.5 pt;Интервал 0 pt4"/>
    <w:basedOn w:val="893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911" w:customStyle="1">
    <w:name w:val="Контракт-раздел"/>
    <w:basedOn w:val="702"/>
    <w:next w:val="912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12" w:customStyle="1">
    <w:name w:val="Контракт-пункт"/>
    <w:basedOn w:val="702"/>
    <w:pPr>
      <w:numPr>
        <w:ilvl w:val="1"/>
        <w:numId w:val="1"/>
      </w:numPr>
      <w:jc w:val="both"/>
    </w:pPr>
    <w:rPr>
      <w:lang w:eastAsia="ru-RU"/>
    </w:rPr>
  </w:style>
  <w:style w:type="paragraph" w:styleId="913" w:customStyle="1">
    <w:name w:val="Контракт-подпункт"/>
    <w:basedOn w:val="702"/>
    <w:pPr>
      <w:numPr>
        <w:ilvl w:val="2"/>
        <w:numId w:val="1"/>
      </w:numPr>
      <w:jc w:val="both"/>
    </w:pPr>
    <w:rPr>
      <w:lang w:eastAsia="ru-RU"/>
    </w:rPr>
  </w:style>
  <w:style w:type="paragraph" w:styleId="914" w:customStyle="1">
    <w:name w:val="Контракт-подподпункт"/>
    <w:basedOn w:val="702"/>
    <w:pPr>
      <w:numPr>
        <w:ilvl w:val="3"/>
        <w:numId w:val="1"/>
      </w:numPr>
      <w:jc w:val="both"/>
    </w:pPr>
    <w:rPr>
      <w:lang w:eastAsia="ru-RU"/>
    </w:rPr>
  </w:style>
  <w:style w:type="character" w:styleId="915" w:customStyle="1">
    <w:name w:val="Основной текст Знак"/>
    <w:link w:val="901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6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17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18">
    <w:name w:val="List Paragraph"/>
    <w:basedOn w:val="702"/>
    <w:link w:val="925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19" w:customStyle="1">
    <w:name w:val="Заголовок 1 Знак"/>
    <w:basedOn w:val="712"/>
    <w:link w:val="703"/>
    <w:rPr>
      <w:b/>
      <w:bCs/>
      <w:sz w:val="48"/>
      <w:szCs w:val="48"/>
      <w:lang w:val="ru-RU" w:eastAsia="ru-RU" w:bidi="ar-SA"/>
    </w:rPr>
  </w:style>
  <w:style w:type="paragraph" w:styleId="920">
    <w:name w:val="annotation text"/>
    <w:basedOn w:val="702"/>
    <w:semiHidden/>
    <w:rPr>
      <w:sz w:val="20"/>
      <w:szCs w:val="20"/>
    </w:rPr>
  </w:style>
  <w:style w:type="paragraph" w:styleId="921">
    <w:name w:val="annotation subject"/>
    <w:basedOn w:val="920"/>
    <w:next w:val="920"/>
    <w:link w:val="922"/>
    <w:semiHidden/>
    <w:pPr>
      <w:spacing w:after="160"/>
    </w:pPr>
    <w:rPr>
      <w:rFonts w:ascii="Calibri" w:hAnsi="Calibri"/>
      <w:b/>
      <w:bCs/>
      <w:lang w:eastAsia="en-US"/>
    </w:rPr>
  </w:style>
  <w:style w:type="character" w:styleId="922" w:customStyle="1">
    <w:name w:val="Тема примечания Знак"/>
    <w:basedOn w:val="712"/>
    <w:link w:val="921"/>
    <w:semiHidden/>
    <w:rPr>
      <w:rFonts w:ascii="Calibri" w:hAnsi="Calibri"/>
      <w:b/>
      <w:bCs/>
      <w:lang w:val="ru-RU" w:eastAsia="en-US" w:bidi="ar-SA"/>
    </w:rPr>
  </w:style>
  <w:style w:type="character" w:styleId="923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24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25" w:customStyle="1">
    <w:name w:val="Абзац списка Знак"/>
    <w:link w:val="918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26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27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28" w:customStyle="1">
    <w:name w:val="Другое"/>
    <w:link w:val="893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38</cp:revision>
  <dcterms:created xsi:type="dcterms:W3CDTF">2025-02-03T06:54:00Z</dcterms:created>
  <dcterms:modified xsi:type="dcterms:W3CDTF">2026-08-10T12:02:48Z</dcterms:modified>
  <cp:version>730895</cp:version>
</cp:coreProperties>
</file>