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ОБОСНОВАНИЕ НАЧАЛЬНОЙ (МАКСИМАЛЬНОЙ) ЦЕНЫ КОНТРАКТА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567"/>
        <w:jc w:val="center"/>
        <w:spacing w:after="0" w:line="240" w:lineRule="auto"/>
        <w:widowControl w:val="off"/>
        <w:rPr>
          <w:rFonts w:ascii="PT Astra Serif" w:hAnsi="PT Astra Serif" w:cs="PT Astra Serif"/>
          <w:b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На о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казание услуг по проведению периодических медицинских осмотров работников Территориального органа 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  <w:t xml:space="preserve">Федеральной службы государственной статистики по Нижегородской области</w:t>
      </w:r>
      <w:r>
        <w:rPr>
          <w:rFonts w:ascii="PT Astra Serif" w:hAnsi="PT Astra Serif" w:cs="PT Astra Serif"/>
          <w:b/>
          <w:szCs w:val="24"/>
        </w:rPr>
      </w:r>
      <w:r>
        <w:rPr>
          <w:rFonts w:ascii="PT Astra Serif" w:hAnsi="PT Astra Serif" w:cs="PT Astra Serif"/>
          <w:b/>
          <w:szCs w:val="24"/>
        </w:rPr>
      </w:r>
    </w:p>
    <w:p>
      <w:pPr>
        <w:contextualSpacing/>
        <w:ind w:firstLine="567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_GoBack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tbl>
      <w:tblPr>
        <w:tblW w:w="14884" w:type="dxa"/>
        <w:tblInd w:w="1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11595"/>
      </w:tblGrid>
      <w:tr>
        <w:tblPrEx/>
        <w:trPr>
          <w:trHeight w:val="548"/>
        </w:trPr>
        <w:tc>
          <w:tcPr>
            <w:tcW w:w="3289" w:type="dxa"/>
            <w:vAlign w:val="center"/>
            <w:textDirection w:val="lrTb"/>
            <w:noWrap w:val="false"/>
          </w:tcPr>
          <w:p>
            <w:pPr>
              <w:contextualSpacing/>
              <w:ind w:left="57" w:right="57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Источник финансирования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1595" w:type="dxa"/>
            <w:vAlign w:val="center"/>
            <w:textDirection w:val="lrTb"/>
            <w:noWrap w:val="false"/>
          </w:tcPr>
          <w:p>
            <w:pPr>
              <w:contextualSpacing/>
              <w:ind w:firstLine="652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Федеральный бюджет.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tcW w:w="3289" w:type="dxa"/>
            <w:vAlign w:val="center"/>
            <w:textDirection w:val="lrTb"/>
            <w:noWrap w:val="false"/>
          </w:tcPr>
          <w:p>
            <w:pPr>
              <w:contextualSpacing/>
              <w:ind w:left="57" w:right="57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 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1595" w:type="dxa"/>
            <w:vAlign w:val="center"/>
            <w:textDirection w:val="lrTb"/>
            <w:noWrap w:val="false"/>
          </w:tcPr>
          <w:p>
            <w:pPr>
              <w:contextualSpacing/>
              <w:ind w:firstLine="652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Валюта – российский рубль.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tcW w:w="3289" w:type="dxa"/>
            <w:vAlign w:val="center"/>
            <w:textDirection w:val="lrTb"/>
            <w:noWrap w:val="false"/>
          </w:tcPr>
          <w:p>
            <w:pPr>
              <w:pStyle w:val="1048"/>
              <w:contextualSpacing/>
              <w:widowControl w:val="off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Порядок применения официального курса иностранной валюты к рублю Российской Федерации, установленного ЦБ РФ и используемого при оплате контракта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1595" w:type="dxa"/>
            <w:vAlign w:val="center"/>
            <w:textDirection w:val="lrTb"/>
            <w:noWrap w:val="false"/>
          </w:tcPr>
          <w:p>
            <w:pPr>
              <w:pStyle w:val="1048"/>
              <w:contextualSpacing/>
              <w:ind w:firstLine="652"/>
              <w:jc w:val="both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Порядок применения официального курса иностранной валюты к рублю Российской Федерации не используется ввиду того, что формирование цены контракта и расчеты в рамках настоящей закупки и исполнения государственного контракта производятся в российских рублях.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654"/>
        </w:trPr>
        <w:tc>
          <w:tcPr>
            <w:tcW w:w="3289" w:type="dxa"/>
            <w:vAlign w:val="center"/>
            <w:textDirection w:val="lrTb"/>
            <w:noWrap w:val="false"/>
          </w:tcPr>
          <w:p>
            <w:pPr>
              <w:contextualSpacing/>
              <w:ind w:right="57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Основные характеристики объекта закупки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1595" w:type="dxa"/>
            <w:vAlign w:val="center"/>
            <w:textDirection w:val="lrTb"/>
            <w:noWrap w:val="false"/>
          </w:tcPr>
          <w:p>
            <w:pPr>
              <w:pStyle w:val="834"/>
              <w:numPr>
                <w:ilvl w:val="0"/>
                <w:numId w:val="57"/>
              </w:numPr>
              <w:ind w:left="0" w:right="0" w:firstLine="709"/>
              <w:jc w:val="both"/>
              <w:spacing w:after="0" w:line="240" w:lineRule="auto"/>
              <w:shd w:val="clear" w:color="auto" w:fill="ffffff"/>
              <w:tabs>
                <w:tab w:val="left" w:pos="992" w:leader="none"/>
              </w:tabs>
              <w:rPr>
                <w:rFonts w:ascii="PT Astra Serif" w:hAnsi="PT Astra Serif" w:cs="PT Astra Serif"/>
                <w:b w:val="0"/>
                <w:bCs w:val="0"/>
                <w:highlight w:val="none"/>
              </w:rPr>
            </w:pPr>
            <w:r>
              <w:rPr>
                <w:rFonts w:ascii="PT Astra Serif" w:hAnsi="PT Astra Serif" w:cs="PT Astra Serif"/>
                <w:b w:val="0"/>
                <w:bCs w:val="0"/>
                <w:highlight w:val="none"/>
              </w:rPr>
              <w:t xml:space="preserve">В соответствии с описанием объекта закупки (см. файл «Описание объекта закупки»)</w:t>
            </w:r>
            <w:r>
              <w:rPr>
                <w:rFonts w:ascii="PT Astra Serif" w:hAnsi="PT Astra Serif" w:cs="PT Astra Serif"/>
                <w:b w:val="0"/>
                <w:bCs w:val="0"/>
                <w:highlight w:val="none"/>
              </w:rPr>
            </w:r>
          </w:p>
        </w:tc>
      </w:tr>
      <w:tr>
        <w:tblPrEx/>
        <w:trPr>
          <w:trHeight w:val="1417"/>
        </w:trPr>
        <w:tc>
          <w:tcPr>
            <w:tcW w:w="3289" w:type="dxa"/>
            <w:textDirection w:val="lrTb"/>
            <w:noWrap w:val="false"/>
          </w:tcPr>
          <w:p>
            <w:pPr>
              <w:contextualSpacing/>
              <w:ind w:left="57" w:right="57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Используемый метод определения НМЦК с обоснованием: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11595" w:type="dxa"/>
            <w:textDirection w:val="lrTb"/>
            <w:noWrap w:val="false"/>
          </w:tcPr>
          <w:p>
            <w:pPr>
              <w:contextualSpacing/>
              <w:ind w:left="57" w:right="113" w:firstLine="59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 соответствии с положениями статьи 22 Федерального закона от 05.04.2013 № 44-ФЗ «О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и муниципальных нужд» начальная (максимальная) цена контракта определяется и обосновывается посредством применения метода сопоставимых рыночных цен (анализа рынка).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contextualSpacing/>
              <w:ind w:right="113" w:firstLine="595"/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От трех организаций были получены и зарегистрированы письма с ответом, в виде коммерческих предложений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34"/>
              <w:numPr>
                <w:ilvl w:val="0"/>
                <w:numId w:val="41"/>
              </w:numPr>
              <w:contextualSpacing/>
              <w:ind w:left="850" w:right="113" w:hanging="42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Входящий № Т54/3523-ДР от 13.08.2026;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34"/>
              <w:numPr>
                <w:ilvl w:val="0"/>
                <w:numId w:val="41"/>
              </w:numPr>
              <w:contextualSpacing/>
              <w:ind w:left="850" w:right="113" w:hanging="42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Входящий № Т54/3524-ДР от 13.08.2026;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34"/>
              <w:numPr>
                <w:ilvl w:val="0"/>
                <w:numId w:val="41"/>
              </w:numPr>
              <w:contextualSpacing/>
              <w:ind w:left="850" w:right="113" w:hanging="42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Входящий № Т54/3525-ДР от 13.08.2026.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contextualSpacing/>
        <w:ind w:firstLine="425"/>
        <w:jc w:val="center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НМЦК методом сопоставимых рыночных цен (анализа рынка) определяется по формуле: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425"/>
        <w:jc w:val="center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left="57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fldChar w:fldCharType="begin"/>
      </w:r>
      <w:r>
        <w:rPr>
          <w:rFonts w:ascii="PT Astra Serif" w:hAnsi="PT Astra Serif" w:eastAsia="PT Astra Serif" w:cs="PT Astra Serif"/>
          <w:sz w:val="24"/>
          <w:szCs w:val="24"/>
        </w:rPr>
        <w:instrText xml:space="preserve"> QUOTE </w:instrText>
      </w:r>
      <w:r>
        <w:rPr>
          <w:rFonts w:ascii="PT Astra Serif" w:hAnsi="PT Astra Serif" w:eastAsia="PT Astra Serif" w:cs="PT Astra Serif"/>
          <w:position w:val="-14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43050" cy="24765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5430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1.50pt;height:19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4"/>
          <w:szCs w:val="24"/>
        </w:rPr>
        <w:instrText xml:space="preserve"> </w:instrText>
      </w:r>
      <w:r>
        <w:rPr>
          <w:rFonts w:ascii="PT Astra Serif" w:hAnsi="PT Astra Serif" w:eastAsia="PT Astra Serif" w:cs="PT Astra Serif"/>
          <w:sz w:val="24"/>
          <w:szCs w:val="24"/>
        </w:rPr>
        <w:fldChar w:fldCharType="separate"/>
      </w:r>
      <w:r>
        <w:rPr>
          <w:rFonts w:ascii="PT Astra Serif" w:hAnsi="PT Astra Serif" w:eastAsia="PT Astra Serif" w:cs="PT Astra Serif"/>
          <w:position w:val="-14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43050" cy="247650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5430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21.50pt;height:19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4"/>
          <w:szCs w:val="24"/>
        </w:rPr>
        <w:fldChar w:fldCharType="end"/>
      </w:r>
      <w:r>
        <w:rPr>
          <w:rFonts w:ascii="PT Astra Serif" w:hAnsi="PT Astra Serif" w:eastAsia="PT Astra Serif" w:cs="PT Astra Serif"/>
          <w:sz w:val="24"/>
          <w:szCs w:val="24"/>
        </w:rPr>
        <w:t xml:space="preserve"> ,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425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где: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425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position w:val="-10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НМЦК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t xml:space="preserve">рын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- НМЦК, определяемая методом сопоставимых рыночных цен (анализа рынка);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425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v - количество (объем) закупаемого товара (работы, услуги);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425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n - количество значений, используемых в расчете;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425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i - номер источника ценовой информации;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426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цi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- цена единицы товара, работы, услуги, представленная в источнике с номером i.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left="57"/>
        <w:jc w:val="center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Подставляя имеющиеся значения, получаем следующее: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2051"/>
        <w:gridCol w:w="880"/>
        <w:gridCol w:w="709"/>
        <w:gridCol w:w="1104"/>
        <w:gridCol w:w="1353"/>
        <w:gridCol w:w="1228"/>
        <w:gridCol w:w="1229"/>
        <w:gridCol w:w="1228"/>
        <w:gridCol w:w="1057"/>
        <w:gridCol w:w="1400"/>
        <w:gridCol w:w="1229"/>
        <w:gridCol w:w="1229"/>
      </w:tblGrid>
      <w:tr>
        <w:tblPrEx/>
        <w:trPr>
          <w:trHeight w:val="5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№ п/п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1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Наименование услуги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Объем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Источник №1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Источник №2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Источник №3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Средн. арифм.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Округление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Кол-во знач.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Сред.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квадр.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откл. σ=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Коэфф вариации V=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Рыночная стоимость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9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1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Ед.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изм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Кол-во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Цена за ед.изм.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5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Цена за ед.изм.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2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Цена за ед.изм.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7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0"/>
                <w:szCs w:val="20"/>
                <w:lang w:eastAsia="ru-RU"/>
              </w:rPr>
              <w:t xml:space="preserve">Оказание услуг по проведению периодических медицинских осмотров работников Территориального органа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0"/>
                <w:szCs w:val="20"/>
                <w:lang w:eastAsia="ru-RU"/>
              </w:rPr>
              <w:t xml:space="preserve">Федеральной службы государственной статистики по Нижегородской области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line="240" w:lineRule="auto"/>
              <w:rPr>
                <w:rFonts w:ascii="PT Astra Serif" w:hAnsi="PT Astra Serif" w:cs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0"/>
                <w:szCs w:val="20"/>
              </w:rPr>
              <w:t xml:space="preserve">(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0"/>
                <w:szCs w:val="20"/>
              </w:rPr>
              <w:t xml:space="preserve">Периодический медицинский осмотр (мужчины) -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1a1a1a" w:themeColor="background1" w:themeShade="1A"/>
                <w:sz w:val="20"/>
                <w:szCs w:val="20"/>
              </w:rPr>
              <w:t xml:space="preserve">п.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0"/>
                <w:szCs w:val="20"/>
              </w:rPr>
              <w:t xml:space="preserve">18.1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1a1a1a" w:themeColor="background1" w:themeShade="1A"/>
                <w:sz w:val="20"/>
                <w:szCs w:val="20"/>
              </w:rPr>
              <w:t xml:space="preserve">приложение к Приказу № 29Н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1a1a1a" w:themeColor="background1" w:themeShade="1A"/>
                <w:sz w:val="20"/>
                <w:szCs w:val="20"/>
              </w:rPr>
              <w:t xml:space="preserve">)</w:t>
            </w:r>
            <w:r>
              <w:rPr>
                <w:rFonts w:ascii="PT Astra Serif" w:hAnsi="PT Astra Serif" w:cs="PT Astra Serif"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auto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чел.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3300,00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3350,00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3200,00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3 283,33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3 283,33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76,37626158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2,326180556</w:t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6 566,66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</w:t>
            </w:r>
            <w:r/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0"/>
                <w:szCs w:val="20"/>
                <w:lang w:eastAsia="ru-RU"/>
              </w:rPr>
              <w:t xml:space="preserve">Оказание услуг по проведению периодических медицинских осмотров работников Территориального органа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0"/>
                <w:szCs w:val="20"/>
                <w:lang w:eastAsia="ru-RU"/>
              </w:rPr>
              <w:t xml:space="preserve">Федеральной службы государственной статистики по Нижегородской области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line="240" w:lineRule="auto"/>
              <w:rPr>
                <w:rFonts w:ascii="PT Astra Serif" w:hAnsi="PT Astra Serif" w:cs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0"/>
                <w:szCs w:val="20"/>
              </w:rPr>
              <w:t xml:space="preserve">(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0"/>
                <w:szCs w:val="20"/>
              </w:rPr>
              <w:t xml:space="preserve">Периодический медицинский осмотр (мужчины) -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1a1a1a" w:themeColor="background1" w:themeShade="1A"/>
                <w:sz w:val="20"/>
                <w:szCs w:val="20"/>
              </w:rPr>
              <w:t xml:space="preserve">п.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0"/>
                <w:szCs w:val="20"/>
              </w:rPr>
              <w:t xml:space="preserve">18.2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1a1a1a" w:themeColor="background1" w:themeShade="1A"/>
                <w:sz w:val="20"/>
                <w:szCs w:val="20"/>
              </w:rPr>
              <w:t xml:space="preserve">приложение к Приказу № 29Н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1a1a1a" w:themeColor="background1" w:themeShade="1A"/>
                <w:sz w:val="20"/>
                <w:szCs w:val="20"/>
              </w:rPr>
              <w:t xml:space="preserve">)</w:t>
            </w:r>
            <w:r>
              <w:rPr>
                <w:rFonts w:ascii="PT Astra Serif" w:hAnsi="PT Astra Serif" w:cs="PT Astra Serif"/>
                <w:color w:val="auto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auto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чел.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3950,00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3960,00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3700,00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3 870,00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3 870,00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147,3091986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3,806439241</w:t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7 740,00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</w:t>
            </w:r>
            <w:r/>
          </w:p>
        </w:tc>
      </w:tr>
    </w:tbl>
    <w:p>
      <w:pPr>
        <w:contextualSpacing/>
        <w:ind w:right="-28" w:firstLine="851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Совокупность значений, используемых в расчете начальной (максимальной) цены контракта, принимается однородной (коэффициент вариации не превышает 33 %).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right="-28" w:firstLine="851"/>
        <w:jc w:val="both"/>
        <w:tabs>
          <w:tab w:val="left" w:pos="1516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 целях оптимизации расходования бюджетных средств, принимая во внимание имеющиеся лимиты бюджетных обязательств Заказчика, в качестве нач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альной (максимальной) цены контракта признается цена, являющаяся наименьшей из указанных в документах (информации), на основании которых определена начальная (максимальная) цена контракта, таким образом, начальная (максимальная) цена контракта (цена лота)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на 2026 год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составит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13 800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(Тринадцать тысяч восемьсот)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рублей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00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копеек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НДС в соответствии с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Специалист контрактной службы: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Заместитель начальника административного отдела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         _________________________С.Г. Сироткин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w="16840" w:h="11907" w:orient="landscape"/>
      <w:pgMar w:top="851" w:right="680" w:bottom="851" w:left="1021" w:header="397" w:footer="397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ambria">
    <w:panose1 w:val="02040503050406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844"/>
      <w:jc w:val="right"/>
      <w:rPr>
        <w:sz w:val="14"/>
        <w:szCs w:val="14"/>
      </w:rPr>
    </w:pPr>
    <w:r>
      <w:rPr>
        <w:sz w:val="14"/>
        <w:szCs w:val="14"/>
      </w:rPr>
    </w:r>
    <w:r>
      <w:rPr>
        <w:sz w:val="14"/>
        <w:szCs w:val="14"/>
      </w:rPr>
    </w:r>
    <w:r>
      <w:rPr>
        <w:sz w:val="14"/>
        <w:szCs w:val="1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0" w:hanging="360"/>
        <w:tabs>
          <w:tab w:val="num" w:pos="132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3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91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5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3."/>
      <w:lvlJc w:val="left"/>
      <w:pPr>
        <w:ind w:left="70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0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764" w:hanging="180"/>
      </w:pPr>
    </w:lvl>
  </w:abstractNum>
  <w:abstractNum w:abstractNumId="15">
    <w:multiLevelType w:val="hybridMultilevel"/>
    <w:lvl w:ilvl="0">
      <w:start w:val="1"/>
      <w:numFmt w:val="decimal"/>
      <w:pStyle w:val="1006"/>
      <w:isLgl w:val="false"/>
      <w:suff w:val="tab"/>
      <w:lvlText w:val="%1."/>
      <w:lvlJc w:val="left"/>
      <w:pPr>
        <w:ind w:left="360" w:hanging="360"/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5" w:hanging="855"/>
        <w:tabs>
          <w:tab w:val="num" w:pos="1215" w:leader="none"/>
        </w:tabs>
      </w:pPr>
    </w:lvl>
    <w:lvl w:ilvl="1">
      <w:start w:val="3"/>
      <w:numFmt w:val="decimal"/>
      <w:isLgl w:val="false"/>
      <w:suff w:val="tab"/>
      <w:lvlText w:val="%2"/>
      <w:lvlJc w:val="left"/>
      <w:pPr>
        <w:ind w:left="720" w:hanging="360"/>
        <w:tabs>
          <w:tab w:val="num" w:pos="720" w:leader="none"/>
        </w:tabs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3"/>
      <w:numFmt w:val="decimal"/>
      <w:isLgl w:val="false"/>
      <w:suff w:val="tab"/>
      <w:lvlText w:val="%9."/>
      <w:lvlJc w:val="left"/>
      <w:pPr>
        <w:ind w:left="4320" w:hanging="144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85" w:hanging="360"/>
      </w:pPr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3"/>
      <w:numFmt w:val="decimal"/>
      <w:isLgl w:val="false"/>
      <w:suff w:val="tab"/>
      <w:lvlText w:val="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0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764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bullet"/>
      <w:isLgl w:val="false"/>
      <w:suff w:val="tab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20" w:hanging="180"/>
      </w:pPr>
    </w:lvl>
  </w:abstractNum>
  <w:abstractNum w:abstractNumId="3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0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764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0" w:hanging="360"/>
        <w:tabs>
          <w:tab w:val="num" w:pos="132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0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64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6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5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2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9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7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4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1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8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595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2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9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1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8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5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03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5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97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69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41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13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85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57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29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012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6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568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40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12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84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56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28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00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721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63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71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8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85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92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9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7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1429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1"/>
  </w:num>
  <w:num w:numId="2">
    <w:abstractNumId w:val="8"/>
  </w:num>
  <w:num w:numId="3">
    <w:abstractNumId w:val="17"/>
  </w:num>
  <w:num w:numId="4">
    <w:abstractNumId w:val="2"/>
  </w:num>
  <w:num w:numId="5">
    <w:abstractNumId w:val="27"/>
  </w:num>
  <w:num w:numId="6">
    <w:abstractNumId w:val="24"/>
  </w:num>
  <w:num w:numId="7">
    <w:abstractNumId w:val="6"/>
  </w:num>
  <w:num w:numId="8">
    <w:abstractNumId w:val="13"/>
  </w:num>
  <w:num w:numId="9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2"/>
  </w:num>
  <w:num w:numId="13">
    <w:abstractNumId w:val="5"/>
  </w:num>
  <w:num w:numId="14">
    <w:abstractNumId w:val="23"/>
  </w:num>
  <w:num w:numId="15">
    <w:abstractNumId w:val="19"/>
  </w:num>
  <w:num w:numId="16">
    <w:abstractNumId w:val="28"/>
  </w:num>
  <w:num w:numId="17">
    <w:abstractNumId w:val="9"/>
  </w:num>
  <w:num w:numId="18">
    <w:abstractNumId w:val="18"/>
  </w:num>
  <w:num w:numId="19">
    <w:abstractNumId w:val="22"/>
  </w:num>
  <w:num w:numId="20">
    <w:abstractNumId w:val="35"/>
  </w:num>
  <w:num w:numId="21">
    <w:abstractNumId w:val="36"/>
  </w:num>
  <w:num w:numId="22">
    <w:abstractNumId w:val="30"/>
  </w:num>
  <w:num w:numId="23">
    <w:abstractNumId w:val="14"/>
  </w:num>
  <w:num w:numId="24">
    <w:abstractNumId w:val="10"/>
  </w:num>
  <w:num w:numId="25">
    <w:abstractNumId w:val="15"/>
  </w:num>
  <w:num w:numId="26">
    <w:abstractNumId w:val="16"/>
  </w:num>
  <w:num w:numId="27">
    <w:abstractNumId w:val="34"/>
  </w:num>
  <w:num w:numId="28">
    <w:abstractNumId w:val="7"/>
  </w:num>
  <w:num w:numId="29">
    <w:abstractNumId w:val="3"/>
  </w:num>
  <w:num w:numId="30">
    <w:abstractNumId w:val="33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1"/>
  </w:num>
  <w:num w:numId="34">
    <w:abstractNumId w:val="20"/>
  </w:num>
  <w:num w:numId="35">
    <w:abstractNumId w:val="25"/>
  </w:num>
  <w:num w:numId="36">
    <w:abstractNumId w:val="1"/>
  </w:num>
  <w:num w:numId="37">
    <w:abstractNumId w:val="29"/>
  </w:num>
  <w:num w:numId="38">
    <w:abstractNumId w:val="4"/>
  </w:num>
  <w:num w:numId="39">
    <w:abstractNumId w:val="26"/>
  </w:num>
  <w:num w:numId="40">
    <w:abstractNumId w:val="31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  <w:num w:numId="53">
    <w:abstractNumId w:val="51"/>
  </w:num>
  <w:num w:numId="54">
    <w:abstractNumId w:val="52"/>
  </w:num>
  <w:num w:numId="55">
    <w:abstractNumId w:val="53"/>
  </w:num>
  <w:num w:numId="56">
    <w:abstractNumId w:val="54"/>
  </w:num>
  <w:num w:numId="57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8">
    <w:name w:val="Heading 2 Char"/>
    <w:basedOn w:val="822"/>
    <w:link w:val="814"/>
    <w:uiPriority w:val="9"/>
    <w:rPr>
      <w:rFonts w:ascii="Arial" w:hAnsi="Arial" w:eastAsia="Arial" w:cs="Arial"/>
      <w:sz w:val="34"/>
    </w:rPr>
  </w:style>
  <w:style w:type="character" w:styleId="799">
    <w:name w:val="Heading 3 Char"/>
    <w:basedOn w:val="822"/>
    <w:link w:val="815"/>
    <w:uiPriority w:val="9"/>
    <w:rPr>
      <w:rFonts w:ascii="Arial" w:hAnsi="Arial" w:eastAsia="Arial" w:cs="Arial"/>
      <w:sz w:val="30"/>
      <w:szCs w:val="30"/>
    </w:rPr>
  </w:style>
  <w:style w:type="character" w:styleId="800">
    <w:name w:val="Heading 4 Char"/>
    <w:basedOn w:val="822"/>
    <w:link w:val="816"/>
    <w:uiPriority w:val="9"/>
    <w:rPr>
      <w:rFonts w:ascii="Arial" w:hAnsi="Arial" w:eastAsia="Arial" w:cs="Arial"/>
      <w:b/>
      <w:bCs/>
      <w:sz w:val="26"/>
      <w:szCs w:val="26"/>
    </w:rPr>
  </w:style>
  <w:style w:type="character" w:styleId="801">
    <w:name w:val="Heading 5 Char"/>
    <w:basedOn w:val="822"/>
    <w:link w:val="817"/>
    <w:uiPriority w:val="9"/>
    <w:rPr>
      <w:rFonts w:ascii="Arial" w:hAnsi="Arial" w:eastAsia="Arial" w:cs="Arial"/>
      <w:b/>
      <w:bCs/>
      <w:sz w:val="24"/>
      <w:szCs w:val="24"/>
    </w:rPr>
  </w:style>
  <w:style w:type="character" w:styleId="802">
    <w:name w:val="Heading 6 Char"/>
    <w:basedOn w:val="822"/>
    <w:link w:val="818"/>
    <w:uiPriority w:val="9"/>
    <w:rPr>
      <w:rFonts w:ascii="Arial" w:hAnsi="Arial" w:eastAsia="Arial" w:cs="Arial"/>
      <w:b/>
      <w:bCs/>
      <w:sz w:val="22"/>
      <w:szCs w:val="22"/>
    </w:rPr>
  </w:style>
  <w:style w:type="character" w:styleId="803">
    <w:name w:val="Heading 7 Char"/>
    <w:basedOn w:val="822"/>
    <w:link w:val="8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4">
    <w:name w:val="Heading 8 Char"/>
    <w:basedOn w:val="822"/>
    <w:link w:val="820"/>
    <w:uiPriority w:val="9"/>
    <w:rPr>
      <w:rFonts w:ascii="Arial" w:hAnsi="Arial" w:eastAsia="Arial" w:cs="Arial"/>
      <w:i/>
      <w:iCs/>
      <w:sz w:val="22"/>
      <w:szCs w:val="22"/>
    </w:rPr>
  </w:style>
  <w:style w:type="character" w:styleId="805">
    <w:name w:val="Heading 9 Char"/>
    <w:basedOn w:val="822"/>
    <w:link w:val="821"/>
    <w:uiPriority w:val="9"/>
    <w:rPr>
      <w:rFonts w:ascii="Arial" w:hAnsi="Arial" w:eastAsia="Arial" w:cs="Arial"/>
      <w:i/>
      <w:iCs/>
      <w:sz w:val="21"/>
      <w:szCs w:val="21"/>
    </w:rPr>
  </w:style>
  <w:style w:type="character" w:styleId="806">
    <w:name w:val="Title Char"/>
    <w:basedOn w:val="822"/>
    <w:link w:val="836"/>
    <w:uiPriority w:val="10"/>
    <w:rPr>
      <w:sz w:val="48"/>
      <w:szCs w:val="48"/>
    </w:rPr>
  </w:style>
  <w:style w:type="character" w:styleId="807">
    <w:name w:val="Subtitle Char"/>
    <w:basedOn w:val="822"/>
    <w:link w:val="838"/>
    <w:uiPriority w:val="11"/>
    <w:rPr>
      <w:sz w:val="24"/>
      <w:szCs w:val="24"/>
    </w:rPr>
  </w:style>
  <w:style w:type="character" w:styleId="808">
    <w:name w:val="Quote Char"/>
    <w:link w:val="840"/>
    <w:uiPriority w:val="29"/>
    <w:rPr>
      <w:i/>
    </w:rPr>
  </w:style>
  <w:style w:type="character" w:styleId="809">
    <w:name w:val="Intense Quote Char"/>
    <w:link w:val="842"/>
    <w:uiPriority w:val="30"/>
    <w:rPr>
      <w:i/>
    </w:rPr>
  </w:style>
  <w:style w:type="character" w:styleId="810">
    <w:name w:val="Caption Char"/>
    <w:basedOn w:val="822"/>
    <w:link w:val="848"/>
    <w:uiPriority w:val="35"/>
    <w:rPr>
      <w:b/>
      <w:bCs/>
      <w:color w:val="4f81bd" w:themeColor="accent1"/>
      <w:sz w:val="18"/>
      <w:szCs w:val="18"/>
    </w:rPr>
  </w:style>
  <w:style w:type="character" w:styleId="811">
    <w:name w:val="Endnote Text Char"/>
    <w:link w:val="980"/>
    <w:uiPriority w:val="99"/>
    <w:rPr>
      <w:sz w:val="20"/>
    </w:rPr>
  </w:style>
  <w:style w:type="paragraph" w:styleId="812" w:default="1">
    <w:name w:val="Normal"/>
    <w:qFormat/>
    <w:rPr>
      <w:rFonts w:ascii="Times New Roman" w:hAnsi="Times New Roman"/>
    </w:rPr>
  </w:style>
  <w:style w:type="paragraph" w:styleId="813">
    <w:name w:val="Heading 1"/>
    <w:basedOn w:val="812"/>
    <w:next w:val="812"/>
    <w:link w:val="100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814">
    <w:name w:val="Heading 2"/>
    <w:basedOn w:val="812"/>
    <w:next w:val="812"/>
    <w:link w:val="82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15">
    <w:name w:val="Heading 3"/>
    <w:basedOn w:val="812"/>
    <w:next w:val="812"/>
    <w:link w:val="8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6">
    <w:name w:val="Heading 4"/>
    <w:basedOn w:val="812"/>
    <w:next w:val="812"/>
    <w:link w:val="82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7">
    <w:name w:val="Heading 5"/>
    <w:basedOn w:val="812"/>
    <w:next w:val="812"/>
    <w:link w:val="82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8">
    <w:name w:val="Heading 6"/>
    <w:basedOn w:val="812"/>
    <w:next w:val="812"/>
    <w:link w:val="83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19">
    <w:name w:val="Heading 7"/>
    <w:basedOn w:val="812"/>
    <w:next w:val="812"/>
    <w:link w:val="8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0">
    <w:name w:val="Heading 8"/>
    <w:basedOn w:val="812"/>
    <w:next w:val="812"/>
    <w:link w:val="83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1">
    <w:name w:val="Heading 9"/>
    <w:basedOn w:val="812"/>
    <w:next w:val="812"/>
    <w:link w:val="8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2" w:default="1">
    <w:name w:val="Default Paragraph Font"/>
    <w:uiPriority w:val="1"/>
    <w:semiHidden/>
    <w:unhideWhenUsed/>
  </w:style>
  <w:style w:type="table" w:styleId="8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4" w:default="1">
    <w:name w:val="No List"/>
    <w:uiPriority w:val="99"/>
    <w:semiHidden/>
    <w:unhideWhenUsed/>
  </w:style>
  <w:style w:type="character" w:styleId="825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826" w:customStyle="1">
    <w:name w:val="Заголовок 2 Знак"/>
    <w:link w:val="814"/>
    <w:uiPriority w:val="9"/>
    <w:rPr>
      <w:rFonts w:ascii="Arial" w:hAnsi="Arial" w:eastAsia="Arial" w:cs="Arial"/>
      <w:sz w:val="34"/>
    </w:rPr>
  </w:style>
  <w:style w:type="character" w:styleId="827" w:customStyle="1">
    <w:name w:val="Заголовок 3 Знак"/>
    <w:link w:val="815"/>
    <w:uiPriority w:val="9"/>
    <w:rPr>
      <w:rFonts w:ascii="Arial" w:hAnsi="Arial" w:eastAsia="Arial" w:cs="Arial"/>
      <w:sz w:val="30"/>
      <w:szCs w:val="30"/>
    </w:rPr>
  </w:style>
  <w:style w:type="character" w:styleId="828" w:customStyle="1">
    <w:name w:val="Заголовок 4 Знак"/>
    <w:link w:val="816"/>
    <w:uiPriority w:val="9"/>
    <w:rPr>
      <w:rFonts w:ascii="Arial" w:hAnsi="Arial" w:eastAsia="Arial" w:cs="Arial"/>
      <w:b/>
      <w:bCs/>
      <w:sz w:val="26"/>
      <w:szCs w:val="26"/>
    </w:rPr>
  </w:style>
  <w:style w:type="character" w:styleId="829" w:customStyle="1">
    <w:name w:val="Заголовок 5 Знак"/>
    <w:link w:val="817"/>
    <w:uiPriority w:val="9"/>
    <w:rPr>
      <w:rFonts w:ascii="Arial" w:hAnsi="Arial" w:eastAsia="Arial" w:cs="Arial"/>
      <w:b/>
      <w:bCs/>
      <w:sz w:val="24"/>
      <w:szCs w:val="24"/>
    </w:rPr>
  </w:style>
  <w:style w:type="character" w:styleId="830" w:customStyle="1">
    <w:name w:val="Заголовок 6 Знак"/>
    <w:link w:val="818"/>
    <w:uiPriority w:val="9"/>
    <w:rPr>
      <w:rFonts w:ascii="Arial" w:hAnsi="Arial" w:eastAsia="Arial" w:cs="Arial"/>
      <w:b/>
      <w:bCs/>
      <w:sz w:val="22"/>
      <w:szCs w:val="22"/>
    </w:rPr>
  </w:style>
  <w:style w:type="character" w:styleId="831" w:customStyle="1">
    <w:name w:val="Заголовок 7 Знак"/>
    <w:link w:val="8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2" w:customStyle="1">
    <w:name w:val="Заголовок 8 Знак"/>
    <w:link w:val="820"/>
    <w:uiPriority w:val="9"/>
    <w:rPr>
      <w:rFonts w:ascii="Arial" w:hAnsi="Arial" w:eastAsia="Arial" w:cs="Arial"/>
      <w:i/>
      <w:iCs/>
      <w:sz w:val="22"/>
      <w:szCs w:val="22"/>
    </w:rPr>
  </w:style>
  <w:style w:type="character" w:styleId="833" w:customStyle="1">
    <w:name w:val="Заголовок 9 Знак"/>
    <w:link w:val="821"/>
    <w:uiPriority w:val="9"/>
    <w:rPr>
      <w:rFonts w:ascii="Arial" w:hAnsi="Arial" w:eastAsia="Arial" w:cs="Arial"/>
      <w:i/>
      <w:iCs/>
      <w:sz w:val="21"/>
      <w:szCs w:val="21"/>
    </w:rPr>
  </w:style>
  <w:style w:type="paragraph" w:styleId="834">
    <w:name w:val="List Paragraph"/>
    <w:basedOn w:val="812"/>
    <w:uiPriority w:val="34"/>
    <w:qFormat/>
    <w:pPr>
      <w:contextualSpacing/>
      <w:ind w:left="720"/>
    </w:pPr>
    <w:rPr>
      <w:sz w:val="24"/>
      <w:szCs w:val="24"/>
    </w:rPr>
  </w:style>
  <w:style w:type="paragraph" w:styleId="835">
    <w:name w:val="No Spacing"/>
    <w:uiPriority w:val="1"/>
    <w:qFormat/>
    <w:rPr>
      <w:lang w:eastAsia="zh-CN"/>
    </w:rPr>
  </w:style>
  <w:style w:type="paragraph" w:styleId="836">
    <w:name w:val="Title"/>
    <w:basedOn w:val="812"/>
    <w:next w:val="812"/>
    <w:link w:val="8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7" w:customStyle="1">
    <w:name w:val="Название Знак"/>
    <w:link w:val="836"/>
    <w:uiPriority w:val="10"/>
    <w:rPr>
      <w:sz w:val="48"/>
      <w:szCs w:val="48"/>
    </w:rPr>
  </w:style>
  <w:style w:type="paragraph" w:styleId="838">
    <w:name w:val="Subtitle"/>
    <w:basedOn w:val="812"/>
    <w:next w:val="812"/>
    <w:link w:val="839"/>
    <w:uiPriority w:val="11"/>
    <w:qFormat/>
    <w:pPr>
      <w:spacing w:before="200" w:after="200"/>
    </w:pPr>
    <w:rPr>
      <w:sz w:val="24"/>
      <w:szCs w:val="24"/>
    </w:rPr>
  </w:style>
  <w:style w:type="character" w:styleId="839" w:customStyle="1">
    <w:name w:val="Подзаголовок Знак"/>
    <w:link w:val="838"/>
    <w:uiPriority w:val="11"/>
    <w:rPr>
      <w:sz w:val="24"/>
      <w:szCs w:val="24"/>
    </w:rPr>
  </w:style>
  <w:style w:type="paragraph" w:styleId="840">
    <w:name w:val="Quote"/>
    <w:basedOn w:val="812"/>
    <w:next w:val="812"/>
    <w:link w:val="841"/>
    <w:uiPriority w:val="29"/>
    <w:qFormat/>
    <w:pPr>
      <w:ind w:left="720" w:right="720"/>
    </w:pPr>
    <w:rPr>
      <w:i/>
    </w:rPr>
  </w:style>
  <w:style w:type="character" w:styleId="841" w:customStyle="1">
    <w:name w:val="Цитата 2 Знак"/>
    <w:link w:val="840"/>
    <w:uiPriority w:val="29"/>
    <w:rPr>
      <w:i/>
    </w:rPr>
  </w:style>
  <w:style w:type="paragraph" w:styleId="842">
    <w:name w:val="Intense Quote"/>
    <w:basedOn w:val="812"/>
    <w:next w:val="812"/>
    <w:link w:val="8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3" w:customStyle="1">
    <w:name w:val="Выделенная цитата Знак"/>
    <w:link w:val="842"/>
    <w:uiPriority w:val="30"/>
    <w:rPr>
      <w:i/>
    </w:rPr>
  </w:style>
  <w:style w:type="paragraph" w:styleId="844">
    <w:name w:val="Header"/>
    <w:basedOn w:val="812"/>
    <w:link w:val="994"/>
    <w:uiPriority w:val="99"/>
    <w:pPr>
      <w:tabs>
        <w:tab w:val="center" w:pos="4153" w:leader="none"/>
        <w:tab w:val="right" w:pos="8306" w:leader="none"/>
      </w:tabs>
    </w:pPr>
  </w:style>
  <w:style w:type="character" w:styleId="845" w:customStyle="1">
    <w:name w:val="Header Char"/>
    <w:uiPriority w:val="99"/>
  </w:style>
  <w:style w:type="paragraph" w:styleId="846">
    <w:name w:val="Footer"/>
    <w:basedOn w:val="812"/>
    <w:link w:val="995"/>
    <w:uiPriority w:val="99"/>
    <w:pPr>
      <w:tabs>
        <w:tab w:val="center" w:pos="4153" w:leader="none"/>
        <w:tab w:val="right" w:pos="8306" w:leader="none"/>
      </w:tabs>
    </w:pPr>
  </w:style>
  <w:style w:type="character" w:styleId="847" w:customStyle="1">
    <w:name w:val="Footer Char"/>
    <w:uiPriority w:val="99"/>
  </w:style>
  <w:style w:type="paragraph" w:styleId="848">
    <w:name w:val="Caption"/>
    <w:basedOn w:val="812"/>
    <w:next w:val="812"/>
    <w:link w:val="849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49" w:customStyle="1">
    <w:name w:val="Название объекта Знак"/>
    <w:link w:val="848"/>
    <w:uiPriority w:val="35"/>
    <w:rPr>
      <w:b/>
      <w:bCs/>
      <w:color w:val="4f81bd"/>
      <w:sz w:val="18"/>
      <w:szCs w:val="18"/>
    </w:rPr>
  </w:style>
  <w:style w:type="table" w:styleId="850">
    <w:name w:val="Table Grid"/>
    <w:basedOn w:val="823"/>
    <w:uiPriority w:val="59"/>
    <w:tblPr/>
  </w:style>
  <w:style w:type="table" w:styleId="851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2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3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4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59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76">
    <w:name w:val="Hyperlink"/>
    <w:uiPriority w:val="99"/>
    <w:rPr>
      <w:rFonts w:cs="Times New Roman"/>
      <w:color w:val="0000ff"/>
      <w:u w:val="single"/>
    </w:rPr>
  </w:style>
  <w:style w:type="paragraph" w:styleId="977">
    <w:name w:val="footnote text"/>
    <w:basedOn w:val="812"/>
    <w:link w:val="996"/>
    <w:uiPriority w:val="99"/>
  </w:style>
  <w:style w:type="character" w:styleId="978" w:customStyle="1">
    <w:name w:val="Footnote Text Char"/>
    <w:uiPriority w:val="99"/>
    <w:rPr>
      <w:sz w:val="18"/>
    </w:rPr>
  </w:style>
  <w:style w:type="character" w:styleId="979">
    <w:name w:val="footnote reference"/>
    <w:uiPriority w:val="99"/>
    <w:rPr>
      <w:rFonts w:cs="Times New Roman"/>
      <w:vertAlign w:val="superscript"/>
    </w:rPr>
  </w:style>
  <w:style w:type="paragraph" w:styleId="980">
    <w:name w:val="endnote text"/>
    <w:basedOn w:val="812"/>
    <w:link w:val="981"/>
    <w:uiPriority w:val="99"/>
    <w:semiHidden/>
    <w:unhideWhenUsed/>
  </w:style>
  <w:style w:type="character" w:styleId="981" w:customStyle="1">
    <w:name w:val="Текст концевой сноски Знак"/>
    <w:link w:val="980"/>
    <w:uiPriority w:val="99"/>
    <w:rPr>
      <w:sz w:val="20"/>
    </w:rPr>
  </w:style>
  <w:style w:type="character" w:styleId="982">
    <w:name w:val="endnote reference"/>
    <w:uiPriority w:val="99"/>
    <w:semiHidden/>
    <w:unhideWhenUsed/>
    <w:rPr>
      <w:vertAlign w:val="superscript"/>
    </w:rPr>
  </w:style>
  <w:style w:type="paragraph" w:styleId="983">
    <w:name w:val="toc 1"/>
    <w:basedOn w:val="812"/>
    <w:next w:val="812"/>
    <w:uiPriority w:val="39"/>
    <w:unhideWhenUsed/>
    <w:pPr>
      <w:spacing w:after="57"/>
    </w:pPr>
  </w:style>
  <w:style w:type="paragraph" w:styleId="984">
    <w:name w:val="toc 2"/>
    <w:basedOn w:val="812"/>
    <w:next w:val="812"/>
    <w:uiPriority w:val="39"/>
    <w:unhideWhenUsed/>
    <w:pPr>
      <w:ind w:left="283"/>
      <w:spacing w:after="57"/>
    </w:pPr>
  </w:style>
  <w:style w:type="paragraph" w:styleId="985">
    <w:name w:val="toc 3"/>
    <w:basedOn w:val="812"/>
    <w:next w:val="812"/>
    <w:uiPriority w:val="39"/>
    <w:unhideWhenUsed/>
    <w:pPr>
      <w:ind w:left="567"/>
      <w:spacing w:after="57"/>
    </w:pPr>
  </w:style>
  <w:style w:type="paragraph" w:styleId="986">
    <w:name w:val="toc 4"/>
    <w:basedOn w:val="812"/>
    <w:next w:val="812"/>
    <w:uiPriority w:val="39"/>
    <w:unhideWhenUsed/>
    <w:pPr>
      <w:ind w:left="850"/>
      <w:spacing w:after="57"/>
    </w:pPr>
  </w:style>
  <w:style w:type="paragraph" w:styleId="987">
    <w:name w:val="toc 5"/>
    <w:basedOn w:val="812"/>
    <w:next w:val="812"/>
    <w:uiPriority w:val="39"/>
    <w:unhideWhenUsed/>
    <w:pPr>
      <w:ind w:left="1134"/>
      <w:spacing w:after="57"/>
    </w:pPr>
  </w:style>
  <w:style w:type="paragraph" w:styleId="988">
    <w:name w:val="toc 6"/>
    <w:basedOn w:val="812"/>
    <w:next w:val="812"/>
    <w:uiPriority w:val="39"/>
    <w:unhideWhenUsed/>
    <w:pPr>
      <w:ind w:left="1417"/>
      <w:spacing w:after="57"/>
    </w:pPr>
  </w:style>
  <w:style w:type="paragraph" w:styleId="989">
    <w:name w:val="toc 7"/>
    <w:basedOn w:val="812"/>
    <w:next w:val="812"/>
    <w:uiPriority w:val="39"/>
    <w:unhideWhenUsed/>
    <w:pPr>
      <w:ind w:left="1701"/>
      <w:spacing w:after="57"/>
    </w:pPr>
  </w:style>
  <w:style w:type="paragraph" w:styleId="990">
    <w:name w:val="toc 8"/>
    <w:basedOn w:val="812"/>
    <w:next w:val="812"/>
    <w:uiPriority w:val="39"/>
    <w:unhideWhenUsed/>
    <w:pPr>
      <w:ind w:left="1984"/>
      <w:spacing w:after="57"/>
    </w:pPr>
  </w:style>
  <w:style w:type="paragraph" w:styleId="991">
    <w:name w:val="toc 9"/>
    <w:basedOn w:val="812"/>
    <w:next w:val="812"/>
    <w:uiPriority w:val="39"/>
    <w:unhideWhenUsed/>
    <w:pPr>
      <w:ind w:left="2268"/>
      <w:spacing w:after="57"/>
    </w:pPr>
  </w:style>
  <w:style w:type="paragraph" w:styleId="992">
    <w:name w:val="TOC Heading"/>
    <w:uiPriority w:val="39"/>
    <w:unhideWhenUsed/>
    <w:rPr>
      <w:lang w:eastAsia="zh-CN"/>
    </w:rPr>
  </w:style>
  <w:style w:type="paragraph" w:styleId="993">
    <w:name w:val="table of figures"/>
    <w:basedOn w:val="812"/>
    <w:next w:val="812"/>
    <w:uiPriority w:val="99"/>
    <w:unhideWhenUsed/>
  </w:style>
  <w:style w:type="character" w:styleId="994" w:customStyle="1">
    <w:name w:val="Верхний колонтитул Знак"/>
    <w:link w:val="844"/>
    <w:uiPriority w:val="99"/>
    <w:rPr>
      <w:rFonts w:ascii="Times New Roman" w:hAnsi="Times New Roman" w:cs="Times New Roman"/>
      <w:sz w:val="20"/>
      <w:szCs w:val="20"/>
    </w:rPr>
  </w:style>
  <w:style w:type="character" w:styleId="995" w:customStyle="1">
    <w:name w:val="Нижний колонтитул Знак"/>
    <w:link w:val="846"/>
    <w:uiPriority w:val="99"/>
    <w:semiHidden/>
    <w:rPr>
      <w:rFonts w:ascii="Times New Roman" w:hAnsi="Times New Roman" w:cs="Times New Roman"/>
      <w:sz w:val="20"/>
      <w:szCs w:val="20"/>
    </w:rPr>
  </w:style>
  <w:style w:type="character" w:styleId="996" w:customStyle="1">
    <w:name w:val="Текст сноски Знак"/>
    <w:link w:val="977"/>
    <w:uiPriority w:val="99"/>
    <w:semiHidden/>
    <w:rPr>
      <w:rFonts w:ascii="Times New Roman" w:hAnsi="Times New Roman" w:cs="Times New Roman"/>
      <w:sz w:val="20"/>
      <w:szCs w:val="20"/>
    </w:rPr>
  </w:style>
  <w:style w:type="paragraph" w:styleId="997">
    <w:name w:val="Body Text Indent"/>
    <w:basedOn w:val="812"/>
    <w:link w:val="998"/>
    <w:uiPriority w:val="99"/>
    <w:unhideWhenUsed/>
    <w:pPr>
      <w:ind w:left="283"/>
      <w:spacing w:after="120"/>
    </w:pPr>
    <w:rPr>
      <w:sz w:val="26"/>
      <w:szCs w:val="26"/>
    </w:rPr>
  </w:style>
  <w:style w:type="character" w:styleId="998" w:customStyle="1">
    <w:name w:val="Основной текст с отступом Знак"/>
    <w:link w:val="997"/>
    <w:uiPriority w:val="99"/>
    <w:rPr>
      <w:rFonts w:ascii="Times New Roman" w:hAnsi="Times New Roman" w:eastAsia="Times New Roman"/>
      <w:sz w:val="26"/>
      <w:szCs w:val="26"/>
    </w:rPr>
  </w:style>
  <w:style w:type="character" w:styleId="999">
    <w:name w:val="Placeholder Text"/>
    <w:uiPriority w:val="99"/>
    <w:semiHidden/>
    <w:rPr>
      <w:color w:val="808080"/>
    </w:rPr>
  </w:style>
  <w:style w:type="character" w:styleId="1000" w:customStyle="1">
    <w:name w:val="Заголовок 1 Знак"/>
    <w:link w:val="813"/>
    <w:uiPriority w:val="9"/>
    <w:rPr>
      <w:rFonts w:ascii="Cambria" w:hAnsi="Cambria" w:eastAsia="Times New Roman" w:cs="Times New Roman"/>
      <w:b/>
      <w:bCs/>
      <w:sz w:val="32"/>
      <w:szCs w:val="32"/>
    </w:rPr>
  </w:style>
  <w:style w:type="paragraph" w:styleId="1001" w:customStyle="1">
    <w:name w:val="Таблица_содержание"/>
    <w:basedOn w:val="812"/>
    <w:pPr>
      <w:spacing w:before="60" w:after="60"/>
      <w:tabs>
        <w:tab w:val="left" w:pos="554" w:leader="none"/>
      </w:tabs>
    </w:pPr>
    <w:rPr>
      <w:rFonts w:ascii="Arial" w:hAnsi="Arial" w:cs="Arial"/>
      <w:lang w:val="en-US"/>
    </w:rPr>
  </w:style>
  <w:style w:type="paragraph" w:styleId="1002">
    <w:name w:val="Body Text"/>
    <w:basedOn w:val="812"/>
    <w:link w:val="1003"/>
    <w:pPr>
      <w:spacing w:after="120"/>
    </w:pPr>
    <w:rPr>
      <w:sz w:val="24"/>
      <w:szCs w:val="24"/>
    </w:rPr>
  </w:style>
  <w:style w:type="character" w:styleId="1003" w:customStyle="1">
    <w:name w:val="Основной текст Знак"/>
    <w:link w:val="1002"/>
    <w:rPr>
      <w:rFonts w:ascii="Times New Roman" w:hAnsi="Times New Roman"/>
      <w:sz w:val="24"/>
      <w:szCs w:val="24"/>
    </w:rPr>
  </w:style>
  <w:style w:type="paragraph" w:styleId="1004">
    <w:name w:val="Balloon Text"/>
    <w:basedOn w:val="812"/>
    <w:link w:val="1005"/>
    <w:uiPriority w:val="99"/>
    <w:semiHidden/>
    <w:unhideWhenUsed/>
    <w:rPr>
      <w:rFonts w:ascii="Tahoma" w:hAnsi="Tahoma" w:cs="Tahoma"/>
      <w:sz w:val="16"/>
      <w:szCs w:val="16"/>
    </w:rPr>
  </w:style>
  <w:style w:type="character" w:styleId="1005" w:customStyle="1">
    <w:name w:val="Текст выноски Знак"/>
    <w:link w:val="1004"/>
    <w:uiPriority w:val="99"/>
    <w:semiHidden/>
    <w:rPr>
      <w:rFonts w:ascii="Tahoma" w:hAnsi="Tahoma" w:cs="Tahoma"/>
      <w:sz w:val="16"/>
      <w:szCs w:val="16"/>
    </w:rPr>
  </w:style>
  <w:style w:type="paragraph" w:styleId="1006" w:customStyle="1">
    <w:name w:val="Текст ТД"/>
    <w:basedOn w:val="812"/>
    <w:link w:val="1007"/>
    <w:qFormat/>
    <w:pPr>
      <w:numPr>
        <w:ilvl w:val="0"/>
        <w:numId w:val="25"/>
      </w:numPr>
      <w:jc w:val="both"/>
      <w:spacing w:after="200"/>
    </w:pPr>
    <w:rPr>
      <w:rFonts w:eastAsia="Calibri"/>
      <w:sz w:val="24"/>
      <w:szCs w:val="24"/>
      <w:lang w:eastAsia="en-US"/>
    </w:rPr>
  </w:style>
  <w:style w:type="character" w:styleId="1007" w:customStyle="1">
    <w:name w:val="Текст ТД Знак"/>
    <w:link w:val="1006"/>
    <w:rPr>
      <w:rFonts w:ascii="Times New Roman" w:hAnsi="Times New Roman" w:eastAsia="Calibri"/>
      <w:sz w:val="24"/>
      <w:szCs w:val="24"/>
      <w:lang w:eastAsia="en-US"/>
    </w:rPr>
  </w:style>
  <w:style w:type="paragraph" w:styleId="1008" w:customStyle="1">
    <w:name w:val="ConsNormal"/>
    <w:link w:val="1009"/>
    <w:pPr>
      <w:ind w:firstLine="720"/>
    </w:pPr>
    <w:rPr>
      <w:rFonts w:ascii="Arial" w:hAnsi="Arial" w:cs="Arial"/>
    </w:rPr>
  </w:style>
  <w:style w:type="character" w:styleId="1009" w:customStyle="1">
    <w:name w:val="ConsNormal Знак"/>
    <w:link w:val="1008"/>
    <w:rPr>
      <w:rFonts w:ascii="Arial" w:hAnsi="Arial" w:cs="Arial"/>
    </w:rPr>
  </w:style>
  <w:style w:type="paragraph" w:styleId="1010">
    <w:name w:val="Body Text Indent 2"/>
    <w:basedOn w:val="812"/>
    <w:link w:val="1011"/>
    <w:uiPriority w:val="99"/>
    <w:semiHidden/>
    <w:unhideWhenUsed/>
    <w:pPr>
      <w:ind w:left="283"/>
      <w:spacing w:after="120" w:line="480" w:lineRule="auto"/>
    </w:pPr>
  </w:style>
  <w:style w:type="character" w:styleId="1011" w:customStyle="1">
    <w:name w:val="Основной текст с отступом 2 Знак"/>
    <w:link w:val="1010"/>
    <w:uiPriority w:val="99"/>
    <w:semiHidden/>
    <w:rPr>
      <w:rFonts w:ascii="Times New Roman" w:hAnsi="Times New Roman"/>
    </w:rPr>
  </w:style>
  <w:style w:type="character" w:styleId="1012">
    <w:name w:val="FollowedHyperlink"/>
    <w:uiPriority w:val="99"/>
    <w:semiHidden/>
    <w:unhideWhenUsed/>
    <w:rPr>
      <w:color w:val="800080"/>
      <w:u w:val="single"/>
    </w:rPr>
  </w:style>
  <w:style w:type="paragraph" w:styleId="1013" w:customStyle="1">
    <w:name w:val="xl66"/>
    <w:basedOn w:val="812"/>
    <w:pPr>
      <w:jc w:val="center"/>
      <w:spacing w:before="100" w:beforeAutospacing="1" w:after="100" w:afterAutospacing="1"/>
    </w:pPr>
    <w:rPr>
      <w:sz w:val="24"/>
      <w:szCs w:val="24"/>
    </w:rPr>
  </w:style>
  <w:style w:type="paragraph" w:styleId="1014" w:customStyle="1">
    <w:name w:val="xl67"/>
    <w:basedOn w:val="812"/>
    <w:pPr>
      <w:jc w:val="center"/>
      <w:spacing w:before="100" w:beforeAutospacing="1" w:after="100" w:afterAutospacing="1"/>
    </w:pPr>
    <w:rPr>
      <w:sz w:val="24"/>
      <w:szCs w:val="24"/>
    </w:rPr>
  </w:style>
  <w:style w:type="paragraph" w:styleId="1015" w:customStyle="1">
    <w:name w:val="xl68"/>
    <w:basedOn w:val="812"/>
    <w:pPr>
      <w:jc w:val="center"/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1016" w:customStyle="1">
    <w:name w:val="xl69"/>
    <w:basedOn w:val="812"/>
    <w:pPr>
      <w:jc w:val="center"/>
      <w:spacing w:before="100" w:beforeAutospacing="1" w:after="100" w:afterAutospacing="1"/>
      <w:shd w:val="clear" w:color="000000" w:fill="fabf8f"/>
    </w:pPr>
    <w:rPr>
      <w:sz w:val="24"/>
      <w:szCs w:val="24"/>
    </w:rPr>
  </w:style>
  <w:style w:type="paragraph" w:styleId="1017" w:customStyle="1">
    <w:name w:val="xl70"/>
    <w:basedOn w:val="812"/>
    <w:pPr>
      <w:jc w:val="center"/>
      <w:spacing w:before="100" w:beforeAutospacing="1" w:after="100" w:afterAutospacing="1"/>
      <w:shd w:val="clear" w:color="000000" w:fill="fde9d9"/>
    </w:pPr>
    <w:rPr>
      <w:sz w:val="24"/>
      <w:szCs w:val="24"/>
    </w:rPr>
  </w:style>
  <w:style w:type="paragraph" w:styleId="1018" w:customStyle="1">
    <w:name w:val="xl71"/>
    <w:basedOn w:val="812"/>
    <w:pPr>
      <w:jc w:val="center"/>
      <w:spacing w:before="100" w:beforeAutospacing="1" w:after="100" w:afterAutospacing="1"/>
      <w:shd w:val="clear" w:color="000000" w:fill="fde9d9"/>
    </w:pPr>
    <w:rPr>
      <w:sz w:val="24"/>
      <w:szCs w:val="24"/>
    </w:rPr>
  </w:style>
  <w:style w:type="paragraph" w:styleId="1019" w:customStyle="1">
    <w:name w:val="xl72"/>
    <w:basedOn w:val="8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0" w:customStyle="1">
    <w:name w:val="xl73"/>
    <w:basedOn w:val="81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21" w:customStyle="1">
    <w:name w:val="xl74"/>
    <w:basedOn w:val="8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22" w:customStyle="1">
    <w:name w:val="xl75"/>
    <w:basedOn w:val="812"/>
    <w:pPr>
      <w:jc w:val="center"/>
      <w:spacing w:before="100" w:beforeAutospacing="1" w:after="100" w:afterAutospacing="1"/>
      <w:shd w:val="clear" w:color="000000" w:fill="fabf8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23" w:customStyle="1">
    <w:name w:val="xl76"/>
    <w:basedOn w:val="812"/>
    <w:pPr>
      <w:jc w:val="center"/>
      <w:spacing w:before="100" w:beforeAutospacing="1" w:after="100" w:afterAutospacing="1"/>
      <w:shd w:val="clear" w:color="000000" w:fill="fabf8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024" w:customStyle="1">
    <w:name w:val="xl77"/>
    <w:basedOn w:val="812"/>
    <w:pPr>
      <w:jc w:val="center"/>
      <w:spacing w:before="100" w:beforeAutospacing="1" w:after="100" w:afterAutospacing="1"/>
      <w:shd w:val="clear" w:color="000000" w:fill="fabf8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025" w:customStyle="1">
    <w:name w:val="xl78"/>
    <w:basedOn w:val="812"/>
    <w:pPr>
      <w:jc w:val="center"/>
      <w:spacing w:before="100" w:beforeAutospacing="1" w:after="100" w:afterAutospacing="1"/>
      <w:shd w:val="clear" w:color="000000" w:fill="fde9d9"/>
      <w:pBdr>
        <w:top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26" w:customStyle="1">
    <w:name w:val="xl79"/>
    <w:basedOn w:val="81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27" w:customStyle="1">
    <w:name w:val="xl80"/>
    <w:basedOn w:val="812"/>
    <w:pPr>
      <w:jc w:val="center"/>
      <w:spacing w:before="100" w:beforeAutospacing="1" w:after="100" w:afterAutospacing="1"/>
      <w:shd w:val="clear" w:color="000000" w:fill="fde9d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28" w:customStyle="1">
    <w:name w:val="xl81"/>
    <w:basedOn w:val="812"/>
    <w:pPr>
      <w:jc w:val="center"/>
      <w:spacing w:before="100" w:beforeAutospacing="1" w:after="100" w:afterAutospacing="1"/>
      <w:shd w:val="clear" w:color="000000" w:fill="fde9d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1029" w:customStyle="1">
    <w:name w:val="xl82"/>
    <w:basedOn w:val="812"/>
    <w:pPr>
      <w:spacing w:before="100" w:beforeAutospacing="1" w:after="100" w:afterAutospacing="1"/>
      <w:shd w:val="clear" w:color="000000" w:fill="fde9d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30" w:customStyle="1">
    <w:name w:val="xl83"/>
    <w:basedOn w:val="812"/>
    <w:pPr>
      <w:jc w:val="center"/>
      <w:spacing w:before="100" w:beforeAutospacing="1" w:after="100" w:afterAutospacing="1"/>
      <w:shd w:val="clear" w:color="000000" w:fill="fde9d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31" w:customStyle="1">
    <w:name w:val="xl84"/>
    <w:basedOn w:val="812"/>
    <w:pPr>
      <w:jc w:val="center"/>
      <w:spacing w:before="100" w:beforeAutospacing="1" w:after="100" w:afterAutospacing="1"/>
      <w:shd w:val="clear" w:color="000000" w:fill="92d05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32" w:customStyle="1">
    <w:name w:val="xl85"/>
    <w:basedOn w:val="812"/>
    <w:pPr>
      <w:jc w:val="center"/>
      <w:spacing w:before="100" w:beforeAutospacing="1" w:after="100" w:afterAutospacing="1"/>
      <w:shd w:val="clear" w:color="000000" w:fill="9bbb5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33" w:customStyle="1">
    <w:name w:val="xl86"/>
    <w:basedOn w:val="812"/>
    <w:pPr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</w:rPr>
  </w:style>
  <w:style w:type="paragraph" w:styleId="1034" w:customStyle="1">
    <w:name w:val="xl87"/>
    <w:basedOn w:val="812"/>
    <w:pPr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color w:val="000000"/>
    </w:rPr>
  </w:style>
  <w:style w:type="paragraph" w:styleId="1035" w:customStyle="1">
    <w:name w:val="xl88"/>
    <w:basedOn w:val="812"/>
    <w:pPr>
      <w:jc w:val="center"/>
      <w:spacing w:before="100" w:beforeAutospacing="1" w:after="100" w:afterAutospacing="1"/>
      <w:shd w:val="clear" w:color="000000" w:fill="fabf8f"/>
    </w:pPr>
    <w:rPr>
      <w:color w:val="000000"/>
      <w:sz w:val="12"/>
      <w:szCs w:val="12"/>
    </w:rPr>
  </w:style>
  <w:style w:type="paragraph" w:styleId="1036" w:customStyle="1">
    <w:name w:val="xl89"/>
    <w:basedOn w:val="812"/>
    <w:pPr>
      <w:jc w:val="center"/>
      <w:spacing w:before="100" w:beforeAutospacing="1" w:after="100" w:afterAutospacing="1"/>
      <w:shd w:val="clear" w:color="000000" w:fill="fde9d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37" w:customStyle="1">
    <w:name w:val="xl90"/>
    <w:basedOn w:val="812"/>
    <w:pPr>
      <w:jc w:val="center"/>
      <w:spacing w:before="100" w:beforeAutospacing="1" w:after="100" w:afterAutospacing="1"/>
      <w:shd w:val="clear" w:color="000000" w:fill="fabf8f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  <w:sz w:val="18"/>
      <w:szCs w:val="18"/>
    </w:rPr>
  </w:style>
  <w:style w:type="paragraph" w:styleId="1038" w:customStyle="1">
    <w:name w:val="xl91"/>
    <w:basedOn w:val="812"/>
    <w:pPr>
      <w:jc w:val="center"/>
      <w:spacing w:before="100" w:beforeAutospacing="1" w:after="100" w:afterAutospacing="1"/>
      <w:shd w:val="clear" w:color="000000" w:fill="fde9d9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</w:rPr>
  </w:style>
  <w:style w:type="paragraph" w:styleId="1039" w:customStyle="1">
    <w:name w:val="xl92"/>
    <w:basedOn w:val="812"/>
    <w:pPr>
      <w:jc w:val="center"/>
      <w:spacing w:before="100" w:beforeAutospacing="1" w:after="100" w:afterAutospacing="1"/>
      <w:shd w:val="clear" w:color="000000" w:fill="fde9d9"/>
      <w:pBdr>
        <w:left w:val="single" w:color="000000" w:sz="8" w:space="0"/>
        <w:bottom w:val="single" w:color="000000" w:sz="8" w:space="0"/>
        <w:right w:val="single" w:color="000000" w:sz="8" w:space="0"/>
      </w:pBdr>
    </w:pPr>
  </w:style>
  <w:style w:type="paragraph" w:styleId="1040" w:customStyle="1">
    <w:name w:val="xl93"/>
    <w:basedOn w:val="812"/>
    <w:pPr>
      <w:jc w:val="center"/>
      <w:spacing w:before="100" w:beforeAutospacing="1" w:after="100" w:afterAutospacing="1"/>
      <w:shd w:val="clear" w:color="000000" w:fill="fde9d9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</w:rPr>
  </w:style>
  <w:style w:type="paragraph" w:styleId="1041" w:customStyle="1">
    <w:name w:val="xl94"/>
    <w:basedOn w:val="812"/>
    <w:pPr>
      <w:jc w:val="center"/>
      <w:spacing w:before="100" w:beforeAutospacing="1" w:after="100" w:afterAutospacing="1"/>
      <w:shd w:val="clear" w:color="000000" w:fill="fde9d9"/>
      <w:pBdr>
        <w:bottom w:val="single" w:color="000000" w:sz="8" w:space="0"/>
        <w:right w:val="single" w:color="000000" w:sz="8" w:space="0"/>
      </w:pBdr>
    </w:pPr>
    <w:rPr>
      <w:color w:val="000000"/>
    </w:rPr>
  </w:style>
  <w:style w:type="paragraph" w:styleId="1042" w:customStyle="1">
    <w:name w:val="xl95"/>
    <w:basedOn w:val="812"/>
    <w:pPr>
      <w:jc w:val="center"/>
      <w:spacing w:before="100" w:beforeAutospacing="1" w:after="100" w:afterAutospacing="1"/>
      <w:shd w:val="clear" w:color="000000" w:fill="fde9d9"/>
      <w:pBdr>
        <w:bottom w:val="single" w:color="000000" w:sz="8" w:space="0"/>
        <w:right w:val="single" w:color="000000" w:sz="8" w:space="0"/>
      </w:pBdr>
    </w:pPr>
  </w:style>
  <w:style w:type="paragraph" w:styleId="1043" w:customStyle="1">
    <w:name w:val="xl96"/>
    <w:basedOn w:val="812"/>
    <w:pPr>
      <w:jc w:val="center"/>
      <w:spacing w:before="100" w:beforeAutospacing="1" w:after="100" w:afterAutospacing="1"/>
      <w:shd w:val="clear" w:color="000000" w:fill="fabf8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</w:rPr>
  </w:style>
  <w:style w:type="paragraph" w:styleId="1044" w:customStyle="1">
    <w:name w:val="xl97"/>
    <w:basedOn w:val="812"/>
    <w:pPr>
      <w:jc w:val="center"/>
      <w:spacing w:before="100" w:beforeAutospacing="1" w:after="100" w:afterAutospacing="1"/>
      <w:shd w:val="clear" w:color="000000" w:fill="fabf8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045" w:customStyle="1">
    <w:name w:val="xl64"/>
    <w:basedOn w:val="812"/>
    <w:pPr>
      <w:jc w:val="center"/>
      <w:spacing w:before="100" w:beforeAutospacing="1" w:after="100" w:afterAutospacing="1"/>
    </w:pPr>
    <w:rPr>
      <w:sz w:val="24"/>
      <w:szCs w:val="24"/>
    </w:rPr>
  </w:style>
  <w:style w:type="paragraph" w:styleId="1046" w:customStyle="1">
    <w:name w:val="xl65"/>
    <w:basedOn w:val="812"/>
    <w:pPr>
      <w:jc w:val="center"/>
      <w:spacing w:before="100" w:beforeAutospacing="1" w:after="100" w:afterAutospacing="1"/>
    </w:pPr>
    <w:rPr>
      <w:sz w:val="24"/>
      <w:szCs w:val="24"/>
    </w:rPr>
  </w:style>
  <w:style w:type="table" w:styleId="1047" w:customStyle="1">
    <w:name w:val="OTR1"/>
    <w:basedOn w:val="823"/>
    <w:next w:val="850"/>
    <w:rPr>
      <w:rFonts w:ascii="Times New Roman" w:hAnsi="Times New Roman"/>
    </w:rPr>
    <w:tblPr/>
  </w:style>
  <w:style w:type="paragraph" w:styleId="1048" w:customStyle="1">
    <w:name w:val="Обычный таблица"/>
    <w:basedOn w:val="812"/>
    <w:rPr>
      <w:sz w:val="18"/>
      <w:szCs w:val="18"/>
      <w:lang w:eastAsia="zh-CN"/>
    </w:rPr>
  </w:style>
  <w:style w:type="paragraph" w:styleId="1049" w:customStyle="1">
    <w:name w:val="Основной текст (2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30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52.kurochkinaam</cp:lastModifiedBy>
  <cp:revision>252</cp:revision>
  <dcterms:created xsi:type="dcterms:W3CDTF">2014-12-02T12:57:00Z</dcterms:created>
  <dcterms:modified xsi:type="dcterms:W3CDTF">2026-08-20T06:49:49Z</dcterms:modified>
  <cp:version>917504</cp:version>
</cp:coreProperties>
</file>