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Times New Roman" w:hAnsi="Times New Roman" w:cs="Times New Roman"/>
          <w:b/>
          <w:sz w:val="23"/>
          <w:szCs w:val="23"/>
        </w:rPr>
      </w:pPr>
      <w:r>
        <w:rPr>
          <w:b/>
          <w:sz w:val="23"/>
          <w:szCs w:val="23"/>
        </w:rPr>
        <w:t>Контракт №_______</w:t>
      </w:r>
    </w:p>
    <w:p>
      <w:pPr>
        <w:pStyle w:val="ConsPlusNormal1"/>
        <w:ind w:firstLine="540" w:left="0" w:right="0"/>
        <w:jc w:val="center"/>
        <w:rPr>
          <w:rFonts w:cs="Times New Roman"/>
          <w:b/>
          <w:sz w:val="23"/>
          <w:szCs w:val="23"/>
          <w:shd w:fill="auto" w:val="clear"/>
        </w:rPr>
      </w:pPr>
      <w:r>
        <w:rPr>
          <w:rFonts w:cs="Times New Roman" w:ascii="Times New Roman" w:hAnsi="Times New Roman"/>
          <w:b/>
          <w:sz w:val="23"/>
          <w:szCs w:val="23"/>
        </w:rPr>
        <w:t xml:space="preserve">на оказание услуг по доставке </w:t>
      </w:r>
      <w:r>
        <w:rPr>
          <w:rFonts w:cs="Times New Roman" w:ascii="Times New Roman" w:hAnsi="Times New Roman"/>
          <w:b/>
          <w:sz w:val="23"/>
          <w:szCs w:val="23"/>
          <w:shd w:fill="FFFFFF" w:val="clear"/>
        </w:rPr>
        <w:t>иностранного гражданина (лица без гражданства), подлежащего административному выдворению</w:t>
      </w:r>
    </w:p>
    <w:p>
      <w:pPr>
        <w:pStyle w:val="Normal"/>
        <w:jc w:val="center"/>
        <w:rPr>
          <w:rFonts w:cs="Times New Roman"/>
          <w:b/>
          <w:sz w:val="23"/>
          <w:szCs w:val="23"/>
          <w:shd w:fill="auto" w:val="clear"/>
        </w:rPr>
      </w:pPr>
      <w:r>
        <w:rPr>
          <w:rFonts w:cs="Times New Roman"/>
          <w:b/>
          <w:sz w:val="23"/>
          <w:szCs w:val="23"/>
          <w:shd w:fill="auto" w:val="clear"/>
        </w:rPr>
      </w:r>
    </w:p>
    <w:p>
      <w:pPr>
        <w:pStyle w:val="Normal"/>
        <w:widowControl w:val="false"/>
        <w:suppressLineNumbers/>
        <w:jc w:val="center"/>
        <w:rPr/>
      </w:pPr>
      <w:r>
        <w:rPr>
          <w:rFonts w:eastAsia="Times New Roman" w:cs="Times New Roman"/>
          <w:b/>
          <w:bCs/>
          <w:color w:val="000000"/>
          <w:sz w:val="23"/>
          <w:szCs w:val="23"/>
          <w:shd w:fill="auto" w:val="clear"/>
          <w:lang w:val="ru-RU" w:eastAsia="zh-CN" w:bidi="ar-SA"/>
        </w:rPr>
        <w:t>ИКЗ:26 1 3327818953 332801001 0034 00</w:t>
      </w:r>
      <w:r>
        <w:rPr>
          <w:rFonts w:eastAsia="Times New Roman" w:cs="Times New Roman"/>
          <w:b/>
          <w:bCs/>
          <w:color w:val="000000"/>
          <w:sz w:val="23"/>
          <w:szCs w:val="23"/>
          <w:shd w:fill="auto" w:val="clear"/>
          <w:lang w:val="ru-RU" w:eastAsia="zh-CN" w:bidi="ar-SA"/>
        </w:rPr>
        <w:t>3</w:t>
      </w:r>
      <w:r>
        <w:rPr>
          <w:rFonts w:eastAsia="Times New Roman" w:cs="Times New Roman"/>
          <w:b/>
          <w:bCs/>
          <w:color w:val="000000"/>
          <w:sz w:val="23"/>
          <w:szCs w:val="23"/>
          <w:shd w:fill="auto" w:val="clear"/>
          <w:lang w:val="ru-RU" w:eastAsia="zh-CN" w:bidi="ar-SA"/>
        </w:rPr>
        <w:t xml:space="preserve"> 5110 244</w:t>
      </w:r>
    </w:p>
    <w:p>
      <w:pPr>
        <w:pStyle w:val="Normal"/>
        <w:widowControl w:val="false"/>
        <w:suppressLineNumbers/>
        <w:jc w:val="center"/>
        <w:rPr>
          <w:b/>
          <w:color w:val="000000"/>
          <w:sz w:val="23"/>
          <w:szCs w:val="23"/>
        </w:rPr>
      </w:pPr>
      <w:r>
        <w:rPr>
          <w:b/>
          <w:color w:val="000000"/>
          <w:sz w:val="23"/>
          <w:szCs w:val="23"/>
        </w:rPr>
      </w:r>
    </w:p>
    <w:p>
      <w:pPr>
        <w:pStyle w:val="Normal"/>
        <w:jc w:val="both"/>
        <w:rPr>
          <w:sz w:val="23"/>
          <w:szCs w:val="23"/>
        </w:rPr>
      </w:pPr>
      <w:r>
        <w:rPr>
          <w:sz w:val="23"/>
          <w:szCs w:val="23"/>
        </w:rPr>
        <w:t>г.Владимир                                                                                                            «___» __________ 2026 г.</w:t>
      </w:r>
    </w:p>
    <w:p>
      <w:pPr>
        <w:pStyle w:val="Normal"/>
        <w:jc w:val="both"/>
        <w:rPr>
          <w:sz w:val="23"/>
          <w:szCs w:val="23"/>
        </w:rPr>
      </w:pPr>
      <w:r>
        <w:rPr>
          <w:sz w:val="23"/>
          <w:szCs w:val="23"/>
        </w:rPr>
      </w:r>
    </w:p>
    <w:p>
      <w:pPr>
        <w:pStyle w:val="Normal"/>
        <w:keepNext w:val="true"/>
        <w:keepLines/>
        <w:widowControl w:val="false"/>
        <w:suppressLineNumbers/>
        <w:ind w:firstLine="708" w:right="0"/>
        <w:jc w:val="both"/>
        <w:rPr>
          <w:sz w:val="23"/>
          <w:szCs w:val="23"/>
        </w:rPr>
      </w:pPr>
      <w:r>
        <w:rPr>
          <w:sz w:val="23"/>
          <w:szCs w:val="23"/>
        </w:rPr>
        <w:t xml:space="preserve">Управление Федеральной службы судебных приставов по Владимирской области (УФССП России по Владимирской области), именуемое в дальнейшем Заказчик, в лице </w:t>
      </w:r>
      <w:r>
        <w:rPr>
          <w:rFonts w:cs="Times New Roman"/>
          <w:b w:val="false"/>
          <w:bCs w:val="false"/>
          <w:sz w:val="24"/>
          <w:szCs w:val="24"/>
        </w:rPr>
        <w:t>заместителя руководителя Тамарина Андрея Марковича , действующей на основании доверенности №Д-33907/26/68 от 30.04.2026 года</w:t>
      </w:r>
      <w:r>
        <w:rPr>
          <w:sz w:val="23"/>
          <w:szCs w:val="23"/>
        </w:rPr>
        <w:t xml:space="preserve">, с одной стороны, и  _____________, именуемый в дальнейшем Исполнитель (Перевозчик), </w:t>
      </w:r>
      <w:r>
        <w:rPr>
          <w:rFonts w:eastAsia="Times New Roman" w:cs="Times New Roman"/>
          <w:color w:val="auto"/>
          <w:sz w:val="23"/>
          <w:szCs w:val="23"/>
          <w:lang w:val="ru-RU" w:bidi="ar-SA"/>
        </w:rPr>
        <w:t xml:space="preserve">действующий на основании _________, лицензии ___________ с другой стороны,  </w:t>
      </w:r>
      <w:r>
        <w:rPr>
          <w:rFonts w:eastAsia="Times New Roman" w:cs="Times New Roman"/>
          <w:color w:val="auto"/>
          <w:sz w:val="24"/>
          <w:szCs w:val="24"/>
          <w:lang w:val="ru-RU" w:bidi="ar-SA"/>
        </w:rPr>
        <w:t>на основании п.4 ч.1 ст.93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pPr>
        <w:pStyle w:val="Normal"/>
        <w:shd w:val="clear" w:fill="FFFFFF"/>
        <w:ind w:firstLine="567" w:right="0"/>
        <w:jc w:val="both"/>
        <w:rPr>
          <w:sz w:val="23"/>
          <w:szCs w:val="23"/>
        </w:rPr>
      </w:pPr>
      <w:r>
        <w:rPr>
          <w:sz w:val="23"/>
          <w:szCs w:val="23"/>
        </w:rPr>
      </w:r>
    </w:p>
    <w:p>
      <w:pPr>
        <w:pStyle w:val="Normal"/>
        <w:jc w:val="center"/>
        <w:rPr>
          <w:sz w:val="23"/>
          <w:szCs w:val="23"/>
        </w:rPr>
      </w:pPr>
      <w:r>
        <w:rPr>
          <w:b/>
          <w:sz w:val="23"/>
          <w:szCs w:val="23"/>
        </w:rPr>
        <w:t>1. Предмет контракта</w:t>
      </w:r>
    </w:p>
    <w:p>
      <w:pPr>
        <w:pStyle w:val="Normal"/>
        <w:ind w:firstLine="709" w:right="0"/>
        <w:jc w:val="both"/>
        <w:rPr/>
      </w:pPr>
      <w:r>
        <w:rPr>
          <w:sz w:val="23"/>
          <w:szCs w:val="23"/>
        </w:rPr>
        <w:t xml:space="preserve">1.1. Исполнитель (Перевозчик) по поручению Заказчика обязуется оказать услугу по доставке </w:t>
      </w:r>
      <w:r>
        <w:rPr>
          <w:b w:val="false"/>
          <w:bCs w:val="false"/>
          <w:sz w:val="23"/>
          <w:szCs w:val="23"/>
        </w:rPr>
        <w:t xml:space="preserve"> </w:t>
      </w:r>
      <w:r>
        <w:rPr>
          <w:b w:val="false"/>
          <w:bCs w:val="false"/>
          <w:sz w:val="23"/>
          <w:szCs w:val="23"/>
          <w:shd w:fill="FFFFFF" w:val="clear"/>
        </w:rPr>
        <w:t>иностранного гражданина (лица без гражданства), подлежащего административному выдворению</w:t>
      </w:r>
      <w:r>
        <w:rPr>
          <w:b w:val="false"/>
          <w:bCs w:val="false"/>
          <w:sz w:val="23"/>
          <w:szCs w:val="23"/>
        </w:rPr>
        <w:t xml:space="preserve"> </w:t>
      </w:r>
      <w:r>
        <w:rPr>
          <w:b w:val="false"/>
          <w:bCs w:val="false"/>
          <w:color w:val="000000"/>
          <w:sz w:val="23"/>
          <w:szCs w:val="23"/>
        </w:rPr>
        <w:t xml:space="preserve">за пределы государственной границы Российской Федерации; </w:t>
      </w:r>
      <w:r>
        <w:rPr>
          <w:b w:val="false"/>
          <w:bCs w:val="false"/>
          <w:sz w:val="23"/>
          <w:szCs w:val="23"/>
        </w:rPr>
        <w:t>судебных приставов по ОУПДС, осуще</w:t>
      </w:r>
      <w:r>
        <w:rPr>
          <w:sz w:val="23"/>
          <w:szCs w:val="23"/>
        </w:rPr>
        <w:t>ствляющих препровождение на основании решения суда выдворяемых лиц в специальные учреждения, а также их препровождение до пункта пропуска через Государственную границу РФ, численностью от 1 до 48 человек, а Заказчик обязуется оплатить оказанную услугу Перевозчику на условиях настоящего контракта.</w:t>
      </w:r>
    </w:p>
    <w:p>
      <w:pPr>
        <w:pStyle w:val="Normal"/>
        <w:ind w:firstLine="708" w:right="0"/>
        <w:jc w:val="both"/>
        <w:rPr>
          <w:sz w:val="23"/>
          <w:szCs w:val="23"/>
        </w:rPr>
      </w:pPr>
      <w:r>
        <w:rPr>
          <w:sz w:val="23"/>
          <w:szCs w:val="23"/>
        </w:rPr>
      </w:r>
    </w:p>
    <w:p>
      <w:pPr>
        <w:pStyle w:val="Normal"/>
        <w:ind w:firstLine="708" w:right="0"/>
        <w:jc w:val="center"/>
        <w:rPr>
          <w:sz w:val="23"/>
          <w:szCs w:val="23"/>
        </w:rPr>
      </w:pPr>
      <w:r>
        <w:rPr>
          <w:b/>
          <w:sz w:val="23"/>
          <w:szCs w:val="23"/>
        </w:rPr>
        <w:t>2. Права и обязанности Сторон</w:t>
      </w:r>
    </w:p>
    <w:p>
      <w:pPr>
        <w:pStyle w:val="Normal"/>
        <w:shd w:val="clear" w:fill="FFFFFF"/>
        <w:tabs>
          <w:tab w:val="clear" w:pos="708"/>
          <w:tab w:val="left" w:pos="388" w:leader="none"/>
        </w:tabs>
        <w:jc w:val="both"/>
        <w:rPr>
          <w:sz w:val="23"/>
          <w:szCs w:val="23"/>
        </w:rPr>
      </w:pPr>
      <w:r>
        <w:rPr>
          <w:sz w:val="23"/>
          <w:szCs w:val="23"/>
        </w:rPr>
        <w:tab/>
        <w:tab/>
        <w:t>2.1. Перевозчик обязан:</w:t>
      </w:r>
    </w:p>
    <w:p>
      <w:pPr>
        <w:pStyle w:val="Normal"/>
        <w:shd w:val="clear" w:fill="FFFFFF"/>
        <w:tabs>
          <w:tab w:val="clear" w:pos="708"/>
          <w:tab w:val="left" w:pos="552" w:leader="none"/>
        </w:tabs>
        <w:jc w:val="both"/>
        <w:rPr>
          <w:sz w:val="23"/>
          <w:szCs w:val="23"/>
        </w:rPr>
      </w:pPr>
      <w:r>
        <w:rPr>
          <w:sz w:val="23"/>
          <w:szCs w:val="23"/>
        </w:rPr>
        <w:tab/>
        <w:t xml:space="preserve"> </w:t>
        <w:tab/>
        <w:t>2.1.1. В согласованные сторонами сроки и время, производить перевозку автомобильным транспортом, находящимся в технически исправном и чистом состоянии, отвечающим предъявляемым требованиям для подобного рода перевозок и обеспечивающим безопасное движение. С пассажиров Заказчика плата не взимается.</w:t>
      </w:r>
    </w:p>
    <w:p>
      <w:pPr>
        <w:pStyle w:val="Normal"/>
        <w:shd w:val="clear" w:fill="FFFFFF"/>
        <w:tabs>
          <w:tab w:val="clear" w:pos="708"/>
          <w:tab w:val="left" w:pos="600" w:leader="none"/>
        </w:tabs>
        <w:jc w:val="both"/>
        <w:rPr>
          <w:sz w:val="23"/>
          <w:szCs w:val="23"/>
        </w:rPr>
      </w:pPr>
      <w:r>
        <w:rPr>
          <w:sz w:val="23"/>
          <w:szCs w:val="23"/>
        </w:rPr>
        <w:tab/>
        <w:t xml:space="preserve">  2.1.2. В случае неисправности автобуса незамедлительно заменить на исправный.</w:t>
      </w:r>
    </w:p>
    <w:p>
      <w:pPr>
        <w:pStyle w:val="Normal"/>
        <w:jc w:val="both"/>
        <w:rPr>
          <w:b w:val="false"/>
          <w:bCs w:val="false"/>
          <w:sz w:val="23"/>
          <w:szCs w:val="23"/>
        </w:rPr>
      </w:pPr>
      <w:r>
        <w:rPr>
          <w:sz w:val="23"/>
          <w:szCs w:val="23"/>
        </w:rPr>
        <w:tab/>
        <w:t xml:space="preserve">2.1.3. </w:t>
      </w:r>
      <w:r>
        <w:rPr>
          <w:b w:val="false"/>
          <w:bCs w:val="false"/>
          <w:sz w:val="23"/>
          <w:szCs w:val="23"/>
        </w:rPr>
        <w:t>В случае несвоевременной доставки выдворяемых до места назначения (опозданием в аэропорт) возмещает Заказчику стоимость авиабилетов за всех выдворяемых лиц.</w:t>
      </w:r>
    </w:p>
    <w:p>
      <w:pPr>
        <w:pStyle w:val="Normal"/>
        <w:jc w:val="both"/>
        <w:rPr>
          <w:sz w:val="23"/>
          <w:szCs w:val="23"/>
        </w:rPr>
      </w:pPr>
      <w:r>
        <w:rPr>
          <w:b w:val="false"/>
          <w:bCs w:val="false"/>
          <w:sz w:val="23"/>
          <w:szCs w:val="23"/>
        </w:rPr>
        <w:tab/>
        <w:t>2.1.4. Формировать и направлять в составе документа о приёмке реестр (Приложение № 2 к контракту).</w:t>
      </w:r>
    </w:p>
    <w:p>
      <w:pPr>
        <w:pStyle w:val="Normal"/>
        <w:shd w:val="clear" w:fill="FFFFFF"/>
        <w:jc w:val="both"/>
        <w:rPr>
          <w:sz w:val="23"/>
          <w:szCs w:val="23"/>
        </w:rPr>
      </w:pPr>
      <w:r>
        <w:rPr>
          <w:sz w:val="23"/>
          <w:szCs w:val="23"/>
        </w:rPr>
        <w:tab/>
        <w:t>2.2. Заказчик обязан:</w:t>
      </w:r>
    </w:p>
    <w:p>
      <w:pPr>
        <w:pStyle w:val="Normal"/>
        <w:shd w:val="clear" w:fill="FFFFFF"/>
        <w:tabs>
          <w:tab w:val="clear" w:pos="708"/>
          <w:tab w:val="left" w:pos="0" w:leader="none"/>
        </w:tabs>
        <w:jc w:val="both"/>
        <w:rPr>
          <w:sz w:val="23"/>
          <w:szCs w:val="23"/>
        </w:rPr>
      </w:pPr>
      <w:r>
        <w:rPr>
          <w:sz w:val="23"/>
          <w:szCs w:val="23"/>
        </w:rPr>
        <w:tab/>
        <w:t>2.2.1.Своевременно производить оплату за услуги, оказанные ему исполнителем.</w:t>
      </w:r>
    </w:p>
    <w:p>
      <w:pPr>
        <w:pStyle w:val="Normal"/>
        <w:jc w:val="both"/>
        <w:rPr>
          <w:sz w:val="23"/>
          <w:szCs w:val="23"/>
        </w:rPr>
      </w:pPr>
      <w:r>
        <w:rPr>
          <w:sz w:val="23"/>
          <w:szCs w:val="23"/>
        </w:rPr>
        <w:tab/>
        <w:t>2.2.2. Несет ответственность за нанесенный ущерб Заказчику.</w:t>
      </w:r>
    </w:p>
    <w:p>
      <w:pPr>
        <w:pStyle w:val="Normal"/>
        <w:jc w:val="both"/>
        <w:rPr>
          <w:sz w:val="23"/>
          <w:szCs w:val="23"/>
        </w:rPr>
      </w:pPr>
      <w:r>
        <w:rPr>
          <w:sz w:val="23"/>
          <w:szCs w:val="23"/>
        </w:rPr>
        <w:tab/>
        <w:t>2.3. Заказчик имеет право:</w:t>
      </w:r>
    </w:p>
    <w:p>
      <w:pPr>
        <w:pStyle w:val="Normal"/>
        <w:jc w:val="both"/>
        <w:rPr>
          <w:b/>
          <w:sz w:val="23"/>
          <w:szCs w:val="23"/>
        </w:rPr>
      </w:pPr>
      <w:r>
        <w:rPr>
          <w:sz w:val="23"/>
          <w:szCs w:val="23"/>
        </w:rPr>
        <w:tab/>
        <w:t>2.3.1. Требовать от Перевозчика качественного и своевременного оказания услуг.</w:t>
      </w:r>
    </w:p>
    <w:p>
      <w:pPr>
        <w:pStyle w:val="Normal"/>
        <w:jc w:val="center"/>
        <w:rPr>
          <w:b/>
          <w:sz w:val="23"/>
          <w:szCs w:val="23"/>
        </w:rPr>
      </w:pPr>
      <w:r>
        <w:rPr>
          <w:b/>
          <w:sz w:val="23"/>
          <w:szCs w:val="23"/>
        </w:rPr>
      </w:r>
    </w:p>
    <w:p>
      <w:pPr>
        <w:pStyle w:val="Normal"/>
        <w:tabs>
          <w:tab w:val="clear" w:pos="708"/>
          <w:tab w:val="center" w:pos="4960" w:leader="none"/>
          <w:tab w:val="right" w:pos="9921" w:leader="none"/>
        </w:tabs>
        <w:rPr>
          <w:sz w:val="23"/>
          <w:szCs w:val="23"/>
        </w:rPr>
      </w:pPr>
      <w:r>
        <w:rPr>
          <w:b/>
          <w:sz w:val="23"/>
          <w:szCs w:val="23"/>
        </w:rPr>
        <w:tab/>
        <w:t>3. Цена и порядок расчетов</w:t>
        <w:tab/>
      </w:r>
    </w:p>
    <w:p>
      <w:pPr>
        <w:pStyle w:val="Normal"/>
        <w:ind w:firstLine="567" w:right="0"/>
        <w:jc w:val="both"/>
        <w:rPr>
          <w:rFonts w:eastAsia="Times New Roman" w:cs="Times New Roman"/>
          <w:b w:val="false"/>
          <w:bCs w:val="false"/>
          <w:color w:val="auto"/>
          <w:sz w:val="23"/>
          <w:szCs w:val="23"/>
          <w:lang w:val="ru-RU" w:bidi="ar-SA"/>
        </w:rPr>
      </w:pPr>
      <w:r>
        <w:rPr>
          <w:sz w:val="23"/>
          <w:szCs w:val="23"/>
        </w:rPr>
        <w:tab/>
        <w:t>3.1.</w:t>
      </w:r>
      <w:r>
        <w:rPr>
          <w:rFonts w:cs="Times New Roman"/>
          <w:sz w:val="24"/>
          <w:szCs w:val="24"/>
        </w:rPr>
        <w:t xml:space="preserve">Цена Контракта составляет ______ (        ) (цифрами и прописью) рублей ___ копеек, в том числе НДС ___ (___) (цифрами и прописью) рублей ___ копеек </w:t>
      </w:r>
      <w:r>
        <w:rPr>
          <w:rFonts w:cs="Times New Roman"/>
          <w:i/>
          <w:iCs/>
          <w:sz w:val="24"/>
          <w:szCs w:val="24"/>
        </w:rPr>
        <w:t>(НДС не облагается на основании ____ст. НК РФ)</w:t>
      </w:r>
      <w:r>
        <w:rPr>
          <w:rFonts w:eastAsia="Times New Roman" w:cs="Times New Roman"/>
          <w:b w:val="false"/>
          <w:bCs w:val="false"/>
          <w:color w:val="auto"/>
          <w:sz w:val="23"/>
          <w:szCs w:val="23"/>
          <w:lang w:val="ru-RU" w:bidi="ar-SA"/>
        </w:rPr>
        <w:t>.</w:t>
      </w:r>
    </w:p>
    <w:p>
      <w:pPr>
        <w:pStyle w:val="Normal"/>
        <w:ind w:firstLine="567" w:right="0"/>
        <w:jc w:val="both"/>
        <w:rPr>
          <w:rFonts w:eastAsia="Times New Roman" w:cs="Times New Roman"/>
          <w:b w:val="false"/>
          <w:bCs w:val="false"/>
          <w:color w:val="auto"/>
          <w:sz w:val="23"/>
          <w:szCs w:val="23"/>
          <w:lang w:val="ru-RU" w:bidi="ar-SA"/>
        </w:rPr>
      </w:pPr>
      <w:r>
        <w:rPr>
          <w:rFonts w:eastAsia="Times New Roman" w:cs="Times New Roman"/>
          <w:b w:val="false"/>
          <w:bCs w:val="false"/>
          <w:color w:val="auto"/>
          <w:sz w:val="23"/>
          <w:szCs w:val="23"/>
          <w:lang w:val="ru-RU" w:bidi="ar-SA"/>
        </w:rPr>
        <w:tab/>
        <w:t>Объем подлежащих оказанию услуг невозможно определить, в соответствии с ч. 24 ст. 22 Федерального закона № 44-ФЗ.</w:t>
      </w:r>
    </w:p>
    <w:p>
      <w:pPr>
        <w:pStyle w:val="Normal"/>
        <w:ind w:firstLine="567" w:right="0"/>
        <w:jc w:val="both"/>
        <w:rPr>
          <w:rFonts w:eastAsia="Times New Roman" w:cs="Times New Roman"/>
          <w:b w:val="false"/>
          <w:bCs w:val="false"/>
          <w:color w:val="auto"/>
          <w:sz w:val="23"/>
          <w:szCs w:val="23"/>
          <w:lang w:val="ru-RU" w:bidi="ar-SA"/>
        </w:rPr>
      </w:pPr>
      <w:r>
        <w:rPr>
          <w:rFonts w:eastAsia="Times New Roman" w:cs="Times New Roman"/>
          <w:b w:val="false"/>
          <w:bCs w:val="false"/>
          <w:color w:val="auto"/>
          <w:sz w:val="23"/>
          <w:szCs w:val="23"/>
          <w:lang w:val="ru-RU" w:bidi="ar-SA"/>
        </w:rPr>
        <w:t xml:space="preserve"> </w:t>
      </w:r>
      <w:r>
        <w:rPr>
          <w:rFonts w:eastAsia="Times New Roman" w:cs="Times New Roman"/>
          <w:b w:val="false"/>
          <w:bCs w:val="false"/>
          <w:color w:val="auto"/>
          <w:sz w:val="23"/>
          <w:szCs w:val="23"/>
          <w:lang w:val="ru-RU" w:bidi="ar-SA"/>
        </w:rPr>
        <w:t>Оплата оказанных услуг осуществляется по цене единицы услуги исходя из количества оказанных услуг, указанных в Приложении № 1 к Контракту, но в размере, не превышающем максимального значения цены контракта.</w:t>
      </w:r>
    </w:p>
    <w:p>
      <w:pPr>
        <w:pStyle w:val="Normal"/>
        <w:numPr>
          <w:ilvl w:val="0"/>
          <w:numId w:val="0"/>
        </w:numPr>
        <w:ind w:firstLine="709" w:left="0" w:right="0"/>
        <w:jc w:val="both"/>
        <w:outlineLvl w:val="0"/>
        <w:rPr>
          <w:rFonts w:eastAsia="Times New Roman" w:cs="Times New Roman"/>
          <w:b w:val="false"/>
          <w:bCs w:val="false"/>
          <w:color w:val="auto"/>
          <w:sz w:val="23"/>
          <w:szCs w:val="23"/>
          <w:lang w:val="ru-RU" w:bidi="ar-SA"/>
        </w:rPr>
      </w:pPr>
      <w:r>
        <w:rPr>
          <w:rFonts w:eastAsia="Times New Roman" w:cs="Times New Roman"/>
          <w:b w:val="false"/>
          <w:bCs w:val="false"/>
          <w:color w:val="auto"/>
          <w:sz w:val="23"/>
          <w:szCs w:val="23"/>
          <w:lang w:val="ru-RU" w:bidi="ar-SA"/>
        </w:rPr>
        <w:t>3.2. При заключении государственного контракта с юридическим лицом или физическим лицом, в том числе зарегистрированном в качестве индивидуального предпринимателя, уменьшается сумма, подлежащая уплате Заказчиком, на размер налогов, сборов и иных обязательных платежей в бюджеты бюджетной системы Российской Федерации, связанные с оплатой государственный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ind w:firstLine="567" w:right="0"/>
        <w:jc w:val="both"/>
        <w:rPr>
          <w:rFonts w:eastAsia="Times New Roman" w:cs="Times New Roman"/>
          <w:b w:val="false"/>
          <w:bCs w:val="false"/>
          <w:color w:val="auto"/>
          <w:sz w:val="23"/>
          <w:szCs w:val="23"/>
          <w:lang w:val="ru-RU" w:bidi="ar-SA"/>
        </w:rPr>
      </w:pPr>
      <w:r>
        <w:rPr>
          <w:rFonts w:eastAsia="Times New Roman" w:cs="Times New Roman"/>
          <w:b w:val="false"/>
          <w:bCs w:val="false"/>
          <w:color w:val="auto"/>
          <w:sz w:val="23"/>
          <w:szCs w:val="23"/>
          <w:lang w:val="ru-RU" w:bidi="ar-SA"/>
        </w:rPr>
        <w:t>3.3. Общая стоимость оказанных услуг не должна превышать цену Контракта, указанную в пункте 3.1 Контракта. Стоимость оказываемых услуг определена в Спецификации (приложение № 1 к Контракту) и не может быть увеличена в течение срока действия Контракта.</w:t>
      </w:r>
    </w:p>
    <w:p>
      <w:pPr>
        <w:pStyle w:val="Normal"/>
        <w:ind w:firstLine="567" w:right="0"/>
        <w:jc w:val="both"/>
        <w:rPr>
          <w:rFonts w:ascii="Times New Roman" w:hAnsi="Times New Roman" w:cs="Times New Roman"/>
          <w:bCs/>
          <w:color w:val="000000"/>
          <w:sz w:val="22"/>
          <w:szCs w:val="22"/>
        </w:rPr>
      </w:pPr>
      <w:r>
        <w:rPr>
          <w:rFonts w:eastAsia="Times New Roman" w:cs="Times New Roman"/>
          <w:b w:val="false"/>
          <w:bCs w:val="false"/>
          <w:color w:val="auto"/>
          <w:sz w:val="23"/>
          <w:szCs w:val="23"/>
          <w:lang w:val="ru-RU" w:bidi="ar-SA"/>
        </w:rPr>
        <w:t>Финансирование оплаты услуг по настоящему контракту осуществляется за счет средств федерального бюджета.</w:t>
      </w:r>
    </w:p>
    <w:p>
      <w:pPr>
        <w:pStyle w:val="ConsPlusNormal1"/>
        <w:spacing w:before="0" w:after="0"/>
        <w:ind w:firstLine="567" w:left="0" w:right="0"/>
        <w:contextualSpacing/>
        <w:jc w:val="both"/>
        <w:rPr>
          <w:sz w:val="22"/>
          <w:szCs w:val="22"/>
        </w:rPr>
      </w:pPr>
      <w:r>
        <w:rPr>
          <w:rFonts w:cs="Times New Roman" w:ascii="Times New Roman" w:hAnsi="Times New Roman"/>
          <w:bCs/>
          <w:color w:val="000000"/>
          <w:sz w:val="22"/>
          <w:szCs w:val="22"/>
        </w:rPr>
        <w:t>Расчеты между Заказчиком и Поставщиком производятся не позднее 7 (семи) рабочих дней с даты подписания Заказчиком акта об оказании услуг.</w:t>
      </w:r>
    </w:p>
    <w:p>
      <w:pPr>
        <w:pStyle w:val="Normal"/>
        <w:ind w:firstLine="567" w:right="0"/>
        <w:jc w:val="both"/>
        <w:rPr>
          <w:sz w:val="23"/>
          <w:szCs w:val="23"/>
        </w:rPr>
      </w:pPr>
      <w:r>
        <w:rPr>
          <w:sz w:val="22"/>
          <w:szCs w:val="22"/>
        </w:rPr>
        <w:t xml:space="preserve">3.4. Цена настоящего </w:t>
      </w:r>
      <w:r>
        <w:rPr>
          <w:color w:val="000000"/>
          <w:sz w:val="22"/>
          <w:szCs w:val="22"/>
        </w:rPr>
        <w:t>государственного контракт</w:t>
      </w:r>
      <w:r>
        <w:rPr>
          <w:sz w:val="22"/>
          <w:szCs w:val="22"/>
        </w:rPr>
        <w:t xml:space="preserve">а, которая определена на весь срок исполнения настоящего </w:t>
      </w:r>
      <w:r>
        <w:rPr>
          <w:color w:val="000000"/>
          <w:sz w:val="22"/>
          <w:szCs w:val="22"/>
        </w:rPr>
        <w:t>государственного контракт</w:t>
      </w:r>
      <w:r>
        <w:rPr>
          <w:sz w:val="22"/>
          <w:szCs w:val="22"/>
        </w:rPr>
        <w:t xml:space="preserve">а, </w:t>
      </w:r>
      <w:r>
        <w:rPr>
          <w:b w:val="false"/>
          <w:bCs w:val="false"/>
          <w:sz w:val="22"/>
          <w:szCs w:val="22"/>
        </w:rPr>
        <w:t>является твердой</w:t>
      </w:r>
      <w:r>
        <w:rPr>
          <w:sz w:val="22"/>
          <w:szCs w:val="22"/>
        </w:rPr>
        <w:t xml:space="preserve"> и не может изменяться в ходе его исполнения, за исключением случаев, предусмотренных законодательством Российской Федерации о  контрактной системе в сфере закупок. </w:t>
      </w:r>
    </w:p>
    <w:p>
      <w:pPr>
        <w:pStyle w:val="Normal"/>
        <w:jc w:val="both"/>
        <w:rPr>
          <w:sz w:val="23"/>
          <w:szCs w:val="23"/>
        </w:rPr>
      </w:pPr>
      <w:r>
        <w:rPr>
          <w:sz w:val="23"/>
          <w:szCs w:val="23"/>
        </w:rPr>
      </w:r>
    </w:p>
    <w:p>
      <w:pPr>
        <w:pStyle w:val="Normal"/>
        <w:jc w:val="center"/>
        <w:rPr>
          <w:sz w:val="22"/>
          <w:szCs w:val="22"/>
        </w:rPr>
      </w:pPr>
      <w:r>
        <w:rPr>
          <w:b/>
          <w:color w:val="000000"/>
          <w:sz w:val="23"/>
          <w:szCs w:val="23"/>
        </w:rPr>
        <w:t>4. Ответственность сторон</w:t>
      </w:r>
    </w:p>
    <w:p>
      <w:pPr>
        <w:pStyle w:val="Normal"/>
        <w:ind w:firstLine="709" w:right="0"/>
        <w:jc w:val="both"/>
        <w:rPr>
          <w:sz w:val="22"/>
          <w:szCs w:val="22"/>
        </w:rPr>
      </w:pPr>
      <w:r>
        <w:rPr>
          <w:sz w:val="22"/>
          <w:szCs w:val="22"/>
        </w:rPr>
        <w:t>4.1.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p>
    <w:p>
      <w:pPr>
        <w:pStyle w:val="Normal"/>
        <w:ind w:firstLine="709" w:right="0"/>
        <w:jc w:val="both"/>
        <w:rPr>
          <w:i w:val="false"/>
          <w:i w:val="false"/>
          <w:iCs w:val="false"/>
          <w:sz w:val="22"/>
          <w:szCs w:val="22"/>
        </w:rPr>
      </w:pPr>
      <w:r>
        <w:rPr>
          <w:sz w:val="22"/>
          <w:szCs w:val="22"/>
        </w:rPr>
        <w:t xml:space="preserve">4.2. </w:t>
      </w:r>
      <w:r>
        <w:rPr>
          <w:i w:val="false"/>
          <w:iCs w:val="false"/>
          <w:sz w:val="22"/>
          <w:szCs w:val="22"/>
        </w:rPr>
        <w:t xml:space="preserve">Пеня начисляется за каждый день просрочки исполнения обязательства Заказчиком,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настоящим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ind w:firstLine="709" w:right="0"/>
        <w:jc w:val="both"/>
        <w:rPr>
          <w:i w:val="false"/>
          <w:i w:val="false"/>
          <w:iCs w:val="false"/>
          <w:sz w:val="22"/>
          <w:szCs w:val="22"/>
        </w:rPr>
      </w:pPr>
      <w:r>
        <w:rPr>
          <w:i w:val="false"/>
          <w:iCs w:val="false"/>
          <w:sz w:val="22"/>
          <w:szCs w:val="22"/>
        </w:rPr>
        <w:t>4.3.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составляет 1000 рублей.</w:t>
      </w:r>
    </w:p>
    <w:p>
      <w:pPr>
        <w:pStyle w:val="Normal"/>
        <w:ind w:firstLine="709" w:right="0"/>
        <w:jc w:val="both"/>
        <w:rPr>
          <w:i w:val="false"/>
          <w:i w:val="false"/>
          <w:iCs w:val="false"/>
          <w:sz w:val="22"/>
          <w:szCs w:val="22"/>
        </w:rPr>
      </w:pPr>
      <w:r>
        <w:rPr>
          <w:i w:val="false"/>
          <w:iCs w:val="false"/>
          <w:sz w:val="22"/>
          <w:szCs w:val="22"/>
        </w:rPr>
        <w:t>4.4. 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pPr>
        <w:pStyle w:val="Normal"/>
        <w:ind w:firstLine="709" w:right="0"/>
        <w:jc w:val="both"/>
        <w:rPr>
          <w:i w:val="false"/>
          <w:i w:val="false"/>
          <w:iCs w:val="false"/>
          <w:sz w:val="22"/>
          <w:szCs w:val="22"/>
        </w:rPr>
      </w:pPr>
      <w:r>
        <w:rPr>
          <w:i w:val="false"/>
          <w:iCs w:val="false"/>
          <w:sz w:val="22"/>
          <w:szCs w:val="22"/>
        </w:rPr>
        <w:t>4.5. Пеня начисляется за каждый день просрочки исполнения исполнителю обязательства, предусмотренного настоящим контрактом, 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w:t>
      </w:r>
    </w:p>
    <w:p>
      <w:pPr>
        <w:pStyle w:val="Normal"/>
        <w:ind w:firstLine="709" w:right="0"/>
        <w:jc w:val="both"/>
        <w:rPr>
          <w:sz w:val="22"/>
          <w:szCs w:val="22"/>
        </w:rPr>
      </w:pPr>
      <w:r>
        <w:rPr>
          <w:i w:val="false"/>
          <w:iCs w:val="false"/>
          <w:sz w:val="22"/>
          <w:szCs w:val="22"/>
        </w:rPr>
        <w:t>4.6. Штрафы начисляют</w:t>
      </w:r>
      <w:r>
        <w:rPr>
          <w:sz w:val="22"/>
          <w:szCs w:val="22"/>
        </w:rPr>
        <w:t xml:space="preserve">ся за </w:t>
      </w:r>
      <w:r>
        <w:rPr>
          <w:i/>
          <w:iCs/>
          <w:sz w:val="22"/>
          <w:szCs w:val="22"/>
        </w:rPr>
        <w:t>неисполнение или ненадлежащее исполнение</w:t>
      </w:r>
      <w:r>
        <w:rPr>
          <w:sz w:val="22"/>
          <w:szCs w:val="22"/>
        </w:rPr>
        <w:t xml:space="preserve">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предусмотренных настоящим  контрактом. За каждый факт неисполнения или ненадлежащего исполнения исполнителем обязательств, предусмотренных настоящим Контрактом, заключенным по результатам определения исполнителя в соответствии с </w:t>
      </w:r>
      <w:hyperlink r:id="rId2">
        <w:r>
          <w:rPr>
            <w:rStyle w:val="Hyperlink"/>
            <w:color w:val="000000"/>
            <w:sz w:val="22"/>
            <w:szCs w:val="22"/>
          </w:rPr>
          <w:t>пунктом 1 части 1 статьи 30</w:t>
        </w:r>
      </w:hyperlink>
      <w:r>
        <w:rPr>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w:t>
      </w:r>
      <w:r>
        <w:rPr>
          <w:bCs/>
          <w:sz w:val="22"/>
          <w:szCs w:val="22"/>
        </w:rPr>
        <w:t xml:space="preserve"> составляет:</w:t>
      </w:r>
    </w:p>
    <w:p>
      <w:pPr>
        <w:pStyle w:val="Normal"/>
        <w:ind w:firstLine="709" w:right="0"/>
        <w:jc w:val="both"/>
        <w:rPr>
          <w:sz w:val="22"/>
          <w:szCs w:val="22"/>
        </w:rPr>
      </w:pPr>
      <w:r>
        <w:rPr>
          <w:sz w:val="22"/>
          <w:szCs w:val="22"/>
        </w:rPr>
        <w:t>1 процент цены Контракта (этапа), но не более 5000 рублей и не менее 1000 рублей.</w:t>
      </w:r>
    </w:p>
    <w:p>
      <w:pPr>
        <w:pStyle w:val="Normal"/>
        <w:ind w:firstLine="709" w:right="0"/>
        <w:jc w:val="both"/>
        <w:rPr>
          <w:sz w:val="22"/>
          <w:szCs w:val="22"/>
        </w:rPr>
      </w:pPr>
      <w:r>
        <w:rPr>
          <w:sz w:val="22"/>
          <w:szCs w:val="22"/>
        </w:rPr>
        <w:t xml:space="preserve">4.7. За каждый факт неисполнения или ненадлежащего исполнения поставщиком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№44-ФЗ), предложившим наиболее высокую цену за право заключения настоящего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настоящим  контрактом, и устанавливается 10% от НМЦК </w:t>
      </w:r>
      <w:r>
        <w:rPr>
          <w:rStyle w:val="FootnoteReference"/>
          <w:sz w:val="22"/>
          <w:szCs w:val="22"/>
        </w:rPr>
        <w:footnoteReference w:id="2"/>
      </w:r>
      <w:r>
        <w:rPr>
          <w:sz w:val="22"/>
          <w:szCs w:val="22"/>
        </w:rPr>
        <w:t>, что составляет _________.</w:t>
      </w:r>
    </w:p>
    <w:p>
      <w:pPr>
        <w:pStyle w:val="Normal"/>
        <w:ind w:firstLine="709" w:right="0"/>
        <w:jc w:val="both"/>
        <w:rPr>
          <w:sz w:val="22"/>
          <w:szCs w:val="22"/>
        </w:rPr>
      </w:pPr>
      <w:r>
        <w:rPr>
          <w:sz w:val="22"/>
          <w:szCs w:val="22"/>
        </w:rPr>
        <w:t xml:space="preserve">4.8.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и составляет 1000 рублей. (Требование об уплате  данного вида штрафа, Заказчик направляет исполнителю в случае  предоставления </w:t>
      </w:r>
      <w:r>
        <w:rPr>
          <w:sz w:val="22"/>
          <w:szCs w:val="22"/>
          <w:u w:val="single"/>
        </w:rPr>
        <w:t xml:space="preserve">документа о приемке </w:t>
      </w:r>
      <w:r>
        <w:rPr>
          <w:sz w:val="22"/>
          <w:szCs w:val="22"/>
        </w:rPr>
        <w:t xml:space="preserve"> ранее  или  позднее  срока указанного в п.4.4. контракта )</w:t>
      </w:r>
    </w:p>
    <w:p>
      <w:pPr>
        <w:pStyle w:val="Normal"/>
        <w:ind w:firstLine="709" w:right="0"/>
        <w:jc w:val="both"/>
        <w:rPr>
          <w:sz w:val="22"/>
          <w:szCs w:val="22"/>
        </w:rPr>
      </w:pPr>
      <w:r>
        <w:rPr>
          <w:sz w:val="22"/>
          <w:szCs w:val="22"/>
        </w:rPr>
        <w:t>4.9.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о контракта.</w:t>
      </w:r>
    </w:p>
    <w:p>
      <w:pPr>
        <w:pStyle w:val="Normal"/>
        <w:ind w:firstLine="709" w:right="0"/>
        <w:jc w:val="both"/>
        <w:rPr>
          <w:sz w:val="22"/>
        </w:rPr>
      </w:pPr>
      <w:r>
        <w:rPr>
          <w:sz w:val="22"/>
          <w:szCs w:val="22"/>
        </w:rPr>
        <w:t>4.10. 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pPr>
        <w:pStyle w:val="Style28"/>
        <w:ind w:firstLine="709" w:left="0" w:right="0"/>
        <w:rPr>
          <w:sz w:val="22"/>
        </w:rPr>
      </w:pPr>
      <w:r>
        <w:rPr>
          <w:sz w:val="22"/>
        </w:rPr>
        <w:t>4.11.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Style28"/>
        <w:ind w:firstLine="709" w:left="0" w:right="0"/>
        <w:rPr>
          <w:sz w:val="22"/>
        </w:rPr>
      </w:pPr>
      <w:r>
        <w:rPr>
          <w:sz w:val="22"/>
        </w:rPr>
        <w:t>4.12.</w:t>
      </w:r>
      <w:bookmarkStart w:id="0" w:name="p_3656"/>
      <w:bookmarkEnd w:id="0"/>
      <w:r>
        <w:rPr>
          <w:sz w:val="22"/>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(подрядчиком, поставщиком) обязательств, предусмотренных контрактом, заказчик направляет поставщику (подрядчику, поставщику) требование об уплате неустоек (штрафов, пеней).</w:t>
      </w:r>
    </w:p>
    <w:p>
      <w:pPr>
        <w:pStyle w:val="Style28"/>
        <w:ind w:firstLine="709" w:left="0" w:right="0"/>
        <w:rPr>
          <w:sz w:val="22"/>
        </w:rPr>
      </w:pPr>
      <w:r>
        <w:rPr>
          <w:sz w:val="22"/>
        </w:rPr>
        <w:t>4.13. Заказчик  в случае неисполнения и (или) ненадлежащего исполнения исполнителем обязательств по контракту, включая просрочку исполнения обязательств, предварительно направив поставщику требование об уплате неустойки (штрафов, пеней), предусмотренной контрактом, без согласия поставщика, по своему выбору  удерживает сумму неустойки (штрафа, пени) из денежных средств, внесенных поставщиком  в качестве обеспечения исполнения контракта  и перечисляет в доход бюджета.</w:t>
      </w:r>
    </w:p>
    <w:p>
      <w:pPr>
        <w:pStyle w:val="Style28"/>
        <w:ind w:firstLine="709" w:left="0" w:right="0"/>
        <w:rPr/>
      </w:pPr>
      <w:r>
        <w:rPr/>
      </w:r>
    </w:p>
    <w:p>
      <w:pPr>
        <w:pStyle w:val="Normal"/>
        <w:shd w:val="clear" w:fill="FFFFFF"/>
        <w:tabs>
          <w:tab w:val="clear" w:pos="708"/>
          <w:tab w:val="left" w:pos="709" w:leader="none"/>
          <w:tab w:val="left" w:pos="821" w:leader="none"/>
        </w:tabs>
        <w:spacing w:lineRule="atLeast" w:line="240"/>
        <w:ind w:firstLine="709" w:right="0"/>
        <w:jc w:val="center"/>
        <w:rPr>
          <w:rFonts w:cs="Times New Roman"/>
          <w:color w:val="000000"/>
          <w:sz w:val="22"/>
          <w:szCs w:val="22"/>
        </w:rPr>
      </w:pPr>
      <w:r>
        <w:rPr>
          <w:b/>
          <w:bCs/>
          <w:color w:val="000000"/>
          <w:sz w:val="22"/>
          <w:szCs w:val="22"/>
        </w:rPr>
        <w:t>5. ОБЕСПЕЧЕНИЕ ИСПОЛНЕНИЯ  КОНТРАКТА</w:t>
      </w:r>
    </w:p>
    <w:p>
      <w:pPr>
        <w:pStyle w:val="Standard"/>
        <w:ind w:right="102"/>
        <w:jc w:val="both"/>
        <w:rPr>
          <w:rFonts w:ascii="Times New Roman" w:hAnsi="Times New Roman" w:cs="Times New Roman"/>
          <w:color w:val="000000"/>
          <w:sz w:val="22"/>
          <w:szCs w:val="22"/>
        </w:rPr>
      </w:pPr>
      <w:r>
        <w:rPr>
          <w:rFonts w:cs="Times New Roman"/>
          <w:color w:val="000000"/>
          <w:sz w:val="22"/>
          <w:szCs w:val="22"/>
        </w:rPr>
        <w:tab/>
        <w:t>5.1.  Исполнение контракта, гарантийные обязательства могут обеспечиваться предоставлением независимой гарантии, соответствующей требованиям статьи 45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настоящего Федерального закона.</w:t>
      </w:r>
    </w:p>
    <w:p>
      <w:pPr>
        <w:pStyle w:val="ConsPlusNonformat"/>
        <w:jc w:val="both"/>
        <w:rPr>
          <w:rFonts w:ascii="Times New Roman" w:hAnsi="Times New Roman" w:cs="Times New Roman"/>
          <w:color w:val="000000"/>
          <w:sz w:val="22"/>
          <w:szCs w:val="22"/>
        </w:rPr>
      </w:pPr>
      <w:r>
        <w:rPr>
          <w:rFonts w:cs="Times New Roman" w:ascii="Times New Roman" w:hAnsi="Times New Roman"/>
          <w:color w:val="000000"/>
          <w:sz w:val="22"/>
          <w:szCs w:val="22"/>
        </w:rPr>
        <w:tab/>
        <w:t>Обеспечение исполнения Контракта устанавливается в размере  5 % от цены контракта и составляет ____________ руб._____ коп.</w:t>
      </w:r>
    </w:p>
    <w:p>
      <w:pPr>
        <w:pStyle w:val="ConsPlusNonformat"/>
        <w:jc w:val="both"/>
        <w:rPr>
          <w:rFonts w:ascii="Times New Roman" w:hAnsi="Times New Roman" w:cs="Times New Roman"/>
          <w:color w:val="000000"/>
          <w:sz w:val="22"/>
          <w:szCs w:val="22"/>
        </w:rPr>
      </w:pPr>
      <w:r>
        <w:rPr>
          <w:rFonts w:cs="Times New Roman" w:ascii="Times New Roman" w:hAnsi="Times New Roman"/>
          <w:color w:val="000000"/>
          <w:sz w:val="22"/>
          <w:szCs w:val="22"/>
        </w:rPr>
        <w:t>Исполнитель предоставляет оформленное надлежащим образом обеспечение исполнения Контракта до его заключения.</w:t>
      </w:r>
    </w:p>
    <w:p>
      <w:pPr>
        <w:pStyle w:val="ConsPlusNonformat"/>
        <w:jc w:val="both"/>
        <w:rPr>
          <w:b w:val="false"/>
          <w:bCs w:val="false"/>
          <w:color w:val="000000"/>
          <w:sz w:val="22"/>
          <w:szCs w:val="22"/>
        </w:rPr>
      </w:pPr>
      <w:r>
        <w:rPr>
          <w:rFonts w:cs="Times New Roman" w:ascii="Times New Roman" w:hAnsi="Times New Roman"/>
          <w:color w:val="000000"/>
          <w:sz w:val="22"/>
          <w:szCs w:val="22"/>
        </w:rPr>
        <w:tab/>
      </w:r>
      <w:r>
        <w:rPr>
          <w:rFonts w:cs="Times New Roman" w:ascii="Times New Roman" w:hAnsi="Times New Roman"/>
          <w:i w:val="false"/>
          <w:iCs w:val="false"/>
          <w:color w:val="000000"/>
          <w:sz w:val="22"/>
          <w:szCs w:val="22"/>
        </w:rPr>
        <w:t xml:space="preserve">В соответствии со ст. 37 Федерального закона от 05.04.2013 г. № 44-ФЗ,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w:t>
      </w:r>
      <w:hyperlink w:anchor="Par987" w:tgtFrame="_blank">
        <w:r>
          <w:rPr>
            <w:rStyle w:val="Hyperlink"/>
            <w:rFonts w:cs="Times New Roman" w:ascii="Times New Roman" w:hAnsi="Times New Roman"/>
            <w:i w:val="false"/>
            <w:iCs w:val="false"/>
            <w:color w:val="000000"/>
            <w:sz w:val="22"/>
            <w:szCs w:val="22"/>
          </w:rPr>
          <w:t>части 1</w:t>
        </w:r>
      </w:hyperlink>
      <w:r>
        <w:rPr>
          <w:rFonts w:cs="Times New Roman" w:ascii="Times New Roman" w:hAnsi="Times New Roman"/>
          <w:i w:val="false"/>
          <w:iCs w:val="false"/>
          <w:color w:val="000000"/>
          <w:sz w:val="22"/>
          <w:szCs w:val="22"/>
        </w:rPr>
        <w:t xml:space="preserve"> ст. 37 44-ФЗ, или информации, подтверждающей добросовестность такого участника в соответствии с </w:t>
      </w:r>
      <w:hyperlink w:anchor="Par991" w:tgtFrame="_blank">
        <w:r>
          <w:rPr>
            <w:rStyle w:val="Hyperlink"/>
            <w:rFonts w:cs="Times New Roman" w:ascii="Times New Roman" w:hAnsi="Times New Roman"/>
            <w:i w:val="false"/>
            <w:iCs w:val="false"/>
            <w:color w:val="000000"/>
            <w:sz w:val="22"/>
            <w:szCs w:val="22"/>
          </w:rPr>
          <w:t>частью 3</w:t>
        </w:r>
      </w:hyperlink>
      <w:r>
        <w:rPr>
          <w:rFonts w:cs="Times New Roman" w:ascii="Times New Roman" w:hAnsi="Times New Roman"/>
          <w:i w:val="false"/>
          <w:iCs w:val="false"/>
          <w:color w:val="000000"/>
          <w:sz w:val="22"/>
          <w:szCs w:val="22"/>
        </w:rPr>
        <w:t xml:space="preserve"> ст. 37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(в ред. Федеральных зак</w:t>
      </w:r>
      <w:r>
        <w:rPr>
          <w:rFonts w:cs="Times New Roman" w:ascii="Times New Roman" w:hAnsi="Times New Roman"/>
          <w:color w:val="000000"/>
          <w:sz w:val="22"/>
          <w:szCs w:val="22"/>
        </w:rPr>
        <w:t xml:space="preserve">онов от 27.12.2018 </w:t>
      </w:r>
      <w:hyperlink r:id="rId3">
        <w:r>
          <w:rPr>
            <w:rStyle w:val="Hyperlink"/>
            <w:rFonts w:cs="Times New Roman" w:ascii="Times New Roman" w:hAnsi="Times New Roman"/>
            <w:color w:val="000000"/>
            <w:sz w:val="22"/>
            <w:szCs w:val="22"/>
          </w:rPr>
          <w:t>N 502-ФЗ</w:t>
        </w:r>
      </w:hyperlink>
      <w:r>
        <w:rPr>
          <w:rFonts w:cs="Times New Roman" w:ascii="Times New Roman" w:hAnsi="Times New Roman"/>
          <w:color w:val="000000"/>
          <w:sz w:val="22"/>
          <w:szCs w:val="22"/>
        </w:rPr>
        <w:t xml:space="preserve">, от 01.05.2019 </w:t>
      </w:r>
      <w:hyperlink r:id="rId4">
        <w:r>
          <w:rPr>
            <w:rStyle w:val="Hyperlink"/>
            <w:rFonts w:cs="Times New Roman" w:ascii="Times New Roman" w:hAnsi="Times New Roman"/>
            <w:color w:val="000000"/>
            <w:sz w:val="22"/>
            <w:szCs w:val="22"/>
          </w:rPr>
          <w:t>N 71-ФЗ</w:t>
        </w:r>
      </w:hyperlink>
      <w:r>
        <w:rPr>
          <w:rFonts w:cs="Times New Roman" w:ascii="Times New Roman" w:hAnsi="Times New Roman"/>
          <w:color w:val="000000"/>
          <w:sz w:val="22"/>
          <w:szCs w:val="22"/>
        </w:rPr>
        <w:t xml:space="preserve">, от 02.07.2021 </w:t>
      </w:r>
      <w:hyperlink r:id="rId5">
        <w:r>
          <w:rPr>
            <w:rStyle w:val="Hyperlink"/>
            <w:rFonts w:cs="Times New Roman" w:ascii="Times New Roman" w:hAnsi="Times New Roman"/>
            <w:color w:val="000000"/>
            <w:sz w:val="22"/>
            <w:szCs w:val="22"/>
          </w:rPr>
          <w:t>N 360-ФЗ</w:t>
        </w:r>
      </w:hyperlink>
      <w:r>
        <w:rPr>
          <w:rFonts w:cs="Times New Roman" w:ascii="Times New Roman" w:hAnsi="Times New Roman"/>
          <w:color w:val="000000"/>
          <w:sz w:val="22"/>
          <w:szCs w:val="22"/>
        </w:rPr>
        <w:t>).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pPr>
        <w:pStyle w:val="Normal"/>
        <w:ind w:firstLine="540" w:right="0"/>
        <w:jc w:val="both"/>
        <w:rPr>
          <w:rFonts w:eastAsia="Calibri"/>
          <w:color w:val="000000"/>
          <w:sz w:val="22"/>
          <w:szCs w:val="22"/>
          <w:lang w:eastAsia="en-US"/>
        </w:rPr>
      </w:pPr>
      <w:r>
        <w:rPr>
          <w:b w:val="false"/>
          <w:bCs w:val="false"/>
          <w:color w:val="000000"/>
          <w:sz w:val="22"/>
          <w:szCs w:val="22"/>
        </w:rPr>
        <w:t xml:space="preserve">Информация, предусмотренная </w:t>
      </w:r>
      <w:hyperlink w:anchor="Par991" w:tgtFrame="_blank">
        <w:r>
          <w:rPr>
            <w:rStyle w:val="Hyperlink"/>
            <w:b w:val="false"/>
            <w:bCs w:val="false"/>
            <w:color w:val="000000"/>
            <w:sz w:val="22"/>
            <w:szCs w:val="22"/>
          </w:rPr>
          <w:t>частью 3</w:t>
        </w:r>
      </w:hyperlink>
      <w:r>
        <w:rPr>
          <w:b w:val="false"/>
          <w:bCs w:val="false"/>
          <w:i/>
          <w:iCs/>
          <w:color w:val="000000"/>
          <w:sz w:val="22"/>
          <w:szCs w:val="22"/>
        </w:rPr>
        <w:t>ст. 37 44-ФЗ</w:t>
      </w:r>
      <w:r>
        <w:rPr>
          <w:b w:val="false"/>
          <w:bCs w:val="false"/>
          <w:color w:val="000000"/>
          <w:sz w:val="22"/>
          <w:szCs w:val="22"/>
        </w:rPr>
        <w:t xml:space="preserve">,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частью,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 </w:t>
      </w:r>
    </w:p>
    <w:p>
      <w:pPr>
        <w:pStyle w:val="Normal"/>
        <w:ind w:firstLine="708" w:right="0"/>
        <w:jc w:val="both"/>
        <w:rPr>
          <w:color w:val="000000"/>
          <w:sz w:val="22"/>
          <w:szCs w:val="22"/>
        </w:rPr>
      </w:pPr>
      <w:r>
        <w:rPr>
          <w:rFonts w:eastAsia="Calibri"/>
          <w:color w:val="000000"/>
          <w:sz w:val="22"/>
          <w:szCs w:val="22"/>
          <w:lang w:eastAsia="en-US"/>
        </w:rPr>
        <w:t>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w:t>
      </w:r>
    </w:p>
    <w:p>
      <w:pPr>
        <w:pStyle w:val="Normal"/>
        <w:ind w:firstLine="708" w:right="0"/>
        <w:jc w:val="both"/>
        <w:rPr>
          <w:sz w:val="22"/>
          <w:szCs w:val="22"/>
        </w:rPr>
      </w:pPr>
      <w:r>
        <w:rPr>
          <w:color w:val="000000"/>
          <w:sz w:val="22"/>
          <w:szCs w:val="22"/>
        </w:rPr>
        <w:t xml:space="preserve">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ar2351" w:tgtFrame="_blank">
        <w:r>
          <w:rPr>
            <w:rStyle w:val="Hyperlink"/>
            <w:color w:val="000000"/>
            <w:sz w:val="22"/>
            <w:szCs w:val="22"/>
          </w:rPr>
          <w:t>частями 7.2</w:t>
        </w:r>
      </w:hyperlink>
      <w:r>
        <w:rPr>
          <w:color w:val="000000"/>
          <w:sz w:val="22"/>
          <w:szCs w:val="22"/>
        </w:rPr>
        <w:t xml:space="preserve"> и </w:t>
      </w:r>
      <w:hyperlink w:anchor="Par2355" w:tgtFrame="_blank">
        <w:r>
          <w:rPr>
            <w:rStyle w:val="Hyperlink"/>
            <w:color w:val="000000"/>
            <w:sz w:val="22"/>
            <w:szCs w:val="22"/>
          </w:rPr>
          <w:t>7.3</w:t>
        </w:r>
      </w:hyperlink>
      <w:r>
        <w:rPr>
          <w:color w:val="000000"/>
          <w:sz w:val="22"/>
          <w:szCs w:val="22"/>
        </w:rPr>
        <w:t>ст. 96 44-ФЗ.</w:t>
      </w:r>
    </w:p>
    <w:p>
      <w:pPr>
        <w:pStyle w:val="Normal"/>
        <w:tabs>
          <w:tab w:val="left" w:pos="708" w:leader="none"/>
        </w:tabs>
        <w:jc w:val="both"/>
        <w:rPr>
          <w:color w:val="000000"/>
          <w:sz w:val="22"/>
          <w:szCs w:val="22"/>
        </w:rPr>
      </w:pPr>
      <w:r>
        <w:rPr>
          <w:sz w:val="22"/>
          <w:szCs w:val="22"/>
        </w:rPr>
        <w:t>7.2.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Pr>
          <w:rFonts w:eastAsia="Calibri"/>
          <w:sz w:val="22"/>
          <w:szCs w:val="22"/>
          <w:lang w:eastAsia="en-US"/>
        </w:rPr>
        <w:t xml:space="preserve">ребованиям </w:t>
      </w:r>
      <w:hyperlink r:id="rId6">
        <w:r>
          <w:rPr>
            <w:rStyle w:val="Hyperlink"/>
            <w:rFonts w:eastAsia="Calibri"/>
            <w:sz w:val="22"/>
            <w:szCs w:val="22"/>
            <w:lang w:eastAsia="en-US"/>
          </w:rPr>
          <w:t>статьи 45</w:t>
        </w:r>
      </w:hyperlink>
      <w:r>
        <w:rPr>
          <w:rFonts w:eastAsia="Calibri"/>
          <w:sz w:val="22"/>
          <w:szCs w:val="22"/>
          <w:lang w:eastAsia="en-US"/>
        </w:rPr>
        <w:t xml:space="preserve"> Федерального закона № 44-ФЗ:</w:t>
      </w:r>
    </w:p>
    <w:p>
      <w:pPr>
        <w:pStyle w:val="Normal"/>
        <w:ind w:firstLine="540" w:right="0"/>
        <w:jc w:val="both"/>
        <w:rPr>
          <w:color w:val="000000"/>
          <w:sz w:val="22"/>
          <w:szCs w:val="22"/>
          <w:u w:val="single"/>
        </w:rPr>
      </w:pPr>
      <w:r>
        <w:rPr>
          <w:color w:val="000000"/>
          <w:sz w:val="22"/>
          <w:szCs w:val="22"/>
        </w:rPr>
        <w:t xml:space="preserve">Заказчики в качестве обеспечения заявок, исполнения контрактов, гарантийных обязательств принимают независимые гарантии, выданные: 1) банками, соответствующими </w:t>
      </w:r>
      <w:hyperlink r:id="rId7">
        <w:r>
          <w:rPr>
            <w:rStyle w:val="Hyperlink"/>
            <w:color w:val="000000"/>
            <w:sz w:val="22"/>
            <w:szCs w:val="22"/>
          </w:rPr>
          <w:t>требованиям</w:t>
        </w:r>
      </w:hyperlink>
      <w:r>
        <w:rPr>
          <w:color w:val="000000"/>
          <w:sz w:val="22"/>
          <w:szCs w:val="22"/>
        </w:rPr>
        <w:t xml:space="preserve">, установленным Правительством Российской Федерации, и включенными в перечень, предусмотренный </w:t>
      </w:r>
      <w:hyperlink w:anchor="Par1268" w:tgtFrame="_blank">
        <w:r>
          <w:rPr>
            <w:rStyle w:val="Hyperlink"/>
            <w:color w:val="000000"/>
            <w:sz w:val="22"/>
            <w:szCs w:val="22"/>
          </w:rPr>
          <w:t>частью 1.2</w:t>
        </w:r>
      </w:hyperlink>
      <w:r>
        <w:rPr>
          <w:color w:val="000000"/>
          <w:sz w:val="22"/>
          <w:szCs w:val="22"/>
        </w:rPr>
        <w:t xml:space="preserve"> настоящей статьи; 2) государственной корпорацией развития "ВЭБ.РФ";</w:t>
      </w:r>
      <w:bookmarkStart w:id="1" w:name="Par1263"/>
      <w:bookmarkEnd w:id="1"/>
      <w:r>
        <w:rPr>
          <w:color w:val="000000"/>
          <w:sz w:val="22"/>
          <w:szCs w:val="22"/>
        </w:rPr>
        <w:t xml:space="preserve"> 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8">
        <w:r>
          <w:rPr>
            <w:rStyle w:val="Hyperlink"/>
            <w:color w:val="000000"/>
            <w:sz w:val="22"/>
            <w:szCs w:val="22"/>
          </w:rPr>
          <w:t>законом</w:t>
        </w:r>
      </w:hyperlink>
      <w:r>
        <w:rPr>
          <w:color w:val="000000"/>
          <w:sz w:val="22"/>
          <w:szCs w:val="22"/>
        </w:rP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hyperlink r:id="rId9">
        <w:r>
          <w:rPr>
            <w:rStyle w:val="Hyperlink"/>
            <w:color w:val="000000"/>
            <w:sz w:val="22"/>
            <w:szCs w:val="22"/>
          </w:rPr>
          <w:t>требованиям</w:t>
        </w:r>
      </w:hyperlink>
      <w:r>
        <w:rPr>
          <w:color w:val="000000"/>
          <w:sz w:val="22"/>
          <w:szCs w:val="22"/>
        </w:rPr>
        <w:t xml:space="preserve">, установленным Правительством Российской Федерации, и включенными в перечень, предусмотренный </w:t>
      </w:r>
      <w:hyperlink w:anchor="Par1286" w:tgtFrame="_blank">
        <w:r>
          <w:rPr>
            <w:rStyle w:val="Hyperlink"/>
            <w:color w:val="000000"/>
            <w:sz w:val="22"/>
            <w:szCs w:val="22"/>
          </w:rPr>
          <w:t>частью 1.7</w:t>
        </w:r>
      </w:hyperlink>
      <w:r>
        <w:rPr>
          <w:color w:val="000000"/>
          <w:sz w:val="22"/>
          <w:szCs w:val="22"/>
        </w:rPr>
        <w:t xml:space="preserve"> ст. 45 44-ФЗ статьи (при осуществлении закупок в соответствии с </w:t>
      </w:r>
      <w:hyperlink w:anchor="Par724" w:tgtFrame="_blank">
        <w:r>
          <w:rPr>
            <w:rStyle w:val="Hyperlink"/>
            <w:color w:val="000000"/>
            <w:sz w:val="22"/>
            <w:szCs w:val="22"/>
          </w:rPr>
          <w:t>пунктом 1 части 1 статьи 30</w:t>
        </w:r>
      </w:hyperlink>
      <w:r>
        <w:rPr>
          <w:color w:val="000000"/>
          <w:sz w:val="22"/>
          <w:szCs w:val="22"/>
        </w:rPr>
        <w:t xml:space="preserve"> 44-); 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w:t>
      </w:r>
      <w:hyperlink r:id="rId10">
        <w:r>
          <w:rPr>
            <w:rStyle w:val="Hyperlink"/>
            <w:color w:val="000000"/>
            <w:sz w:val="22"/>
            <w:szCs w:val="22"/>
          </w:rPr>
          <w:t>статьи 12</w:t>
        </w:r>
      </w:hyperlink>
      <w:r>
        <w:rPr>
          <w:color w:val="000000"/>
          <w:sz w:val="22"/>
          <w:szCs w:val="22"/>
        </w:rPr>
        <w:t xml:space="preserve"> Федерального закона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 В течение срока реализации утвержденного Советом директоров Центрального банка Российской Федерации в соответствии с Федеральным </w:t>
      </w:r>
      <w:hyperlink r:id="rId11">
        <w:r>
          <w:rPr>
            <w:rStyle w:val="Hyperlink"/>
            <w:color w:val="000000"/>
            <w:sz w:val="22"/>
            <w:szCs w:val="22"/>
          </w:rPr>
          <w:t>законом</w:t>
        </w:r>
      </w:hyperlink>
      <w:r>
        <w:rPr>
          <w:color w:val="000000"/>
          <w:sz w:val="22"/>
          <w:szCs w:val="22"/>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w:t>
      </w:r>
      <w:hyperlink w:anchor="Par1268" w:tgtFrame="_blank">
        <w:r>
          <w:rPr>
            <w:rStyle w:val="Hyperlink"/>
            <w:color w:val="000000"/>
            <w:sz w:val="22"/>
            <w:szCs w:val="22"/>
          </w:rPr>
          <w:t>частью 1.2</w:t>
        </w:r>
      </w:hyperlink>
      <w:r>
        <w:rPr>
          <w:color w:val="000000"/>
          <w:sz w:val="22"/>
          <w:szCs w:val="22"/>
        </w:rPr>
        <w:t xml:space="preserve"> cт. 45 44-ФЗ,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w:t>
      </w:r>
      <w:hyperlink w:anchor="Par1266" w:tgtFrame="_blank">
        <w:r>
          <w:rPr>
            <w:rStyle w:val="Hyperlink"/>
            <w:color w:val="000000"/>
            <w:sz w:val="22"/>
            <w:szCs w:val="22"/>
          </w:rPr>
          <w:t>частью 1.1</w:t>
        </w:r>
      </w:hyperlink>
      <w:r>
        <w:rPr>
          <w:color w:val="000000"/>
          <w:sz w:val="22"/>
          <w:szCs w:val="22"/>
        </w:rPr>
        <w:t xml:space="preserve"> cт. 45 44-ФЗ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pPr>
        <w:pStyle w:val="Normal"/>
        <w:ind w:firstLine="540" w:right="0"/>
        <w:jc w:val="both"/>
        <w:rPr>
          <w:rFonts w:ascii="Times New Roman" w:hAnsi="Times New Roman" w:cs="Times New Roman"/>
          <w:color w:val="000000"/>
          <w:sz w:val="22"/>
          <w:szCs w:val="22"/>
        </w:rPr>
      </w:pPr>
      <w:r>
        <w:rPr>
          <w:color w:val="000000"/>
          <w:sz w:val="22"/>
          <w:szCs w:val="22"/>
          <w:u w:val="single"/>
        </w:rPr>
        <w:t>Независимая гарантия должна быть безотзывной и должна содержать:</w:t>
      </w:r>
    </w:p>
    <w:p>
      <w:pPr>
        <w:pStyle w:val="ConsPlusNormal1"/>
        <w:ind w:firstLine="540" w:left="0" w:right="0"/>
        <w:jc w:val="both"/>
        <w:rPr>
          <w:rFonts w:ascii="Times New Roman" w:hAnsi="Times New Roman" w:cs="Times New Roman"/>
          <w:color w:val="000000"/>
          <w:sz w:val="22"/>
          <w:szCs w:val="22"/>
        </w:rPr>
      </w:pPr>
      <w:r>
        <w:rPr>
          <w:rFonts w:cs="Times New Roman" w:ascii="Times New Roman" w:hAnsi="Times New Roman"/>
          <w:color w:val="000000"/>
          <w:sz w:val="22"/>
          <w:szCs w:val="22"/>
        </w:rPr>
        <w:t xml:space="preserve">1)  сумму независимой гарантии, подлежащую уплате гарантом заказчику в установленных </w:t>
      </w:r>
      <w:r>
        <w:fldChar w:fldCharType="begin"/>
      </w:r>
      <w:r>
        <w:rPr>
          <w:rStyle w:val="Hyperlink"/>
          <w:sz w:val="22"/>
          <w:szCs w:val="22"/>
          <w:rFonts w:cs="Times New Roman" w:ascii="Times New Roman" w:hAnsi="Times New Roman"/>
          <w:color w:val="000000"/>
        </w:rPr>
        <w:instrText xml:space="preserve"> HYPERLINK "https://internet.garant.ru/" \l "/document/70353464/entry/44"</w:instrText>
      </w:r>
      <w:r>
        <w:rPr>
          <w:rStyle w:val="Hyperlink"/>
          <w:sz w:val="22"/>
          <w:szCs w:val="22"/>
          <w:rFonts w:cs="Times New Roman" w:ascii="Times New Roman" w:hAnsi="Times New Roman"/>
          <w:color w:val="000000"/>
        </w:rPr>
        <w:fldChar w:fldCharType="separate"/>
      </w:r>
      <w:r>
        <w:rPr>
          <w:rStyle w:val="Hyperlink"/>
          <w:rFonts w:cs="Times New Roman" w:ascii="Times New Roman" w:hAnsi="Times New Roman"/>
          <w:color w:val="000000"/>
          <w:sz w:val="22"/>
          <w:szCs w:val="22"/>
        </w:rPr>
        <w:t>статьей 44</w:t>
      </w:r>
      <w:r>
        <w:rPr>
          <w:rStyle w:val="Hyperlink"/>
          <w:sz w:val="22"/>
          <w:szCs w:val="22"/>
          <w:rFonts w:cs="Times New Roman" w:ascii="Times New Roman" w:hAnsi="Times New Roman"/>
          <w:color w:val="000000"/>
        </w:rPr>
        <w:fldChar w:fldCharType="end"/>
      </w:r>
      <w:r>
        <w:rPr>
          <w:rFonts w:cs="Times New Roman" w:ascii="Times New Roman" w:hAnsi="Times New Roman"/>
          <w:color w:val="000000"/>
          <w:sz w:val="22"/>
          <w:szCs w:val="22"/>
        </w:rPr>
        <w:t xml:space="preserve">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r>
        <w:fldChar w:fldCharType="begin"/>
      </w:r>
      <w:r>
        <w:rPr>
          <w:rStyle w:val="Hyperlink"/>
          <w:sz w:val="22"/>
          <w:szCs w:val="22"/>
          <w:rFonts w:cs="Times New Roman" w:ascii="Times New Roman" w:hAnsi="Times New Roman"/>
          <w:color w:val="000000"/>
        </w:rPr>
        <w:instrText xml:space="preserve"> HYPERLINK "https://internet.garant.ru/" \l "/document/70353464/entry/96"</w:instrText>
      </w:r>
      <w:r>
        <w:rPr>
          <w:rStyle w:val="Hyperlink"/>
          <w:sz w:val="22"/>
          <w:szCs w:val="22"/>
          <w:rFonts w:cs="Times New Roman" w:ascii="Times New Roman" w:hAnsi="Times New Roman"/>
          <w:color w:val="000000"/>
        </w:rPr>
        <w:fldChar w:fldCharType="separate"/>
      </w:r>
      <w:r>
        <w:rPr>
          <w:rStyle w:val="Hyperlink"/>
          <w:rFonts w:cs="Times New Roman" w:ascii="Times New Roman" w:hAnsi="Times New Roman"/>
          <w:color w:val="000000"/>
          <w:sz w:val="22"/>
          <w:szCs w:val="22"/>
        </w:rPr>
        <w:t>статьей 96</w:t>
      </w:r>
      <w:r>
        <w:rPr>
          <w:rStyle w:val="Hyperlink"/>
          <w:sz w:val="22"/>
          <w:szCs w:val="22"/>
          <w:rFonts w:cs="Times New Roman" w:ascii="Times New Roman" w:hAnsi="Times New Roman"/>
          <w:color w:val="000000"/>
        </w:rPr>
        <w:fldChar w:fldCharType="end"/>
      </w:r>
      <w:r>
        <w:rPr>
          <w:rFonts w:cs="Times New Roman" w:ascii="Times New Roman" w:hAnsi="Times New Roman"/>
          <w:color w:val="000000"/>
          <w:sz w:val="22"/>
          <w:szCs w:val="22"/>
        </w:rPr>
        <w:t xml:space="preserve"> настоящего Федерального закона, а также идентификационный код закупки, при осуществлении которой предоставляется такая независимая гарантия;</w:t>
      </w:r>
    </w:p>
    <w:p>
      <w:pPr>
        <w:pStyle w:val="ConsPlusNormal1"/>
        <w:ind w:firstLine="540" w:left="0" w:right="0"/>
        <w:jc w:val="both"/>
        <w:rPr>
          <w:rFonts w:ascii="Times New Roman" w:hAnsi="Times New Roman" w:cs="Times New Roman"/>
          <w:color w:val="000000"/>
          <w:sz w:val="22"/>
          <w:szCs w:val="22"/>
        </w:rPr>
      </w:pPr>
      <w:r>
        <w:rPr>
          <w:rFonts w:cs="Times New Roman" w:ascii="Times New Roman" w:hAnsi="Times New Roman"/>
          <w:color w:val="000000"/>
          <w:sz w:val="22"/>
          <w:szCs w:val="22"/>
        </w:rPr>
        <w:t>2) обязательства принципала, надлежащее исполнение которых обеспечивается независимой гарантией;</w:t>
      </w:r>
    </w:p>
    <w:p>
      <w:pPr>
        <w:pStyle w:val="ConsPlusNormal1"/>
        <w:ind w:firstLine="540" w:left="0" w:right="0"/>
        <w:jc w:val="both"/>
        <w:rPr>
          <w:rFonts w:ascii="Times New Roman" w:hAnsi="Times New Roman" w:cs="Times New Roman"/>
          <w:color w:val="000000"/>
          <w:sz w:val="22"/>
          <w:szCs w:val="22"/>
        </w:rPr>
      </w:pPr>
      <w:r>
        <w:rPr>
          <w:rFonts w:cs="Times New Roman" w:ascii="Times New Roman" w:hAnsi="Times New Roman"/>
          <w:color w:val="000000"/>
          <w:sz w:val="22"/>
          <w:szCs w:val="22"/>
        </w:rPr>
        <w:t>3) обязанность гаранта уплатить заказчику неустойку в размере 0,1 процента денежной суммы, подлежащей уплате, за каждый день просрочки;</w:t>
      </w:r>
    </w:p>
    <w:p>
      <w:pPr>
        <w:pStyle w:val="ConsPlusNormal1"/>
        <w:ind w:firstLine="540" w:left="0" w:right="0"/>
        <w:jc w:val="both"/>
        <w:rPr>
          <w:rFonts w:ascii="Times New Roman" w:hAnsi="Times New Roman" w:cs="Times New Roman"/>
          <w:color w:val="000000"/>
          <w:sz w:val="22"/>
          <w:szCs w:val="22"/>
        </w:rPr>
      </w:pPr>
      <w:r>
        <w:rPr>
          <w:rFonts w:cs="Times New Roman" w:ascii="Times New Roman" w:hAnsi="Times New Roman"/>
          <w:color w:val="000000"/>
          <w:sz w:val="22"/>
          <w:szCs w:val="22"/>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pPr>
        <w:pStyle w:val="ConsPlusNormal1"/>
        <w:ind w:firstLine="540" w:left="0" w:right="0"/>
        <w:jc w:val="both"/>
        <w:rPr>
          <w:rFonts w:ascii="Times New Roman" w:hAnsi="Times New Roman" w:cs="Times New Roman"/>
          <w:color w:val="000000"/>
          <w:sz w:val="22"/>
          <w:szCs w:val="22"/>
        </w:rPr>
      </w:pPr>
      <w:r>
        <w:rPr>
          <w:rFonts w:cs="Times New Roman" w:ascii="Times New Roman" w:hAnsi="Times New Roman"/>
          <w:color w:val="000000"/>
          <w:sz w:val="22"/>
          <w:szCs w:val="22"/>
        </w:rPr>
        <w:t xml:space="preserve">5) срок действия независимой гарантии с учетом требований </w:t>
      </w:r>
      <w:hyperlink w:anchor="Par1203" w:tgtFrame="_blank">
        <w:r>
          <w:rPr>
            <w:rStyle w:val="Hyperlink"/>
            <w:rFonts w:cs="Times New Roman" w:ascii="Times New Roman" w:hAnsi="Times New Roman"/>
            <w:color w:val="000000"/>
            <w:sz w:val="22"/>
            <w:szCs w:val="22"/>
          </w:rPr>
          <w:t>статей 44</w:t>
        </w:r>
      </w:hyperlink>
      <w:r>
        <w:rPr>
          <w:rFonts w:cs="Times New Roman" w:ascii="Times New Roman" w:hAnsi="Times New Roman"/>
          <w:color w:val="000000"/>
          <w:sz w:val="22"/>
          <w:szCs w:val="22"/>
        </w:rPr>
        <w:t xml:space="preserve"> и </w:t>
      </w:r>
      <w:hyperlink w:anchor="Par2301" w:tgtFrame="_blank">
        <w:r>
          <w:rPr>
            <w:rStyle w:val="Hyperlink"/>
            <w:rFonts w:cs="Times New Roman" w:ascii="Times New Roman" w:hAnsi="Times New Roman"/>
            <w:color w:val="000000"/>
            <w:sz w:val="22"/>
            <w:szCs w:val="22"/>
          </w:rPr>
          <w:t>96</w:t>
        </w:r>
      </w:hyperlink>
      <w:r>
        <w:rPr>
          <w:rFonts w:cs="Times New Roman" w:ascii="Times New Roman" w:hAnsi="Times New Roman"/>
          <w:color w:val="000000"/>
          <w:sz w:val="22"/>
          <w:szCs w:val="22"/>
        </w:rPr>
        <w:t xml:space="preserve"> настоящего Федерального закона;</w:t>
      </w:r>
    </w:p>
    <w:p>
      <w:pPr>
        <w:pStyle w:val="ConsPlusNormal1"/>
        <w:ind w:firstLine="540" w:left="0" w:right="0"/>
        <w:jc w:val="both"/>
        <w:rPr>
          <w:rFonts w:ascii="Times New Roman" w:hAnsi="Times New Roman" w:cs="Times New Roman"/>
          <w:color w:val="000000"/>
          <w:sz w:val="22"/>
          <w:szCs w:val="22"/>
        </w:rPr>
      </w:pPr>
      <w:r>
        <w:rPr>
          <w:rFonts w:cs="Times New Roman" w:ascii="Times New Roman" w:hAnsi="Times New Roman"/>
          <w:color w:val="000000"/>
          <w:sz w:val="22"/>
          <w:szCs w:val="22"/>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pPr>
        <w:pStyle w:val="ConsPlusNormal1"/>
        <w:ind w:firstLine="540" w:left="0" w:right="0"/>
        <w:jc w:val="both"/>
        <w:rPr>
          <w:color w:val="000000"/>
          <w:sz w:val="22"/>
          <w:szCs w:val="22"/>
        </w:rPr>
      </w:pPr>
      <w:r>
        <w:rPr>
          <w:rFonts w:cs="Times New Roman" w:ascii="Times New Roman" w:hAnsi="Times New Roman"/>
          <w:color w:val="000000"/>
          <w:sz w:val="22"/>
          <w:szCs w:val="22"/>
        </w:rPr>
        <w:t xml:space="preserve">7) установленный Правительством Российской Федерации </w:t>
      </w:r>
      <w:hyperlink r:id="rId12">
        <w:r>
          <w:rPr>
            <w:rStyle w:val="Hyperlink"/>
            <w:rFonts w:cs="Times New Roman" w:ascii="Times New Roman" w:hAnsi="Times New Roman"/>
            <w:color w:val="000000"/>
            <w:sz w:val="22"/>
            <w:szCs w:val="22"/>
          </w:rPr>
          <w:t>перечень</w:t>
        </w:r>
      </w:hyperlink>
      <w:r>
        <w:rPr>
          <w:rFonts w:cs="Times New Roman" w:ascii="Times New Roman" w:hAnsi="Times New Roman"/>
          <w:color w:val="000000"/>
          <w:sz w:val="22"/>
          <w:szCs w:val="22"/>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pPr>
        <w:pStyle w:val="Normal"/>
        <w:jc w:val="both"/>
        <w:rPr>
          <w:color w:val="000000"/>
          <w:sz w:val="22"/>
          <w:szCs w:val="22"/>
        </w:rPr>
      </w:pPr>
      <w:r>
        <w:rPr>
          <w:color w:val="000000"/>
          <w:sz w:val="22"/>
          <w:szCs w:val="22"/>
        </w:rPr>
        <w:tab/>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Normal"/>
        <w:jc w:val="both"/>
        <w:rPr>
          <w:color w:val="000000"/>
          <w:sz w:val="22"/>
          <w:szCs w:val="22"/>
        </w:rPr>
      </w:pPr>
      <w:r>
        <w:rPr>
          <w:color w:val="000000"/>
          <w:sz w:val="22"/>
          <w:szCs w:val="22"/>
        </w:rPr>
        <w:tab/>
        <w:t xml:space="preserve">Уменьшение в соответствии с </w:t>
      </w:r>
      <w:hyperlink w:anchor="Par2347" w:tgtFrame="_blank">
        <w:r>
          <w:rPr>
            <w:rStyle w:val="Hyperlink"/>
            <w:color w:val="000000"/>
            <w:sz w:val="22"/>
            <w:szCs w:val="22"/>
          </w:rPr>
          <w:t>частями 7</w:t>
        </w:r>
      </w:hyperlink>
      <w:r>
        <w:rPr>
          <w:color w:val="000000"/>
          <w:sz w:val="22"/>
          <w:szCs w:val="22"/>
        </w:rPr>
        <w:t xml:space="preserve"> и </w:t>
      </w:r>
      <w:hyperlink w:anchor="Par2349" w:tgtFrame="_blank">
        <w:r>
          <w:rPr>
            <w:rStyle w:val="Hyperlink"/>
            <w:color w:val="000000"/>
            <w:sz w:val="22"/>
            <w:szCs w:val="22"/>
          </w:rPr>
          <w:t>7.1 статьи 96</w:t>
        </w:r>
      </w:hyperlink>
      <w:r>
        <w:rPr>
          <w:color w:val="000000"/>
          <w:sz w:val="22"/>
          <w:szCs w:val="22"/>
        </w:rPr>
        <w:t xml:space="preserve">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ar2351" w:tgtFrame="_blank">
        <w:r>
          <w:rPr>
            <w:rStyle w:val="Hyperlink"/>
            <w:color w:val="000000"/>
            <w:sz w:val="22"/>
            <w:szCs w:val="22"/>
          </w:rPr>
          <w:t>частью 7.2 статьи 96</w:t>
        </w:r>
      </w:hyperlink>
      <w:r>
        <w:rPr>
          <w:color w:val="000000"/>
          <w:sz w:val="22"/>
          <w:szCs w:val="22"/>
        </w:rPr>
        <w:t xml:space="preserve"> 44-ФЗ информации в соответствующий реестр контрактов, предусмотренный </w:t>
      </w:r>
      <w:hyperlink w:anchor="Par2563" w:tgtFrame="_blank">
        <w:r>
          <w:rPr>
            <w:rStyle w:val="Hyperlink"/>
            <w:color w:val="000000"/>
            <w:sz w:val="22"/>
            <w:szCs w:val="22"/>
          </w:rPr>
          <w:t>статьей 103</w:t>
        </w:r>
      </w:hyperlink>
      <w:r>
        <w:rPr>
          <w:color w:val="000000"/>
          <w:sz w:val="22"/>
          <w:szCs w:val="22"/>
        </w:rPr>
        <w:t xml:space="preserve"> 44-ФЗ.</w:t>
      </w:r>
    </w:p>
    <w:p>
      <w:pPr>
        <w:pStyle w:val="Normal"/>
        <w:jc w:val="both"/>
        <w:rPr>
          <w:color w:val="000000"/>
          <w:sz w:val="22"/>
          <w:szCs w:val="22"/>
        </w:rPr>
      </w:pPr>
      <w:r>
        <w:rPr>
          <w:color w:val="000000"/>
          <w:sz w:val="22"/>
          <w:szCs w:val="22"/>
        </w:rPr>
        <w:tab/>
        <w:t>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pPr>
        <w:pStyle w:val="Normal"/>
        <w:jc w:val="both"/>
        <w:rPr>
          <w:color w:val="000000"/>
          <w:sz w:val="22"/>
          <w:szCs w:val="22"/>
        </w:rPr>
      </w:pPr>
      <w:r>
        <w:rPr>
          <w:color w:val="000000"/>
          <w:sz w:val="22"/>
          <w:szCs w:val="22"/>
        </w:rPr>
        <w:tab/>
        <w:t>Основанием для отказа в принятии независимой гарантии заказчиком является:</w:t>
      </w:r>
      <w:bookmarkStart w:id="2" w:name="Par1314"/>
      <w:bookmarkEnd w:id="2"/>
      <w:r>
        <w:rPr>
          <w:color w:val="000000"/>
          <w:sz w:val="22"/>
          <w:szCs w:val="22"/>
        </w:rPr>
        <w:t xml:space="preserve">1) отсутствие информации о независимой гарантии в предусмотренных настоящей статьей реестрах независимых гарантий; 2) несоответствие независимой гарантии требованиям, предусмотренным </w:t>
      </w:r>
      <w:hyperlink w:anchor="Par1288" w:tgtFrame="_blank">
        <w:r>
          <w:rPr>
            <w:rStyle w:val="Hyperlink"/>
            <w:color w:val="000000"/>
            <w:sz w:val="22"/>
            <w:szCs w:val="22"/>
          </w:rPr>
          <w:t>частями 2</w:t>
        </w:r>
      </w:hyperlink>
      <w:r>
        <w:rPr>
          <w:color w:val="000000"/>
          <w:sz w:val="22"/>
          <w:szCs w:val="22"/>
        </w:rPr>
        <w:t xml:space="preserve">, </w:t>
      </w:r>
      <w:hyperlink w:anchor="Par1304" w:tgtFrame="_blank">
        <w:r>
          <w:rPr>
            <w:rStyle w:val="Hyperlink"/>
            <w:color w:val="000000"/>
            <w:sz w:val="22"/>
            <w:szCs w:val="22"/>
          </w:rPr>
          <w:t>3</w:t>
        </w:r>
      </w:hyperlink>
      <w:r>
        <w:rPr>
          <w:color w:val="000000"/>
          <w:sz w:val="22"/>
          <w:szCs w:val="22"/>
        </w:rPr>
        <w:t xml:space="preserve"> и </w:t>
      </w:r>
      <w:hyperlink w:anchor="Par1326" w:tgtFrame="_blank">
        <w:r>
          <w:rPr>
            <w:rStyle w:val="Hyperlink"/>
            <w:color w:val="000000"/>
            <w:sz w:val="22"/>
            <w:szCs w:val="22"/>
          </w:rPr>
          <w:t>8.2</w:t>
        </w:r>
      </w:hyperlink>
      <w:r>
        <w:rPr>
          <w:color w:val="000000"/>
          <w:sz w:val="22"/>
          <w:szCs w:val="22"/>
        </w:rPr>
        <w:t xml:space="preserve"> настоящей статьи; 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pPr>
        <w:pStyle w:val="Normal"/>
        <w:jc w:val="both"/>
        <w:rPr>
          <w:color w:val="000000"/>
          <w:sz w:val="22"/>
          <w:szCs w:val="22"/>
        </w:rPr>
      </w:pPr>
      <w:r>
        <w:rPr>
          <w:color w:val="000000"/>
          <w:sz w:val="22"/>
          <w:szCs w:val="22"/>
        </w:rPr>
        <w:tab/>
        <w:t xml:space="preserve">В случае отказа в принятии независимой гарантии заказчик в срок, установленный </w:t>
      </w:r>
      <w:hyperlink w:anchor="Par1310" w:tgtFrame="_blank">
        <w:r>
          <w:rPr>
            <w:rStyle w:val="Hyperlink"/>
            <w:color w:val="000000"/>
            <w:sz w:val="22"/>
            <w:szCs w:val="22"/>
          </w:rPr>
          <w:t>частью 5</w:t>
        </w:r>
      </w:hyperlink>
      <w:r>
        <w:rPr>
          <w:color w:val="000000"/>
          <w:sz w:val="22"/>
          <w:szCs w:val="22"/>
        </w:rPr>
        <w:t xml:space="preserve"> ст. 45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pPr>
        <w:pStyle w:val="Normal"/>
        <w:jc w:val="both"/>
        <w:rPr>
          <w:rFonts w:eastAsia="Calibri"/>
          <w:color w:val="000000"/>
          <w:sz w:val="22"/>
          <w:szCs w:val="22"/>
          <w:lang w:eastAsia="en-US"/>
        </w:rPr>
      </w:pPr>
      <w:r>
        <w:rPr>
          <w:color w:val="000000"/>
          <w:sz w:val="22"/>
          <w:szCs w:val="22"/>
        </w:rPr>
        <w:tab/>
        <w:t xml:space="preserve">Независимая гарантия, используемая для целей настоящего Федерального закона, информация о ней и документы, предусмотренные </w:t>
      </w:r>
      <w:hyperlink w:anchor="Par1328" w:tgtFrame="_blank">
        <w:r>
          <w:rPr>
            <w:rStyle w:val="Hyperlink"/>
            <w:color w:val="000000"/>
            <w:sz w:val="22"/>
            <w:szCs w:val="22"/>
          </w:rPr>
          <w:t>частью 9</w:t>
        </w:r>
      </w:hyperlink>
      <w:r>
        <w:rPr>
          <w:color w:val="000000"/>
          <w:sz w:val="22"/>
          <w:szCs w:val="22"/>
        </w:rPr>
        <w:t xml:space="preserve"> ст. 45 44-ФЗ,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anchor="Par1324" w:tgtFrame="_blank">
        <w:r>
          <w:rPr>
            <w:rStyle w:val="Hyperlink"/>
            <w:color w:val="000000"/>
            <w:sz w:val="22"/>
            <w:szCs w:val="22"/>
          </w:rPr>
          <w:t>части 8.1</w:t>
        </w:r>
      </w:hyperlink>
      <w:r>
        <w:rPr>
          <w:color w:val="000000"/>
          <w:sz w:val="22"/>
          <w:szCs w:val="22"/>
        </w:rPr>
        <w:t xml:space="preserve"> ст. 45 44-ФЗ. Ведение такого реестра осуществляется путем включения в соответствии с порядком, предусмотренным </w:t>
      </w:r>
      <w:hyperlink w:anchor="Par1326" w:tgtFrame="_blank">
        <w:r>
          <w:rPr>
            <w:rStyle w:val="Hyperlink"/>
            <w:color w:val="000000"/>
            <w:sz w:val="22"/>
            <w:szCs w:val="22"/>
          </w:rPr>
          <w:t>частью 8.2</w:t>
        </w:r>
      </w:hyperlink>
      <w:r>
        <w:rPr>
          <w:color w:val="000000"/>
          <w:sz w:val="22"/>
          <w:szCs w:val="22"/>
        </w:rPr>
        <w:t xml:space="preserve"> ст. 45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pPr>
        <w:pStyle w:val="Normal"/>
        <w:ind w:firstLine="709" w:right="0"/>
        <w:jc w:val="both"/>
        <w:rPr>
          <w:sz w:val="22"/>
          <w:szCs w:val="22"/>
        </w:rPr>
      </w:pPr>
      <w:r>
        <w:rPr>
          <w:rFonts w:eastAsia="Calibri"/>
          <w:color w:val="000000"/>
          <w:sz w:val="22"/>
          <w:szCs w:val="22"/>
          <w:lang w:eastAsia="en-US"/>
        </w:rPr>
        <w:t xml:space="preserve">Срок действия </w:t>
      </w:r>
      <w:r>
        <w:rPr>
          <w:color w:val="000000"/>
          <w:sz w:val="22"/>
          <w:szCs w:val="22"/>
        </w:rPr>
        <w:t>независимой гарантии</w:t>
      </w:r>
      <w:r>
        <w:rPr>
          <w:rFonts w:eastAsia="Calibri"/>
          <w:color w:val="000000"/>
          <w:sz w:val="22"/>
          <w:szCs w:val="22"/>
          <w:lang w:eastAsia="en-US"/>
        </w:rPr>
        <w:t xml:space="preserve"> должен превышать </w:t>
      </w:r>
      <w:r>
        <w:rPr>
          <w:rFonts w:eastAsia="Calibri"/>
          <w:bCs/>
          <w:color w:val="000000"/>
          <w:sz w:val="22"/>
          <w:szCs w:val="22"/>
          <w:lang w:eastAsia="en-US"/>
        </w:rPr>
        <w:t xml:space="preserve">предусмотренный контрактом срок исполнения обязательств, которые должны быть обеспечены такой </w:t>
      </w:r>
      <w:r>
        <w:rPr>
          <w:color w:val="000000"/>
          <w:sz w:val="22"/>
          <w:szCs w:val="22"/>
        </w:rPr>
        <w:t>независимой гарантией</w:t>
      </w:r>
      <w:r>
        <w:rPr>
          <w:rFonts w:eastAsia="Calibri"/>
          <w:bCs/>
          <w:color w:val="000000"/>
          <w:sz w:val="22"/>
          <w:szCs w:val="22"/>
          <w:lang w:eastAsia="en-US"/>
        </w:rPr>
        <w:t>, не менее чем на один месяц, в том числе в случае его изменения в соотве</w:t>
      </w:r>
      <w:r>
        <w:rPr>
          <w:rFonts w:eastAsia="Calibri"/>
          <w:bCs/>
          <w:sz w:val="22"/>
          <w:szCs w:val="22"/>
          <w:lang w:eastAsia="en-US"/>
        </w:rPr>
        <w:t xml:space="preserve">тствии со </w:t>
      </w:r>
      <w:hyperlink r:id="rId13">
        <w:r>
          <w:rPr>
            <w:rStyle w:val="Hyperlink"/>
            <w:rFonts w:eastAsia="Calibri"/>
            <w:bCs/>
            <w:sz w:val="22"/>
            <w:szCs w:val="22"/>
            <w:lang w:eastAsia="en-US"/>
          </w:rPr>
          <w:t>статьей 95</w:t>
        </w:r>
      </w:hyperlink>
      <w:r>
        <w:rPr>
          <w:rFonts w:eastAsia="Calibri"/>
          <w:bCs/>
          <w:sz w:val="22"/>
          <w:szCs w:val="22"/>
          <w:lang w:eastAsia="en-US"/>
        </w:rPr>
        <w:t xml:space="preserve"> Федерального Закона №-44-ФЗ.</w:t>
      </w:r>
    </w:p>
    <w:p>
      <w:pPr>
        <w:pStyle w:val="Normal"/>
        <w:jc w:val="both"/>
        <w:rPr>
          <w:color w:val="000000"/>
          <w:sz w:val="22"/>
          <w:szCs w:val="22"/>
        </w:rPr>
      </w:pPr>
      <w:r>
        <w:rPr>
          <w:sz w:val="22"/>
          <w:szCs w:val="22"/>
        </w:rPr>
        <w:tab/>
        <w:t>5.3. Денежн</w:t>
      </w:r>
      <w:r>
        <w:rPr>
          <w:color w:val="000000"/>
          <w:sz w:val="22"/>
          <w:szCs w:val="22"/>
        </w:rPr>
        <w:t xml:space="preserve">ые средства, внесенные Исполнителем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r:id="rId14">
        <w:r>
          <w:rPr>
            <w:rStyle w:val="Hyperlink"/>
            <w:color w:val="000000"/>
            <w:sz w:val="22"/>
            <w:szCs w:val="22"/>
          </w:rPr>
          <w:t>пунктами 7.1</w:t>
        </w:r>
      </w:hyperlink>
      <w:r>
        <w:rPr>
          <w:color w:val="000000"/>
          <w:sz w:val="22"/>
          <w:szCs w:val="22"/>
        </w:rPr>
        <w:t>, 7</w:t>
      </w:r>
      <w:hyperlink r:id="rId15">
        <w:r>
          <w:rPr>
            <w:rStyle w:val="Hyperlink"/>
            <w:color w:val="000000"/>
            <w:sz w:val="22"/>
            <w:szCs w:val="22"/>
          </w:rPr>
          <w:t>.5</w:t>
        </w:r>
      </w:hyperlink>
      <w:r>
        <w:rPr>
          <w:color w:val="000000"/>
          <w:sz w:val="22"/>
          <w:szCs w:val="22"/>
        </w:rPr>
        <w:t xml:space="preserve"> и 7</w:t>
      </w:r>
      <w:hyperlink r:id="rId16">
        <w:r>
          <w:rPr>
            <w:rStyle w:val="Hyperlink"/>
            <w:color w:val="000000"/>
            <w:sz w:val="22"/>
            <w:szCs w:val="22"/>
          </w:rPr>
          <w:t>.6</w:t>
        </w:r>
      </w:hyperlink>
      <w:r>
        <w:rPr>
          <w:color w:val="000000"/>
          <w:sz w:val="22"/>
          <w:szCs w:val="22"/>
        </w:rPr>
        <w:t xml:space="preserve"> Контракта, возвращаются Исполнителю в срок не более 15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pPr>
        <w:pStyle w:val="Normal"/>
        <w:jc w:val="both"/>
        <w:rPr>
          <w:sz w:val="22"/>
          <w:szCs w:val="22"/>
        </w:rPr>
      </w:pPr>
      <w:r>
        <w:rPr>
          <w:color w:val="000000"/>
          <w:sz w:val="22"/>
          <w:szCs w:val="22"/>
        </w:rPr>
        <w:tab/>
        <w:t xml:space="preserve">5.4. </w:t>
      </w:r>
      <w:r>
        <w:rPr>
          <w:rFonts w:eastAsia="Calibri"/>
          <w:color w:val="000000"/>
          <w:sz w:val="22"/>
          <w:szCs w:val="22"/>
        </w:rPr>
        <w:t xml:space="preserve">В случае, если обеспечение исполнения контракта осуществляется путем предоставления </w:t>
      </w:r>
      <w:r>
        <w:rPr>
          <w:color w:val="000000"/>
          <w:sz w:val="22"/>
          <w:szCs w:val="22"/>
        </w:rPr>
        <w:t>независимой гарантии,</w:t>
      </w:r>
      <w:r>
        <w:rPr>
          <w:rFonts w:eastAsia="Calibri"/>
          <w:color w:val="000000"/>
          <w:sz w:val="22"/>
          <w:szCs w:val="22"/>
        </w:rPr>
        <w:t xml:space="preserve">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pPr>
        <w:pStyle w:val="Normal"/>
        <w:jc w:val="both"/>
        <w:rPr>
          <w:color w:val="000000"/>
          <w:sz w:val="22"/>
          <w:szCs w:val="22"/>
        </w:rPr>
      </w:pPr>
      <w:r>
        <w:rPr>
          <w:sz w:val="22"/>
          <w:szCs w:val="22"/>
        </w:rPr>
        <w:tab/>
        <w:t>5.5. В ходе исполнения контракта Исполнитель вправе изменить способ обеспечения исполнения контракта и</w:t>
      </w:r>
      <w:r>
        <w:rPr>
          <w:color w:val="000000"/>
          <w:sz w:val="22"/>
          <w:szCs w:val="22"/>
        </w:rPr>
        <w:t xml:space="preserve">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ar2351" w:tgtFrame="_blank">
        <w:r>
          <w:rPr>
            <w:rStyle w:val="Hyperlink"/>
            <w:color w:val="000000"/>
            <w:sz w:val="22"/>
            <w:szCs w:val="22"/>
          </w:rPr>
          <w:t>частями 7.2</w:t>
        </w:r>
      </w:hyperlink>
      <w:r>
        <w:rPr>
          <w:color w:val="000000"/>
          <w:sz w:val="22"/>
          <w:szCs w:val="22"/>
        </w:rPr>
        <w:t xml:space="preserve"> и </w:t>
      </w:r>
      <w:hyperlink w:anchor="Par2355" w:tgtFrame="_blank">
        <w:r>
          <w:rPr>
            <w:rStyle w:val="Hyperlink"/>
            <w:color w:val="000000"/>
            <w:sz w:val="22"/>
            <w:szCs w:val="22"/>
          </w:rPr>
          <w:t>7.3</w:t>
        </w:r>
      </w:hyperlink>
      <w:r>
        <w:rPr>
          <w:color w:val="000000"/>
          <w:sz w:val="22"/>
          <w:szCs w:val="22"/>
        </w:rPr>
        <w:t xml:space="preserve"> ст. 96 44-ФЗ.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(при их установлении в извещении о закупке) новое обеспечение гарантийных обязательств.</w:t>
      </w:r>
    </w:p>
    <w:p>
      <w:pPr>
        <w:pStyle w:val="Normal"/>
        <w:jc w:val="both"/>
        <w:rPr>
          <w:color w:val="000000"/>
          <w:sz w:val="22"/>
          <w:szCs w:val="22"/>
        </w:rPr>
      </w:pPr>
      <w:r>
        <w:rPr>
          <w:color w:val="000000"/>
          <w:sz w:val="22"/>
          <w:szCs w:val="22"/>
        </w:rPr>
        <w:tab/>
        <w:t xml:space="preserve">5.6.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w:anchor="Par2563" w:tgtFrame="_blank">
        <w:r>
          <w:rPr>
            <w:rStyle w:val="Hyperlink"/>
            <w:color w:val="000000"/>
            <w:sz w:val="22"/>
            <w:szCs w:val="22"/>
          </w:rPr>
          <w:t>статьей 103</w:t>
        </w:r>
      </w:hyperlink>
      <w:r>
        <w:rPr>
          <w:color w:val="000000"/>
          <w:sz w:val="22"/>
          <w:szCs w:val="22"/>
        </w:rPr>
        <w:t xml:space="preserve">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w:t>
      </w:r>
      <w:hyperlink w:anchor="Par956" w:tgtFrame="_blank">
        <w:r>
          <w:rPr>
            <w:rStyle w:val="Hyperlink"/>
            <w:color w:val="000000"/>
            <w:sz w:val="22"/>
            <w:szCs w:val="22"/>
          </w:rPr>
          <w:t>частью 27 статьи 34</w:t>
        </w:r>
      </w:hyperlink>
      <w:r>
        <w:rPr>
          <w:color w:val="000000"/>
          <w:sz w:val="22"/>
          <w:szCs w:val="22"/>
        </w:rPr>
        <w:t xml:space="preserve">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pPr>
        <w:pStyle w:val="Normal"/>
        <w:jc w:val="both"/>
        <w:rPr>
          <w:sz w:val="22"/>
          <w:szCs w:val="22"/>
        </w:rPr>
      </w:pPr>
      <w:r>
        <w:rPr>
          <w:color w:val="000000"/>
          <w:sz w:val="22"/>
          <w:szCs w:val="22"/>
        </w:rPr>
        <w:tab/>
        <w:t xml:space="preserve">5.7. Предусмотренное </w:t>
      </w:r>
      <w:hyperlink w:anchor="Par2347" w:tgtFrame="_blank">
        <w:r>
          <w:rPr>
            <w:rStyle w:val="Hyperlink"/>
            <w:color w:val="000000"/>
            <w:sz w:val="22"/>
            <w:szCs w:val="22"/>
          </w:rPr>
          <w:t>частями 7</w:t>
        </w:r>
      </w:hyperlink>
      <w:r>
        <w:rPr>
          <w:color w:val="000000"/>
          <w:sz w:val="22"/>
          <w:szCs w:val="22"/>
        </w:rPr>
        <w:t xml:space="preserve"> и </w:t>
      </w:r>
      <w:hyperlink w:anchor="Par2349" w:tgtFrame="_blank">
        <w:r>
          <w:rPr>
            <w:rStyle w:val="Hyperlink"/>
            <w:color w:val="000000"/>
            <w:sz w:val="22"/>
            <w:szCs w:val="22"/>
          </w:rPr>
          <w:t>7.1</w:t>
        </w:r>
      </w:hyperlink>
      <w:r>
        <w:rPr>
          <w:color w:val="000000"/>
          <w:sz w:val="22"/>
          <w:szCs w:val="22"/>
        </w:rPr>
        <w:t xml:space="preserve"> ст. 96 44-ФЗ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настоящим Федеральным закон</w:t>
      </w:r>
      <w:r>
        <w:rPr>
          <w:sz w:val="22"/>
          <w:szCs w:val="22"/>
        </w:rPr>
        <w:t>ом, а также приемки Заказчиком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pPr>
        <w:pStyle w:val="Normal"/>
        <w:jc w:val="both"/>
        <w:rPr>
          <w:sz w:val="22"/>
          <w:szCs w:val="22"/>
        </w:rPr>
      </w:pPr>
      <w:r>
        <w:rPr>
          <w:sz w:val="22"/>
          <w:szCs w:val="22"/>
        </w:rPr>
        <w:tab/>
        <w:t xml:space="preserve">5.8. </w:t>
      </w:r>
      <w:r>
        <w:rPr>
          <w:rFonts w:eastAsia="Calibri"/>
          <w:sz w:val="22"/>
          <w:szCs w:val="22"/>
          <w:lang w:eastAsia="en-US"/>
        </w:rPr>
        <w:t xml:space="preserve">В случае отзыва в соответствии с </w:t>
      </w:r>
      <w:hyperlink r:id="rId17">
        <w:r>
          <w:rPr>
            <w:rStyle w:val="Hyperlink"/>
            <w:rFonts w:eastAsia="Calibri"/>
            <w:sz w:val="22"/>
            <w:szCs w:val="22"/>
            <w:lang w:eastAsia="en-US"/>
          </w:rPr>
          <w:t>законодательством</w:t>
        </w:r>
      </w:hyperlink>
      <w:r>
        <w:rPr>
          <w:rFonts w:eastAsia="Calibri"/>
          <w:sz w:val="22"/>
          <w:szCs w:val="22"/>
          <w:lang w:eastAsia="en-US"/>
        </w:rPr>
        <w:t xml:space="preserve"> Российской Федерации у банка, предоставившего </w:t>
      </w:r>
      <w:r>
        <w:rPr>
          <w:sz w:val="22"/>
          <w:szCs w:val="22"/>
        </w:rPr>
        <w:t>независимую гарантию</w:t>
      </w:r>
      <w:r>
        <w:rPr>
          <w:rFonts w:eastAsia="Calibri"/>
          <w:sz w:val="22"/>
          <w:szCs w:val="22"/>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pPr>
        <w:pStyle w:val="Normal"/>
        <w:jc w:val="both"/>
        <w:rPr>
          <w:sz w:val="22"/>
          <w:szCs w:val="22"/>
        </w:rPr>
      </w:pPr>
      <w:r>
        <w:rPr>
          <w:sz w:val="22"/>
          <w:szCs w:val="22"/>
        </w:rPr>
        <w:tab/>
        <w:t>5.9.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Исполнителя требование обеспечения исполнения контракта установлено в соответствии со статьей 96 Федерального закона о контрактной системе. При этом:1) размер обеспечения может быть уменьшен в порядке и случаях, предусмотренных частями 7 - 7.3 статьи 96 Федерального закона о контрактной системе; 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 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 4)</w:t>
      </w:r>
      <w:r>
        <w:rPr>
          <w:b w:val="false"/>
          <w:bCs w:val="false"/>
          <w:sz w:val="22"/>
          <w:szCs w:val="22"/>
        </w:rPr>
        <w:t xml:space="preserve">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 </w:t>
      </w:r>
    </w:p>
    <w:p>
      <w:pPr>
        <w:pStyle w:val="Normal"/>
        <w:ind w:firstLine="709" w:right="0"/>
        <w:jc w:val="both"/>
        <w:rPr>
          <w:color w:val="000000"/>
          <w:sz w:val="22"/>
          <w:szCs w:val="22"/>
        </w:rPr>
      </w:pPr>
      <w:r>
        <w:rPr>
          <w:sz w:val="22"/>
          <w:szCs w:val="22"/>
        </w:rPr>
        <w:t>В случае уменьшения в соответствии со статьей 95 Федерального закона о контрактной системе цены контракта Заказчик возвращает Исполнителю денежные средства в размере, пропорциональном размеру такого уменьшения цены контракта. В случае изменения срока исполнения контракта в соответствии с частью 27 статьи 34 Федера</w:t>
      </w:r>
      <w:r>
        <w:rPr>
          <w:color w:val="000000"/>
          <w:sz w:val="22"/>
          <w:szCs w:val="22"/>
        </w:rPr>
        <w:t xml:space="preserve">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 </w:t>
      </w:r>
      <w:r>
        <w:rPr>
          <w:rFonts w:eastAsia="Calibri"/>
          <w:color w:val="000000"/>
          <w:sz w:val="22"/>
          <w:szCs w:val="22"/>
        </w:rPr>
        <w:t>В случае, если Исполнитель воспользовался правом, предусмотренным частью 8.1 статьи 96 Федерального закона № 44-ФЗ, нормы настоящего раздела не применяются.</w:t>
      </w:r>
    </w:p>
    <w:p>
      <w:pPr>
        <w:pStyle w:val="Normal"/>
        <w:jc w:val="both"/>
        <w:rPr>
          <w:color w:val="000000"/>
          <w:sz w:val="22"/>
          <w:szCs w:val="22"/>
        </w:rPr>
      </w:pPr>
      <w:r>
        <w:rPr>
          <w:color w:val="000000"/>
          <w:sz w:val="22"/>
          <w:szCs w:val="22"/>
        </w:rPr>
        <w:tab/>
        <w:t xml:space="preserve">5.10. </w:t>
      </w:r>
      <w:r>
        <w:rPr>
          <w:rFonts w:eastAsia="Calibri"/>
          <w:color w:val="000000"/>
          <w:sz w:val="22"/>
          <w:szCs w:val="22"/>
        </w:rPr>
        <w:t xml:space="preserve">В случае предоставления нового обеспечения исполнения контракта в соответствии с </w:t>
      </w:r>
      <w:hyperlink r:id="rId18">
        <w:r>
          <w:rPr>
            <w:rStyle w:val="Hyperlink"/>
            <w:rFonts w:eastAsia="Calibri"/>
            <w:color w:val="000000"/>
            <w:sz w:val="22"/>
            <w:szCs w:val="22"/>
          </w:rPr>
          <w:t>частью 30 статьи 34</w:t>
        </w:r>
      </w:hyperlink>
      <w:r>
        <w:rPr>
          <w:rFonts w:eastAsia="Calibri"/>
          <w:color w:val="000000"/>
          <w:sz w:val="22"/>
          <w:szCs w:val="22"/>
        </w:rPr>
        <w:t xml:space="preserve">, </w:t>
      </w:r>
      <w:hyperlink r:id="rId19">
        <w:r>
          <w:rPr>
            <w:rStyle w:val="Hyperlink"/>
            <w:rFonts w:eastAsia="Calibri"/>
            <w:color w:val="000000"/>
            <w:sz w:val="22"/>
            <w:szCs w:val="22"/>
          </w:rPr>
          <w:t>частью 7 статьи 96</w:t>
        </w:r>
      </w:hyperlink>
      <w:r>
        <w:rPr>
          <w:rFonts w:eastAsia="Calibri"/>
          <w:color w:val="000000"/>
          <w:sz w:val="22"/>
          <w:szCs w:val="22"/>
        </w:rPr>
        <w:t xml:space="preserve"> Федерального Закона  № 44-ФЗ возврат </w:t>
      </w:r>
      <w:r>
        <w:rPr>
          <w:color w:val="000000"/>
          <w:sz w:val="22"/>
          <w:szCs w:val="22"/>
        </w:rPr>
        <w:t>независимой гарантии</w:t>
      </w:r>
      <w:r>
        <w:rPr>
          <w:rFonts w:eastAsia="Calibri"/>
          <w:color w:val="000000"/>
          <w:sz w:val="22"/>
          <w:szCs w:val="22"/>
        </w:rPr>
        <w:t xml:space="preserve"> Заказчиком гаранту, предоставившему указанную </w:t>
      </w:r>
      <w:r>
        <w:rPr>
          <w:color w:val="000000"/>
          <w:sz w:val="22"/>
          <w:szCs w:val="22"/>
        </w:rPr>
        <w:t>независимую гарантию</w:t>
      </w:r>
      <w:r>
        <w:rPr>
          <w:rFonts w:eastAsia="Calibri"/>
          <w:color w:val="000000"/>
          <w:sz w:val="22"/>
          <w:szCs w:val="22"/>
        </w:rPr>
        <w:t>, не осуществляется, взыскание по ней не производится.</w:t>
      </w:r>
    </w:p>
    <w:p>
      <w:pPr>
        <w:pStyle w:val="Normal"/>
        <w:jc w:val="both"/>
        <w:rPr>
          <w:sz w:val="22"/>
          <w:szCs w:val="22"/>
        </w:rPr>
      </w:pPr>
      <w:r>
        <w:rPr>
          <w:color w:val="000000"/>
          <w:sz w:val="22"/>
          <w:szCs w:val="22"/>
        </w:rPr>
        <w:tab/>
        <w:t xml:space="preserve">5.11. Участник закупки, с которым заключается контракт по результатам определения Исполнителя в соответствии с </w:t>
      </w:r>
      <w:hyperlink w:anchor="Par724" w:tgtFrame="_blank">
        <w:r>
          <w:rPr>
            <w:rStyle w:val="Hyperlink"/>
            <w:color w:val="000000"/>
            <w:sz w:val="22"/>
            <w:szCs w:val="22"/>
          </w:rPr>
          <w:t>пунктом 1 части 1 статьи 30</w:t>
        </w:r>
      </w:hyperlink>
      <w:r>
        <w:rPr>
          <w:color w:val="000000"/>
          <w:sz w:val="22"/>
          <w:szCs w:val="22"/>
        </w:rPr>
        <w:t xml:space="preserve"> 44-ФЗ, освобождается от предоставления обеспечения исполнения контракта, в том числе с учетом положений </w:t>
      </w:r>
      <w:hyperlink w:anchor="Par985" w:tgtFrame="_blank">
        <w:r>
          <w:rPr>
            <w:rStyle w:val="Hyperlink"/>
            <w:color w:val="000000"/>
            <w:sz w:val="22"/>
            <w:szCs w:val="22"/>
          </w:rPr>
          <w:t>статьи 37</w:t>
        </w:r>
      </w:hyperlink>
      <w:r>
        <w:rPr>
          <w:color w:val="000000"/>
          <w:sz w:val="22"/>
          <w:szCs w:val="22"/>
        </w:rPr>
        <w:t xml:space="preserve">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w:t>
      </w:r>
      <w:r>
        <w:rPr>
          <w:sz w:val="22"/>
          <w:szCs w:val="22"/>
        </w:rPr>
        <w:t>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Normal"/>
        <w:jc w:val="both"/>
        <w:rPr>
          <w:sz w:val="22"/>
          <w:szCs w:val="22"/>
        </w:rPr>
      </w:pPr>
      <w:r>
        <w:rPr>
          <w:sz w:val="22"/>
          <w:szCs w:val="22"/>
        </w:rPr>
        <w:tab/>
        <w:t>5.12. Положения об обеспечении исполнения контракта , включая положения  о предоставлении такого обеспечения с учетом ста</w:t>
      </w:r>
      <w:r>
        <w:rPr>
          <w:b w:val="false"/>
          <w:bCs w:val="false"/>
          <w:sz w:val="22"/>
          <w:szCs w:val="22"/>
        </w:rPr>
        <w:t xml:space="preserve">тьи 37 </w:t>
      </w:r>
      <w:r>
        <w:rPr>
          <w:b w:val="false"/>
          <w:bCs w:val="false"/>
          <w:color w:val="000000"/>
          <w:sz w:val="22"/>
          <w:szCs w:val="22"/>
        </w:rPr>
        <w:t>44-ФЗ</w:t>
      </w:r>
      <w:r>
        <w:rPr>
          <w:b w:val="false"/>
          <w:bCs w:val="false"/>
          <w:sz w:val="22"/>
          <w:szCs w:val="22"/>
        </w:rPr>
        <w:t xml:space="preserve">  не применяются в случае заключения Контракта с участником закупки, который является казенным учреждением, при осуществлении закупки по предоставлению кредита, заключения бюджетным учреждением, госуд</w:t>
      </w:r>
      <w:r>
        <w:rPr>
          <w:sz w:val="22"/>
          <w:szCs w:val="22"/>
        </w:rPr>
        <w:t>арственным, муниципальным унитарными предприятиями контракта, предметом которого является выдача независимой гарантии.</w:t>
      </w:r>
    </w:p>
    <w:p>
      <w:pPr>
        <w:pStyle w:val="Normal"/>
        <w:jc w:val="both"/>
        <w:rPr>
          <w:sz w:val="22"/>
          <w:szCs w:val="22"/>
        </w:rPr>
      </w:pPr>
      <w:r>
        <w:rPr>
          <w:sz w:val="22"/>
          <w:szCs w:val="22"/>
        </w:rPr>
        <w:tab/>
        <w:t>5.13. В случае неисполнения или ненадлежащего исполнения Исполнителем своих обязательств по Контракту, Заказчик имеет право удержать сумму обеспечения исполнения Контракта в размере неустойки (штрафов, пеней) предъявленных Заказчиком (в случае, если обеспечением исполнения контракта является перечисление денежных средств на счет, который указан Заказчиком ина котором в соответствии с законодательством Российской Федерации учитываются операции со средствами, поступающими Заказчику), предоставленную в соответствии с Контрактом.</w:t>
      </w:r>
    </w:p>
    <w:p>
      <w:pPr>
        <w:pStyle w:val="Normal"/>
        <w:jc w:val="both"/>
        <w:rPr>
          <w:b/>
          <w:sz w:val="23"/>
          <w:szCs w:val="23"/>
        </w:rPr>
      </w:pPr>
      <w:r>
        <w:rPr>
          <w:sz w:val="22"/>
          <w:szCs w:val="22"/>
        </w:rPr>
        <w:tab/>
        <w:t xml:space="preserve">5.14. </w:t>
      </w:r>
      <w:r>
        <w:rPr>
          <w:rFonts w:eastAsia="Calibri" w:cs="Times New Roman"/>
          <w:b w:val="false"/>
          <w:bCs w:val="false"/>
          <w:i w:val="false"/>
          <w:iCs w:val="false"/>
          <w:color w:val="000000"/>
          <w:kern w:val="0"/>
          <w:sz w:val="22"/>
          <w:szCs w:val="22"/>
        </w:rPr>
        <w:t>Банковское сопровождение контракта в соответствии с требованиями Закона не предусмотрено.</w:t>
      </w:r>
    </w:p>
    <w:p>
      <w:pPr>
        <w:pStyle w:val="Normal"/>
        <w:jc w:val="center"/>
        <w:rPr>
          <w:b/>
          <w:sz w:val="23"/>
          <w:szCs w:val="23"/>
        </w:rPr>
      </w:pPr>
      <w:r>
        <w:rPr>
          <w:b/>
          <w:sz w:val="23"/>
          <w:szCs w:val="23"/>
        </w:rPr>
      </w:r>
    </w:p>
    <w:p>
      <w:pPr>
        <w:pStyle w:val="Normal"/>
        <w:jc w:val="center"/>
        <w:rPr>
          <w:sz w:val="23"/>
          <w:szCs w:val="23"/>
        </w:rPr>
      </w:pPr>
      <w:r>
        <w:rPr>
          <w:b/>
          <w:sz w:val="23"/>
          <w:szCs w:val="23"/>
        </w:rPr>
        <w:t>6. Порядок рассмотрения споров</w:t>
      </w:r>
    </w:p>
    <w:p>
      <w:pPr>
        <w:pStyle w:val="Normal"/>
        <w:ind w:firstLine="720" w:right="0"/>
        <w:jc w:val="both"/>
        <w:rPr>
          <w:color w:val="000000"/>
          <w:sz w:val="23"/>
          <w:szCs w:val="23"/>
        </w:rPr>
      </w:pPr>
      <w:r>
        <w:rPr>
          <w:sz w:val="23"/>
          <w:szCs w:val="23"/>
        </w:rPr>
        <w:t xml:space="preserve">6.1. </w:t>
      </w:r>
      <w:r>
        <w:rPr>
          <w:color w:val="000000"/>
          <w:sz w:val="23"/>
          <w:szCs w:val="23"/>
        </w:rPr>
        <w:t>Все споры и разногласия по настоящему контракту будут решаться в Арбитражном суде Владимирской области в порядке, установленном действующим законодательством.</w:t>
      </w:r>
    </w:p>
    <w:p>
      <w:pPr>
        <w:pStyle w:val="Normal"/>
        <w:ind w:firstLine="708" w:right="0"/>
        <w:jc w:val="both"/>
        <w:rPr>
          <w:color w:val="000000"/>
          <w:sz w:val="23"/>
          <w:szCs w:val="23"/>
        </w:rPr>
      </w:pPr>
      <w:r>
        <w:rPr>
          <w:color w:val="000000"/>
          <w:sz w:val="23"/>
          <w:szCs w:val="23"/>
        </w:rPr>
      </w:r>
    </w:p>
    <w:p>
      <w:pPr>
        <w:pStyle w:val="Normal"/>
        <w:jc w:val="center"/>
        <w:rPr>
          <w:b/>
          <w:bCs/>
          <w:sz w:val="23"/>
          <w:szCs w:val="23"/>
        </w:rPr>
      </w:pPr>
      <w:r>
        <w:rPr>
          <w:b/>
          <w:bCs/>
          <w:sz w:val="23"/>
          <w:szCs w:val="23"/>
        </w:rPr>
        <w:t>7. Порядок изменения и расторжения контракта</w:t>
      </w:r>
    </w:p>
    <w:p>
      <w:pPr>
        <w:pStyle w:val="Normal"/>
        <w:widowControl w:val="false"/>
        <w:ind w:firstLine="540" w:right="0"/>
        <w:jc w:val="both"/>
        <w:rPr>
          <w:rFonts w:eastAsia="Arial"/>
          <w:sz w:val="23"/>
          <w:szCs w:val="23"/>
        </w:rPr>
      </w:pPr>
      <w:r>
        <w:rPr>
          <w:b/>
          <w:bCs/>
          <w:sz w:val="23"/>
          <w:szCs w:val="23"/>
        </w:rPr>
        <w:tab/>
      </w:r>
      <w:r>
        <w:rPr>
          <w:sz w:val="23"/>
          <w:szCs w:val="23"/>
        </w:rPr>
        <w:t>7.1. Любые изменения и дополнения к настоящему контракту имеют силу, если они оформлены в письменном виде и подписаны обеими сторонами.</w:t>
      </w:r>
    </w:p>
    <w:p>
      <w:pPr>
        <w:pStyle w:val="Normal"/>
        <w:ind w:firstLine="540" w:right="0"/>
        <w:jc w:val="both"/>
        <w:rPr>
          <w:rFonts w:eastAsia="Arial"/>
          <w:color w:val="000000"/>
          <w:sz w:val="23"/>
          <w:szCs w:val="23"/>
        </w:rPr>
      </w:pPr>
      <w:r>
        <w:rPr>
          <w:rFonts w:eastAsia="Arial"/>
          <w:sz w:val="23"/>
          <w:szCs w:val="23"/>
        </w:rPr>
        <w:tab/>
        <w:t>7.2. В случае изменения у какой-либо из сторон юридического статуса, адреса, наименования или банковских реквизитов она обязана в течение пяти рабочих дней со дня возникновения изменений известить об этом другую сторону в письменном виде.</w:t>
      </w:r>
    </w:p>
    <w:p>
      <w:pPr>
        <w:pStyle w:val="Normal"/>
        <w:ind w:firstLine="540" w:right="0"/>
        <w:jc w:val="both"/>
        <w:rPr>
          <w:rFonts w:eastAsia="Calibri"/>
          <w:bCs/>
          <w:color w:val="000000"/>
          <w:sz w:val="23"/>
          <w:szCs w:val="23"/>
        </w:rPr>
      </w:pPr>
      <w:r>
        <w:rPr>
          <w:rFonts w:eastAsia="Arial"/>
          <w:color w:val="000000"/>
          <w:sz w:val="23"/>
          <w:szCs w:val="23"/>
        </w:rPr>
        <w:tab/>
      </w:r>
      <w:r>
        <w:rPr>
          <w:color w:val="000000"/>
          <w:sz w:val="23"/>
          <w:szCs w:val="23"/>
        </w:rPr>
        <w:t xml:space="preserve">7.3.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Односторонний отказ осуществляется в соответствии с гражданским законодательством в порядке, определенном статьей 95 Федерального закона </w:t>
      </w:r>
      <w:r>
        <w:rPr>
          <w:sz w:val="23"/>
          <w:szCs w:val="23"/>
        </w:rPr>
        <w:t>от 05 апреля 2013 года № 44-ФЗ</w:t>
      </w:r>
      <w:r>
        <w:rPr>
          <w:color w:val="000000"/>
          <w:sz w:val="23"/>
          <w:szCs w:val="23"/>
        </w:rPr>
        <w:t>.</w:t>
      </w:r>
    </w:p>
    <w:p>
      <w:pPr>
        <w:pStyle w:val="Normal"/>
        <w:widowControl w:val="false"/>
        <w:ind w:firstLine="540" w:right="-1"/>
        <w:jc w:val="both"/>
        <w:rPr>
          <w:rFonts w:eastAsia="Calibri"/>
          <w:bCs/>
          <w:sz w:val="23"/>
          <w:szCs w:val="23"/>
        </w:rPr>
      </w:pPr>
      <w:bookmarkStart w:id="3" w:name="Par21"/>
      <w:bookmarkEnd w:id="3"/>
      <w:r>
        <w:rPr>
          <w:rFonts w:eastAsia="Calibri"/>
          <w:bCs/>
          <w:color w:val="000000"/>
          <w:sz w:val="23"/>
          <w:szCs w:val="23"/>
        </w:rPr>
        <w:tab/>
      </w:r>
      <w:r>
        <w:rPr>
          <w:rFonts w:eastAsia="Calibri"/>
          <w:bCs/>
          <w:sz w:val="23"/>
          <w:szCs w:val="23"/>
        </w:rPr>
        <w:t xml:space="preserve">7.4. Решение Заказчика об одностороннем отказе от исполнения контракта в течение одного рабочего дня, следующего за датой принятия указанного решения,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Выполнение Заказчиком указанных требований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 в сфере закупок. </w:t>
      </w:r>
    </w:p>
    <w:p>
      <w:pPr>
        <w:pStyle w:val="Normal"/>
        <w:widowControl w:val="false"/>
        <w:ind w:firstLine="540" w:right="-1"/>
        <w:jc w:val="both"/>
        <w:rPr>
          <w:rFonts w:eastAsia="Calibri"/>
          <w:bCs/>
          <w:sz w:val="23"/>
          <w:szCs w:val="23"/>
        </w:rPr>
      </w:pPr>
      <w:r>
        <w:rPr>
          <w:rFonts w:eastAsia="Calibri"/>
          <w:bCs/>
          <w:sz w:val="23"/>
          <w:szCs w:val="23"/>
        </w:rPr>
        <w:tab/>
        <w:t>7.5.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widowControl w:val="false"/>
        <w:ind w:firstLine="540" w:right="-1"/>
        <w:jc w:val="both"/>
        <w:rPr>
          <w:rFonts w:eastAsia="Calibri"/>
          <w:bCs/>
          <w:sz w:val="23"/>
          <w:szCs w:val="23"/>
        </w:rPr>
      </w:pPr>
      <w:r>
        <w:rPr>
          <w:rFonts w:eastAsia="Calibri"/>
          <w:bCs/>
          <w:sz w:val="23"/>
          <w:szCs w:val="23"/>
        </w:rPr>
        <w:tab/>
        <w:t>7.6.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послужившее основанием для принятия указанного решения.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pPr>
        <w:pStyle w:val="Normal"/>
        <w:widowControl w:val="false"/>
        <w:ind w:right="-1"/>
        <w:jc w:val="both"/>
        <w:rPr>
          <w:rFonts w:eastAsia="Calibri"/>
          <w:bCs/>
          <w:sz w:val="23"/>
          <w:szCs w:val="23"/>
        </w:rPr>
      </w:pPr>
      <w:bookmarkStart w:id="4" w:name="Par91"/>
      <w:bookmarkEnd w:id="4"/>
      <w:r>
        <w:rPr>
          <w:rFonts w:eastAsia="Calibri"/>
          <w:bCs/>
          <w:sz w:val="23"/>
          <w:szCs w:val="23"/>
        </w:rPr>
        <w:tab/>
        <w:t>7.7. В случае принятия Исполнителем решения об одностороннем отказе от исполнения контракта такое решение в течение одного рабочего дня, следующего за датой его принятия, направляется Заказчику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Исполнителем указанных требований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Исполнителем подтверждения о вручении Заказчику указанного уведомления.</w:t>
      </w:r>
    </w:p>
    <w:p>
      <w:pPr>
        <w:pStyle w:val="Normal"/>
        <w:widowControl w:val="false"/>
        <w:ind w:firstLine="540" w:right="-1"/>
        <w:jc w:val="both"/>
        <w:rPr>
          <w:rFonts w:eastAsia="Calibri"/>
          <w:bCs/>
          <w:sz w:val="23"/>
          <w:szCs w:val="23"/>
        </w:rPr>
      </w:pPr>
      <w:r>
        <w:rPr>
          <w:rFonts w:eastAsia="Calibri"/>
          <w:bCs/>
          <w:sz w:val="23"/>
          <w:szCs w:val="23"/>
        </w:rPr>
        <w:tab/>
        <w:t>7.8.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pPr>
        <w:pStyle w:val="Normal"/>
        <w:widowControl w:val="false"/>
        <w:ind w:firstLine="540" w:right="-1"/>
        <w:jc w:val="both"/>
        <w:rPr>
          <w:rFonts w:eastAsia="Calibri"/>
          <w:bCs/>
          <w:sz w:val="23"/>
          <w:szCs w:val="23"/>
        </w:rPr>
      </w:pPr>
      <w:r>
        <w:rPr>
          <w:rFonts w:eastAsia="Calibri"/>
          <w:bCs/>
          <w:sz w:val="23"/>
          <w:szCs w:val="23"/>
        </w:rPr>
        <w:tab/>
        <w:t>7.9.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pPr>
        <w:pStyle w:val="Normal"/>
        <w:widowControl w:val="false"/>
        <w:ind w:firstLine="540" w:right="-1"/>
        <w:jc w:val="both"/>
        <w:rPr>
          <w:rFonts w:eastAsia="Calibri"/>
          <w:bCs/>
          <w:sz w:val="23"/>
          <w:szCs w:val="23"/>
        </w:rPr>
      </w:pPr>
      <w:r>
        <w:rPr>
          <w:rFonts w:eastAsia="Calibri"/>
          <w:bCs/>
          <w:sz w:val="23"/>
          <w:szCs w:val="23"/>
        </w:rPr>
        <w:tab/>
        <w:t xml:space="preserve">7.10. При расторжении контракта в связи с односторонним отказом стороны контракта от его исполнения  другая сторона вправе потребовать возмещения только фактически понесенного </w:t>
      </w:r>
    </w:p>
    <w:p>
      <w:pPr>
        <w:pStyle w:val="Normal"/>
        <w:widowControl w:val="false"/>
        <w:ind w:right="-1"/>
        <w:jc w:val="both"/>
        <w:rPr>
          <w:rFonts w:eastAsia="Calibri"/>
          <w:bCs/>
          <w:sz w:val="23"/>
          <w:szCs w:val="23"/>
        </w:rPr>
      </w:pPr>
      <w:r>
        <w:rPr>
          <w:rFonts w:eastAsia="Calibri"/>
          <w:bCs/>
          <w:sz w:val="23"/>
          <w:szCs w:val="23"/>
        </w:rPr>
        <w:t>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Normal"/>
        <w:widowControl w:val="false"/>
        <w:ind w:firstLine="540" w:right="-1"/>
        <w:jc w:val="both"/>
        <w:rPr>
          <w:rFonts w:eastAsia="Calibri"/>
          <w:bCs/>
          <w:sz w:val="23"/>
          <w:szCs w:val="23"/>
        </w:rPr>
      </w:pPr>
      <w:r>
        <w:rPr>
          <w:rFonts w:eastAsia="Calibri"/>
          <w:bCs/>
          <w:sz w:val="23"/>
          <w:szCs w:val="23"/>
        </w:rPr>
        <w:tab/>
        <w:t>7.11</w:t>
      </w:r>
      <w:r>
        <w:rPr>
          <w:sz w:val="23"/>
          <w:szCs w:val="23"/>
        </w:rPr>
        <w:t>. Контракт может быть расторгнут судом по требованию одной из сторон при существенном нарушении условий настоящего контракта другой стороной или в иных случаях, предусмотренных настоящим контрактом и (или) действующим законодательством Российской Федерации.</w:t>
      </w:r>
    </w:p>
    <w:p>
      <w:pPr>
        <w:pStyle w:val="Normal"/>
        <w:widowControl w:val="false"/>
        <w:ind w:firstLine="540" w:right="-1"/>
        <w:jc w:val="both"/>
        <w:rPr>
          <w:b/>
          <w:sz w:val="23"/>
          <w:szCs w:val="23"/>
        </w:rPr>
      </w:pPr>
      <w:r>
        <w:rPr>
          <w:rFonts w:eastAsia="Calibri"/>
          <w:bCs/>
          <w:sz w:val="23"/>
          <w:szCs w:val="23"/>
        </w:rPr>
        <w:tab/>
        <w:t>7.12</w:t>
      </w:r>
      <w:r>
        <w:rPr>
          <w:sz w:val="23"/>
          <w:szCs w:val="23"/>
        </w:rPr>
        <w:t>. Нарушение условий контракта признается существенным, когда одна из его сторон допустила действие (бездействие), которое влечет для другой стороны такой ущерб, что дальнейшее действие контракта теряет смысл, поскольку эта сторона в значительной мере лишается того, на что рассчитывала при заключении контракта.</w:t>
      </w:r>
    </w:p>
    <w:p>
      <w:pPr>
        <w:pStyle w:val="Normal"/>
        <w:ind w:firstLine="708" w:right="0"/>
        <w:jc w:val="center"/>
        <w:rPr>
          <w:b/>
          <w:sz w:val="23"/>
          <w:szCs w:val="23"/>
        </w:rPr>
      </w:pPr>
      <w:r>
        <w:rPr>
          <w:b/>
          <w:sz w:val="23"/>
          <w:szCs w:val="23"/>
        </w:rPr>
      </w:r>
    </w:p>
    <w:p>
      <w:pPr>
        <w:pStyle w:val="Normal"/>
        <w:ind w:firstLine="720" w:right="0"/>
        <w:jc w:val="center"/>
        <w:rPr>
          <w:color w:val="000000"/>
          <w:sz w:val="23"/>
          <w:szCs w:val="23"/>
        </w:rPr>
      </w:pPr>
      <w:r>
        <w:rPr>
          <w:b/>
          <w:color w:val="000000"/>
          <w:sz w:val="23"/>
          <w:szCs w:val="23"/>
        </w:rPr>
        <w:t>8. ЗАКЛЮЧИТЕЛЬНЫЕ ПОЛОЖЕНИЯ</w:t>
      </w:r>
    </w:p>
    <w:p>
      <w:pPr>
        <w:pStyle w:val="Normal"/>
        <w:ind w:firstLine="720" w:right="0"/>
        <w:jc w:val="both"/>
        <w:rPr>
          <w:sz w:val="23"/>
          <w:szCs w:val="23"/>
        </w:rPr>
      </w:pPr>
      <w:r>
        <w:rPr>
          <w:color w:val="000000"/>
          <w:sz w:val="23"/>
          <w:szCs w:val="23"/>
        </w:rPr>
        <w:t>8.1. Настоящий контракт составлен в двух экземплярах по одному для каждой из Сторон. Каждый экземпляр имеет равную юридическую силу.</w:t>
      </w:r>
    </w:p>
    <w:p>
      <w:pPr>
        <w:pStyle w:val="Normal"/>
        <w:ind w:firstLine="708" w:right="0"/>
        <w:jc w:val="both"/>
        <w:rPr>
          <w:color w:val="000000"/>
          <w:sz w:val="23"/>
          <w:szCs w:val="23"/>
        </w:rPr>
      </w:pPr>
      <w:r>
        <w:rPr>
          <w:sz w:val="23"/>
          <w:szCs w:val="23"/>
        </w:rPr>
        <w:t xml:space="preserve">8.2. </w:t>
      </w:r>
      <w:r>
        <w:rPr>
          <w:color w:val="000000"/>
          <w:sz w:val="23"/>
          <w:szCs w:val="23"/>
        </w:rPr>
        <w:t>Срок действия настоящего контракта устанавливается с даты заключения контракта и действует до 31.12.2026 года.</w:t>
      </w:r>
    </w:p>
    <w:p>
      <w:pPr>
        <w:pStyle w:val="Normal"/>
        <w:ind w:firstLine="708" w:right="0"/>
        <w:jc w:val="both"/>
        <w:rPr>
          <w:color w:val="000000"/>
          <w:sz w:val="23"/>
          <w:szCs w:val="23"/>
        </w:rPr>
      </w:pPr>
      <w:r>
        <w:rPr>
          <w:color w:val="000000"/>
          <w:sz w:val="23"/>
          <w:szCs w:val="23"/>
        </w:rPr>
        <w:t>8.3. Срок исполнения контракта — 31.12.2026 года.</w:t>
      </w:r>
    </w:p>
    <w:p>
      <w:pPr>
        <w:pStyle w:val="Normal"/>
        <w:ind w:firstLine="708" w:right="0"/>
        <w:jc w:val="both"/>
        <w:rPr>
          <w:color w:val="000000"/>
          <w:sz w:val="23"/>
          <w:szCs w:val="23"/>
        </w:rPr>
      </w:pPr>
      <w:r>
        <w:rPr>
          <w:color w:val="000000"/>
          <w:sz w:val="23"/>
          <w:szCs w:val="23"/>
        </w:rPr>
      </w:r>
    </w:p>
    <w:p>
      <w:pPr>
        <w:pStyle w:val="Normal"/>
        <w:ind w:firstLine="708" w:right="0"/>
        <w:jc w:val="center"/>
        <w:rPr>
          <w:b/>
          <w:sz w:val="23"/>
          <w:szCs w:val="23"/>
        </w:rPr>
      </w:pPr>
      <w:r>
        <w:rPr>
          <w:b/>
          <w:sz w:val="23"/>
          <w:szCs w:val="23"/>
        </w:rPr>
        <w:t>10. Юридические адреса и реквизиты сторон</w:t>
      </w:r>
    </w:p>
    <w:tbl>
      <w:tblPr>
        <w:tblW w:w="9720" w:type="dxa"/>
        <w:jc w:val="left"/>
        <w:tblInd w:w="108" w:type="dxa"/>
        <w:tblLayout w:type="fixed"/>
        <w:tblCellMar>
          <w:top w:w="0" w:type="dxa"/>
          <w:left w:w="108" w:type="dxa"/>
          <w:bottom w:w="0" w:type="dxa"/>
          <w:right w:w="108" w:type="dxa"/>
        </w:tblCellMar>
      </w:tblPr>
      <w:tblGrid>
        <w:gridCol w:w="5039"/>
        <w:gridCol w:w="4680"/>
      </w:tblGrid>
      <w:tr>
        <w:trPr>
          <w:trHeight w:val="3498" w:hRule="atLeast"/>
        </w:trPr>
        <w:tc>
          <w:tcPr>
            <w:tcW w:w="5039" w:type="dxa"/>
            <w:tcBorders/>
          </w:tcPr>
          <w:p>
            <w:pPr>
              <w:pStyle w:val="BodyTextIndent"/>
              <w:jc w:val="center"/>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b/>
                <w:sz w:val="23"/>
                <w:szCs w:val="23"/>
              </w:rPr>
              <w:t>ЗАКАЗЧИК:</w:t>
            </w:r>
          </w:p>
          <w:p>
            <w:pPr>
              <w:pStyle w:val="Normal"/>
              <w:tabs>
                <w:tab w:val="clear" w:pos="708"/>
                <w:tab w:val="center" w:pos="4677" w:leader="none"/>
                <w:tab w:val="right" w:pos="9355"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Управление Федеральной службы судебных приставов по Владимирской области (УФССП России по Владимирской области)</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Юридический адрес: 600017, Владимирская область, г. Владимир,</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ул. Горького, д. 2-А</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Почтовый адрес: тот же</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Тел.: (4922) 40-17-39, 40-17-38</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Факс: (4922) 35-51-63</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ИНН 3327818953 КПП 332801001</w:t>
            </w:r>
          </w:p>
          <w:p>
            <w:pPr>
              <w:pStyle w:val="Normal"/>
              <w:tabs>
                <w:tab w:val="clear" w:pos="708"/>
                <w:tab w:val="left" w:pos="4500" w:leader="none"/>
              </w:tabs>
              <w:jc w:val="left"/>
              <w:rPr>
                <w:rFonts w:eastAsia="SimSun" w:cs="Times New Roman"/>
                <w:b w:val="false"/>
                <w:bCs w:val="false"/>
                <w:sz w:val="24"/>
                <w:szCs w:val="24"/>
                <w:lang w:val="ru-RU"/>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Единый казначейский счет 40102810745370000024</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Казначейский счет: 03211643000000013236</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БИК 012202102</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ОКЦ № 1 ВВГУ Банка России // УФК по Нижегородской области, г. Нижний Новгород</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УФК по Нижегородской области (УФССП России по Владимирской области, л/с 03281785270)</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ОКТМО 17701000 ОКОГУ 1318025</w:t>
            </w:r>
          </w:p>
          <w:p>
            <w:pPr>
              <w:pStyle w:val="NoSpacing"/>
              <w:ind w:right="0"/>
              <w:jc w:val="left"/>
              <w:rPr>
                <w:rFonts w:eastAsia="SimSun" w:cs="Times New Roman"/>
                <w:b w:val="false"/>
                <w:bCs w:val="false"/>
                <w:sz w:val="24"/>
                <w:szCs w:val="24"/>
                <w:lang w:val="ru-RU"/>
              </w:rPr>
            </w:pPr>
            <w:r>
              <w:rPr>
                <w:rFonts w:eastAsia="SimSun" w:cs="Times New Roman"/>
                <w:b w:val="false"/>
                <w:bCs w:val="false"/>
                <w:sz w:val="24"/>
                <w:szCs w:val="24"/>
                <w:lang w:val="ru-RU"/>
              </w:rPr>
              <w:t>ОГРН 1043301819274   ОКОПФ 20904</w:t>
            </w:r>
          </w:p>
          <w:p>
            <w:pPr>
              <w:pStyle w:val="NoSpacing"/>
              <w:ind w:right="0"/>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hyperlink r:id="rId20">
              <w:r>
                <w:rPr>
                  <w:rStyle w:val="Hyperlink"/>
                  <w:rFonts w:eastAsia="SimSun" w:cs="Times New Roman"/>
                  <w:b w:val="false"/>
                  <w:bCs w:val="false"/>
                  <w:i w:val="false"/>
                  <w:caps w:val="false"/>
                  <w:smallCaps w:val="false"/>
                  <w:strike w:val="false"/>
                  <w:dstrike w:val="false"/>
                  <w:spacing w:val="0"/>
                  <w:kern w:val="2"/>
                  <w:sz w:val="24"/>
                  <w:szCs w:val="24"/>
                  <w:lang w:val="ru-RU"/>
                </w:rPr>
                <w:t>E-mail: zakupki@r33.fssp.gov.ru</w:t>
              </w:r>
            </w:hyperlink>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Заместитель руководителя УФССП России по Владимирской области</w:t>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r>
          </w:p>
          <w:p>
            <w:pPr>
              <w:pStyle w:val="Normal"/>
              <w:tabs>
                <w:tab w:val="clear" w:pos="708"/>
                <w:tab w:val="left" w:pos="4500" w:leader="none"/>
              </w:tabs>
              <w:jc w:val="left"/>
              <w:rPr>
                <w:rFonts w:eastAsia="Times New Roman" w:cs="Times New Roman"/>
                <w:b w:val="false"/>
                <w:i w:val="false"/>
                <w:i w:val="false"/>
                <w:caps w:val="false"/>
                <w:smallCaps w:val="false"/>
                <w:strike w:val="false"/>
                <w:dstrike w:val="false"/>
                <w:color w:val="000000"/>
                <w:spacing w:val="0"/>
                <w:kern w:val="2"/>
                <w:sz w:val="24"/>
                <w:szCs w:val="24"/>
                <w:u w:val="none"/>
                <w:lang w:val="ru-RU" w:eastAsia="zh-CN" w:bidi="ar-SA"/>
              </w:rPr>
            </w:pPr>
            <w:r>
              <w:rPr>
                <w:rFonts w:eastAsia="Times New Roman" w:cs="Times New Roman"/>
                <w:b w:val="false"/>
                <w:i w:val="false"/>
                <w:caps w:val="false"/>
                <w:smallCaps w:val="false"/>
                <w:strike w:val="false"/>
                <w:dstrike w:val="false"/>
                <w:color w:val="000000"/>
                <w:spacing w:val="0"/>
                <w:kern w:val="2"/>
                <w:sz w:val="24"/>
                <w:szCs w:val="24"/>
                <w:u w:val="none"/>
                <w:lang w:val="ru-RU" w:eastAsia="zh-CN" w:bidi="ar-SA"/>
              </w:rPr>
              <w:t>____________________/А.М.Тамарин/</w:t>
            </w:r>
          </w:p>
        </w:tc>
        <w:tc>
          <w:tcPr>
            <w:tcW w:w="4680" w:type="dxa"/>
            <w:tcBorders/>
          </w:tcPr>
          <w:p>
            <w:pPr>
              <w:pStyle w:val="Normal"/>
              <w:jc w:val="center"/>
              <w:rPr>
                <w:b/>
                <w:sz w:val="23"/>
                <w:szCs w:val="23"/>
              </w:rPr>
            </w:pPr>
            <w:r>
              <w:rPr>
                <w:b/>
                <w:sz w:val="23"/>
                <w:szCs w:val="23"/>
              </w:rPr>
              <w:t>ИСПОЛНИТЕЛЬ:</w:t>
            </w:r>
          </w:p>
          <w:p>
            <w:pPr>
              <w:pStyle w:val="Normal"/>
              <w:rPr>
                <w:b/>
                <w:sz w:val="23"/>
                <w:szCs w:val="23"/>
              </w:rPr>
            </w:pPr>
            <w:r>
              <w:rPr>
                <w:b/>
                <w:sz w:val="23"/>
                <w:szCs w:val="23"/>
              </w:rPr>
            </w:r>
          </w:p>
        </w:tc>
      </w:tr>
    </w:tbl>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Normal"/>
        <w:ind w:left="5040" w:right="0"/>
        <w:jc w:val="center"/>
        <w:rPr>
          <w:sz w:val="23"/>
          <w:szCs w:val="23"/>
        </w:rPr>
      </w:pPr>
      <w:r>
        <w:rPr>
          <w:sz w:val="23"/>
          <w:szCs w:val="23"/>
        </w:rPr>
      </w:r>
    </w:p>
    <w:p>
      <w:pPr>
        <w:pStyle w:val="Style27"/>
        <w:snapToGrid w:val="false"/>
        <w:jc w:val="right"/>
        <w:rPr>
          <w:sz w:val="23"/>
          <w:szCs w:val="23"/>
        </w:rPr>
      </w:pPr>
      <w:r>
        <w:rPr>
          <w:sz w:val="23"/>
          <w:szCs w:val="23"/>
        </w:rPr>
        <w:t xml:space="preserve">Приложение № 1 </w:t>
      </w:r>
    </w:p>
    <w:p>
      <w:pPr>
        <w:pStyle w:val="Style27"/>
        <w:snapToGrid w:val="false"/>
        <w:jc w:val="right"/>
        <w:rPr>
          <w:sz w:val="23"/>
          <w:szCs w:val="23"/>
        </w:rPr>
      </w:pPr>
      <w:r>
        <w:rPr>
          <w:sz w:val="23"/>
          <w:szCs w:val="23"/>
        </w:rPr>
        <w:t>к Контракту №_______</w:t>
      </w:r>
    </w:p>
    <w:p>
      <w:pPr>
        <w:pStyle w:val="Style27"/>
        <w:snapToGrid w:val="false"/>
        <w:jc w:val="right"/>
        <w:rPr>
          <w:b/>
          <w:iCs/>
          <w:caps/>
          <w:color w:val="000000"/>
          <w:spacing w:val="-8"/>
          <w:sz w:val="23"/>
          <w:szCs w:val="23"/>
        </w:rPr>
      </w:pPr>
      <w:r>
        <w:rPr>
          <w:sz w:val="23"/>
          <w:szCs w:val="23"/>
        </w:rPr>
        <w:t>от «__» _________ 2026 года</w:t>
      </w:r>
    </w:p>
    <w:p>
      <w:pPr>
        <w:pStyle w:val="Normal"/>
        <w:shd w:val="clear" w:fill="FFFFFF"/>
        <w:ind w:right="139"/>
        <w:jc w:val="right"/>
        <w:rPr>
          <w:b/>
          <w:iCs/>
          <w:caps/>
          <w:color w:val="000000"/>
          <w:spacing w:val="-8"/>
          <w:sz w:val="23"/>
          <w:szCs w:val="23"/>
        </w:rPr>
      </w:pPr>
      <w:r>
        <w:rPr>
          <w:b/>
          <w:iCs/>
          <w:caps/>
          <w:color w:val="000000"/>
          <w:spacing w:val="-8"/>
          <w:sz w:val="23"/>
          <w:szCs w:val="23"/>
        </w:rPr>
      </w:r>
    </w:p>
    <w:p>
      <w:pPr>
        <w:pStyle w:val="Normal"/>
        <w:jc w:val="center"/>
        <w:rPr>
          <w:rFonts w:ascii="Times New Roman" w:hAnsi="Times New Roman" w:cs="Times New Roman"/>
          <w:b w:val="false"/>
          <w:bCs w:val="false"/>
        </w:rPr>
      </w:pPr>
      <w:r>
        <w:rPr/>
        <w:t>СПЕЦИФИКАЦИЯ</w:t>
      </w:r>
    </w:p>
    <w:tbl>
      <w:tblPr>
        <w:tblW w:w="10508" w:type="dxa"/>
        <w:jc w:val="left"/>
        <w:tblInd w:w="-459" w:type="dxa"/>
        <w:tblLayout w:type="fixed"/>
        <w:tblCellMar>
          <w:top w:w="0" w:type="dxa"/>
          <w:left w:w="108" w:type="dxa"/>
          <w:bottom w:w="0" w:type="dxa"/>
          <w:right w:w="108" w:type="dxa"/>
        </w:tblCellMar>
      </w:tblPr>
      <w:tblGrid>
        <w:gridCol w:w="509"/>
        <w:gridCol w:w="7287"/>
        <w:gridCol w:w="1418"/>
        <w:gridCol w:w="1293"/>
      </w:tblGrid>
      <w:tr>
        <w:trPr>
          <w:trHeight w:val="324" w:hRule="atLeast"/>
        </w:trPr>
        <w:tc>
          <w:tcPr>
            <w:tcW w:w="509" w:type="dxa"/>
            <w:tcBorders>
              <w:top w:val="single" w:sz="4" w:space="0" w:color="000000"/>
              <w:left w:val="single" w:sz="4" w:space="0" w:color="000000"/>
              <w:bottom w:val="single" w:sz="4" w:space="0" w:color="000000"/>
              <w:right w:val="single" w:sz="4" w:space="0" w:color="000000"/>
            </w:tcBorders>
            <w:vAlign w:val="center"/>
          </w:tcPr>
          <w:p>
            <w:pPr>
              <w:pStyle w:val="HTML1"/>
              <w:jc w:val="center"/>
              <w:rPr/>
            </w:pPr>
            <w:r>
              <w:rPr>
                <w:rFonts w:cs="Times New Roman" w:ascii="Times New Roman" w:hAnsi="Times New Roman"/>
                <w:b w:val="false"/>
                <w:bCs w:val="false"/>
              </w:rPr>
              <w:t xml:space="preserve">№ </w:t>
            </w:r>
            <w:r>
              <w:rPr>
                <w:rFonts w:cs="Times New Roman" w:ascii="Times New Roman" w:hAnsi="Times New Roman"/>
                <w:b w:val="false"/>
                <w:bCs w:val="false"/>
              </w:rPr>
              <w:t>п/п</w:t>
            </w:r>
          </w:p>
        </w:tc>
        <w:tc>
          <w:tcPr>
            <w:tcW w:w="7287" w:type="dxa"/>
            <w:tcBorders>
              <w:top w:val="single" w:sz="4" w:space="0" w:color="000000"/>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Наименование услуг</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HTML1"/>
              <w:ind w:right="-139"/>
              <w:jc w:val="center"/>
              <w:rPr>
                <w:rFonts w:ascii="Times New Roman" w:hAnsi="Times New Roman" w:cs="Times New Roman"/>
                <w:b w:val="false"/>
                <w:bCs w:val="false"/>
              </w:rPr>
            </w:pPr>
            <w:r>
              <w:rPr>
                <w:rFonts w:cs="Times New Roman" w:ascii="Times New Roman" w:hAnsi="Times New Roman"/>
                <w:b w:val="false"/>
                <w:bCs w:val="false"/>
              </w:rPr>
              <w:t>Стоимость</w:t>
            </w:r>
          </w:p>
          <w:p>
            <w:pPr>
              <w:pStyle w:val="HTML1"/>
              <w:ind w:right="-139"/>
              <w:jc w:val="center"/>
              <w:rPr>
                <w:rFonts w:ascii="Times New Roman" w:hAnsi="Times New Roman" w:cs="Times New Roman"/>
                <w:b w:val="false"/>
                <w:bCs w:val="false"/>
              </w:rPr>
            </w:pPr>
            <w:r>
              <w:rPr>
                <w:rFonts w:cs="Times New Roman" w:ascii="Times New Roman" w:hAnsi="Times New Roman"/>
                <w:b w:val="false"/>
                <w:bCs w:val="false"/>
              </w:rPr>
              <w:t>услуги, руб.</w:t>
            </w:r>
          </w:p>
        </w:tc>
        <w:tc>
          <w:tcPr>
            <w:tcW w:w="1293" w:type="dxa"/>
            <w:tcBorders>
              <w:top w:val="single" w:sz="4" w:space="0" w:color="000000"/>
              <w:left w:val="single" w:sz="4" w:space="0" w:color="000000"/>
              <w:bottom w:val="single" w:sz="4" w:space="0" w:color="000000"/>
              <w:right w:val="single" w:sz="4" w:space="0" w:color="000000"/>
            </w:tcBorders>
            <w:vAlign w:val="center"/>
          </w:tcPr>
          <w:p>
            <w:pPr>
              <w:pStyle w:val="HTML1"/>
              <w:ind w:right="-139"/>
              <w:jc w:val="center"/>
              <w:rPr>
                <w:rFonts w:ascii="Times New Roman" w:hAnsi="Times New Roman" w:cs="Times New Roman"/>
                <w:b w:val="false"/>
                <w:bCs w:val="false"/>
              </w:rPr>
            </w:pPr>
            <w:r>
              <w:rPr>
                <w:rFonts w:cs="Times New Roman" w:ascii="Times New Roman" w:hAnsi="Times New Roman"/>
                <w:b w:val="false"/>
                <w:bCs w:val="false"/>
              </w:rPr>
              <w:t>Всего, руб., руб.</w:t>
            </w:r>
          </w:p>
        </w:tc>
      </w:tr>
      <w:tr>
        <w:trPr>
          <w:trHeight w:val="325" w:hRule="atLeast"/>
        </w:trPr>
        <w:tc>
          <w:tcPr>
            <w:tcW w:w="509" w:type="dxa"/>
            <w:tcBorders>
              <w:top w:val="single" w:sz="4" w:space="0" w:color="000000"/>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1</w:t>
            </w:r>
          </w:p>
        </w:tc>
        <w:tc>
          <w:tcPr>
            <w:tcW w:w="7287" w:type="dxa"/>
            <w:tcBorders>
              <w:top w:val="single" w:sz="4" w:space="0" w:color="000000"/>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color w:val="000000"/>
                <w:shd w:fill="auto" w:val="clear"/>
              </w:rPr>
              <w:t>Доставка по маршруту: г.Владимир-г.Москва, аэропорт Домодедово-г.Владимир (автобус не менее 48 мест)</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3" w:type="dxa"/>
            <w:tcBorders>
              <w:top w:val="single" w:sz="4" w:space="0" w:color="000000"/>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09"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2</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color w:val="000000"/>
                <w:shd w:fill="auto" w:val="clear"/>
              </w:rPr>
              <w:t>Доставка по маршруту: г.Владимир-г.Москва, аэропорт Домодедово-г.Владимир (автобус не менее18 мест)</w:t>
            </w:r>
          </w:p>
        </w:tc>
        <w:tc>
          <w:tcPr>
            <w:tcW w:w="1418"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3"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09"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3</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color w:val="000000"/>
                <w:shd w:fill="auto" w:val="clear"/>
              </w:rPr>
              <w:t>Доставка по маршруту: г.Владимир-г.Москва, аэропорт Внуково-г.Владимир (автобус не менее 48 мест)</w:t>
            </w:r>
          </w:p>
        </w:tc>
        <w:tc>
          <w:tcPr>
            <w:tcW w:w="1418"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3"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09"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4</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color w:val="000000"/>
                <w:shd w:fill="auto" w:val="clear"/>
              </w:rPr>
              <w:t>Доставка по маршруту: г.Владимир-г.Москва, аэропорт Внуково-г.Владимир (автобус неменее 18 мест)</w:t>
            </w:r>
          </w:p>
        </w:tc>
        <w:tc>
          <w:tcPr>
            <w:tcW w:w="1418"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3"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09"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5</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color w:val="000000"/>
                <w:shd w:fill="auto" w:val="clear"/>
              </w:rPr>
              <w:t>Доставка по маршруту: г.Владимир-г.Москва, аэропорт Шереметьево-г.Владимир (автобус не менее 48 мест)</w:t>
            </w:r>
          </w:p>
        </w:tc>
        <w:tc>
          <w:tcPr>
            <w:tcW w:w="1418"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3"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09"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6</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color w:val="000000"/>
                <w:shd w:fill="auto" w:val="clear"/>
              </w:rPr>
              <w:t>Доставка по маршруту: г.Владимир-г.Москва, аэропорт Шереметьево-г.Владимир (автобус не менее 18 мест)</w:t>
            </w:r>
          </w:p>
        </w:tc>
        <w:tc>
          <w:tcPr>
            <w:tcW w:w="1418"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3"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09"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7</w:t>
            </w:r>
          </w:p>
        </w:tc>
        <w:tc>
          <w:tcPr>
            <w:tcW w:w="7287" w:type="dxa"/>
            <w:tcBorders>
              <w:left w:val="single" w:sz="4" w:space="0" w:color="000000"/>
              <w:bottom w:val="single" w:sz="4" w:space="0" w:color="000000"/>
              <w:right w:val="single" w:sz="4" w:space="0" w:color="000000"/>
            </w:tcBorders>
          </w:tcPr>
          <w:p>
            <w:pPr>
              <w:pStyle w:val="Style27"/>
              <w:ind w:right="0"/>
              <w:jc w:val="left"/>
              <w:rPr>
                <w:rFonts w:ascii="Times New Roman" w:hAnsi="Times New Roman" w:cs="Times New Roman"/>
                <w:color w:val="000000"/>
                <w:shd w:fill="auto" w:val="clear"/>
              </w:rPr>
            </w:pPr>
            <w:r>
              <w:rPr>
                <w:rFonts w:cs="Times New Roman"/>
                <w:color w:val="000000"/>
                <w:shd w:fill="auto" w:val="clear"/>
              </w:rPr>
              <w:t>Доставка по маршруту: г.Владимир-г.Москва, аэропорт Жуковский-г.Владимир (автобус не менее 48 мест)</w:t>
            </w:r>
          </w:p>
        </w:tc>
        <w:tc>
          <w:tcPr>
            <w:tcW w:w="1418"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3"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r>
        <w:trPr>
          <w:trHeight w:val="325" w:hRule="atLeast"/>
        </w:trPr>
        <w:tc>
          <w:tcPr>
            <w:tcW w:w="509" w:type="dxa"/>
            <w:tcBorders>
              <w:left w:val="single" w:sz="4" w:space="0" w:color="000000"/>
              <w:bottom w:val="single" w:sz="4" w:space="0" w:color="000000"/>
              <w:right w:val="single" w:sz="4" w:space="0" w:color="000000"/>
            </w:tcBorders>
            <w:vAlign w:val="center"/>
          </w:tcPr>
          <w:p>
            <w:pPr>
              <w:pStyle w:val="HTML1"/>
              <w:jc w:val="center"/>
              <w:rPr>
                <w:rFonts w:ascii="Times New Roman" w:hAnsi="Times New Roman" w:cs="Times New Roman"/>
                <w:b w:val="false"/>
                <w:bCs w:val="false"/>
              </w:rPr>
            </w:pPr>
            <w:r>
              <w:rPr>
                <w:rFonts w:cs="Times New Roman" w:ascii="Times New Roman" w:hAnsi="Times New Roman"/>
                <w:b w:val="false"/>
                <w:bCs w:val="false"/>
              </w:rPr>
              <w:t>8</w:t>
            </w:r>
          </w:p>
        </w:tc>
        <w:tc>
          <w:tcPr>
            <w:tcW w:w="7287" w:type="dxa"/>
            <w:tcBorders>
              <w:left w:val="single" w:sz="4" w:space="0" w:color="000000"/>
              <w:bottom w:val="single" w:sz="4" w:space="0" w:color="000000"/>
              <w:right w:val="single" w:sz="4" w:space="0" w:color="000000"/>
            </w:tcBorders>
          </w:tcPr>
          <w:p>
            <w:pPr>
              <w:pStyle w:val="Style27"/>
              <w:jc w:val="left"/>
              <w:rPr>
                <w:rFonts w:ascii="Times New Roman" w:hAnsi="Times New Roman" w:cs="Times New Roman"/>
                <w:color w:val="000000"/>
                <w:shd w:fill="auto" w:val="clear"/>
              </w:rPr>
            </w:pPr>
            <w:r>
              <w:rPr>
                <w:rFonts w:cs="Times New Roman"/>
                <w:color w:val="000000"/>
                <w:shd w:fill="auto" w:val="clear"/>
              </w:rPr>
              <w:t>Доставка по маршруту: г.Владимир-г.Москва, аэропорт Жуковский-г.Владимир (автобус не менее 18 мест)</w:t>
            </w:r>
          </w:p>
        </w:tc>
        <w:tc>
          <w:tcPr>
            <w:tcW w:w="1418"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c>
          <w:tcPr>
            <w:tcW w:w="1293" w:type="dxa"/>
            <w:tcBorders>
              <w:left w:val="single" w:sz="4" w:space="0" w:color="000000"/>
              <w:bottom w:val="single" w:sz="4" w:space="0" w:color="000000"/>
              <w:right w:val="single" w:sz="4" w:space="0" w:color="000000"/>
            </w:tcBorders>
            <w:vAlign w:val="center"/>
          </w:tcPr>
          <w:p>
            <w:pPr>
              <w:pStyle w:val="HTML1"/>
              <w:snapToGrid w:val="false"/>
              <w:jc w:val="center"/>
              <w:rPr>
                <w:rFonts w:ascii="Times New Roman" w:hAnsi="Times New Roman" w:cs="Times New Roman"/>
                <w:b w:val="false"/>
                <w:bCs w:val="false"/>
              </w:rPr>
            </w:pPr>
            <w:r>
              <w:rPr>
                <w:rFonts w:cs="Times New Roman" w:ascii="Times New Roman" w:hAnsi="Times New Roman"/>
                <w:b w:val="false"/>
                <w:bCs w:val="false"/>
              </w:rPr>
            </w:r>
          </w:p>
        </w:tc>
      </w:tr>
    </w:tbl>
    <w:p>
      <w:pPr>
        <w:pStyle w:val="Normal"/>
        <w:rPr>
          <w:sz w:val="23"/>
          <w:szCs w:val="23"/>
        </w:rPr>
      </w:pPr>
      <w:r>
        <w:rPr>
          <w:sz w:val="23"/>
          <w:szCs w:val="23"/>
        </w:rPr>
      </w:r>
    </w:p>
    <w:p>
      <w:pPr>
        <w:pStyle w:val="Normal"/>
        <w:ind w:firstLine="709" w:right="0"/>
        <w:jc w:val="both"/>
        <w:rPr>
          <w:b/>
          <w:kern w:val="2"/>
          <w:sz w:val="23"/>
          <w:szCs w:val="23"/>
        </w:rPr>
      </w:pPr>
      <w:r>
        <w:rPr>
          <w:b/>
          <w:sz w:val="23"/>
          <w:szCs w:val="23"/>
        </w:rPr>
        <w:t xml:space="preserve">Цель оказываемой услуги: </w:t>
      </w:r>
      <w:r>
        <w:rPr>
          <w:sz w:val="23"/>
          <w:szCs w:val="23"/>
        </w:rPr>
        <w:t xml:space="preserve">Доставка </w:t>
      </w:r>
      <w:r>
        <w:rPr>
          <w:color w:val="000000"/>
          <w:sz w:val="23"/>
          <w:szCs w:val="23"/>
        </w:rPr>
        <w:t xml:space="preserve">иностранных граждан и лиц без гражданства, подлежащих административному выдворению за пределы государственной границы Российской Федерации; </w:t>
      </w:r>
      <w:r>
        <w:rPr>
          <w:sz w:val="23"/>
          <w:szCs w:val="23"/>
        </w:rPr>
        <w:t>судебных приставов по ОУПДС, осуществляющих препровождение на основании решения суда выдворяемых лиц в специальные учреждения, а так же также их препровождение до пункта пропуска через Государственную границу РФ.</w:t>
      </w:r>
    </w:p>
    <w:p>
      <w:pPr>
        <w:pStyle w:val="Normal"/>
        <w:ind w:firstLine="709" w:right="0"/>
        <w:jc w:val="both"/>
        <w:rPr>
          <w:b/>
          <w:sz w:val="23"/>
          <w:szCs w:val="23"/>
        </w:rPr>
      </w:pPr>
      <w:r>
        <w:rPr>
          <w:b/>
          <w:kern w:val="2"/>
          <w:sz w:val="23"/>
          <w:szCs w:val="23"/>
        </w:rPr>
        <w:t>Количество доставок:</w:t>
      </w:r>
      <w:r>
        <w:rPr>
          <w:kern w:val="2"/>
          <w:sz w:val="23"/>
          <w:szCs w:val="23"/>
        </w:rPr>
        <w:t xml:space="preserve"> объем определить невозможно.</w:t>
      </w:r>
    </w:p>
    <w:p>
      <w:pPr>
        <w:pStyle w:val="Normal"/>
        <w:widowControl w:val="false"/>
        <w:ind w:firstLine="709" w:right="0"/>
        <w:jc w:val="both"/>
        <w:rPr>
          <w:b/>
          <w:kern w:val="2"/>
          <w:sz w:val="23"/>
          <w:szCs w:val="23"/>
        </w:rPr>
      </w:pPr>
      <w:r>
        <w:rPr>
          <w:b/>
          <w:sz w:val="23"/>
          <w:szCs w:val="23"/>
        </w:rPr>
        <w:t xml:space="preserve">Сроки оказания услуг: </w:t>
      </w:r>
      <w:r>
        <w:rPr>
          <w:sz w:val="23"/>
          <w:szCs w:val="23"/>
        </w:rPr>
        <w:t xml:space="preserve"> Услуги оказываются в будни, в выходные и праздничные дни, 7 (семь) дней в неделю, 24 часа в сутки с даты заключения контракта и до 31.12.2026 года, </w:t>
      </w:r>
      <w:r>
        <w:rPr>
          <w:b w:val="false"/>
          <w:bCs w:val="false"/>
          <w:sz w:val="23"/>
          <w:szCs w:val="23"/>
          <w:lang w:val="ru-RU"/>
        </w:rPr>
        <w:t xml:space="preserve">либо до момента достижения общей стоимости заказанных услуг суммы в </w:t>
      </w:r>
      <w:r>
        <w:rPr>
          <w:b/>
          <w:bCs/>
          <w:sz w:val="23"/>
          <w:szCs w:val="23"/>
          <w:lang w:val="ru-RU"/>
        </w:rPr>
        <w:t>561 700,</w:t>
      </w:r>
      <w:r>
        <w:rPr>
          <w:b/>
          <w:bCs/>
          <w:sz w:val="23"/>
          <w:szCs w:val="23"/>
          <w:lang w:val="ru-RU"/>
        </w:rPr>
        <w:t>00</w:t>
      </w:r>
      <w:r>
        <w:rPr>
          <w:b w:val="false"/>
          <w:bCs w:val="false"/>
          <w:sz w:val="23"/>
          <w:szCs w:val="23"/>
          <w:lang w:val="ru-RU"/>
        </w:rPr>
        <w:t xml:space="preserve"> </w:t>
      </w:r>
      <w:r>
        <w:rPr>
          <w:b/>
          <w:bCs/>
          <w:sz w:val="23"/>
          <w:szCs w:val="23"/>
          <w:lang w:val="ru-RU"/>
        </w:rPr>
        <w:t>рублей 00 копеек</w:t>
      </w:r>
      <w:r>
        <w:rPr>
          <w:b w:val="false"/>
          <w:bCs w:val="false"/>
          <w:sz w:val="23"/>
          <w:szCs w:val="23"/>
          <w:lang w:val="ru-RU"/>
        </w:rPr>
        <w:t xml:space="preserve"> или суммы, не позволяющей осуществить новый заказ услуг без превышения суммы НМЦК.</w:t>
      </w:r>
    </w:p>
    <w:p>
      <w:pPr>
        <w:pStyle w:val="Normal"/>
        <w:ind w:firstLine="709" w:right="0"/>
        <w:jc w:val="both"/>
        <w:rPr>
          <w:b/>
          <w:sz w:val="23"/>
          <w:szCs w:val="23"/>
        </w:rPr>
      </w:pPr>
      <w:r>
        <w:rPr>
          <w:b/>
          <w:kern w:val="2"/>
          <w:sz w:val="23"/>
          <w:szCs w:val="23"/>
        </w:rPr>
        <w:t xml:space="preserve">Маршруты перевозок: </w:t>
      </w:r>
      <w:r>
        <w:rPr>
          <w:kern w:val="2"/>
          <w:sz w:val="23"/>
          <w:szCs w:val="23"/>
        </w:rPr>
        <w:t xml:space="preserve">Точные маршруты перевозок заранее заказчику не известны. </w:t>
      </w:r>
    </w:p>
    <w:p>
      <w:pPr>
        <w:pStyle w:val="Normal"/>
        <w:widowControl w:val="false"/>
        <w:ind w:firstLine="709" w:right="0"/>
        <w:jc w:val="both"/>
        <w:rPr>
          <w:b/>
          <w:sz w:val="23"/>
          <w:szCs w:val="23"/>
        </w:rPr>
      </w:pPr>
      <w:r>
        <w:rPr>
          <w:b/>
          <w:sz w:val="23"/>
          <w:szCs w:val="23"/>
        </w:rPr>
        <w:t xml:space="preserve">Количество требуемого транспорта:  </w:t>
      </w:r>
      <w:r>
        <w:rPr>
          <w:b w:val="false"/>
          <w:bCs w:val="false"/>
          <w:kern w:val="2"/>
          <w:sz w:val="23"/>
          <w:szCs w:val="23"/>
        </w:rPr>
        <w:t>Точное количество требуемого транспорта заранее заказчику не известны.</w:t>
      </w:r>
    </w:p>
    <w:p>
      <w:pPr>
        <w:pStyle w:val="Normal"/>
        <w:ind w:firstLine="709" w:right="0"/>
        <w:jc w:val="both"/>
        <w:rPr>
          <w:b/>
          <w:sz w:val="23"/>
          <w:szCs w:val="23"/>
        </w:rPr>
      </w:pPr>
      <w:r>
        <w:rPr>
          <w:b/>
          <w:sz w:val="23"/>
          <w:szCs w:val="23"/>
        </w:rPr>
        <w:t xml:space="preserve">Услуги включают: </w:t>
      </w:r>
      <w:r>
        <w:rPr>
          <w:sz w:val="23"/>
          <w:szCs w:val="23"/>
        </w:rPr>
        <w:t>доставку в аэропорты с возможным ожиданием на стоянке (стоянка оплачивается Исполнителем самостоятельно) от 2-х до 10-ти часов и обратно</w:t>
      </w:r>
      <w:r>
        <w:rPr>
          <w:b/>
          <w:sz w:val="23"/>
          <w:szCs w:val="23"/>
        </w:rPr>
        <w:t>.</w:t>
      </w:r>
    </w:p>
    <w:p>
      <w:pPr>
        <w:pStyle w:val="Normal"/>
        <w:ind w:firstLine="709" w:right="0"/>
        <w:jc w:val="both"/>
        <w:rPr>
          <w:sz w:val="23"/>
          <w:szCs w:val="23"/>
        </w:rPr>
      </w:pPr>
      <w:r>
        <w:rPr>
          <w:b/>
          <w:sz w:val="23"/>
          <w:szCs w:val="23"/>
        </w:rPr>
        <w:t xml:space="preserve">Условия оказания услуг: </w:t>
      </w:r>
      <w:r>
        <w:rPr>
          <w:sz w:val="23"/>
          <w:szCs w:val="23"/>
        </w:rPr>
        <w:t>Услуги включают в себя отправление из установленной(-ых) Заказчиком точки (-чек) сбора. Уточненный список точек сбора предоставляется Исполнителю за 1 день до дня начала оказания услуг.</w:t>
      </w:r>
    </w:p>
    <w:p>
      <w:pPr>
        <w:pStyle w:val="Normal"/>
        <w:ind w:firstLine="709" w:right="0"/>
        <w:jc w:val="both"/>
        <w:rPr>
          <w:rStyle w:val="Extended-textfull"/>
          <w:bCs/>
          <w:sz w:val="23"/>
          <w:szCs w:val="23"/>
        </w:rPr>
      </w:pPr>
      <w:r>
        <w:rPr>
          <w:sz w:val="23"/>
          <w:szCs w:val="23"/>
        </w:rPr>
        <w:t>Точная дата оказания услуги по организации доставки к месту назначения согласовывается Заказчиком не позднее, чем за 2 рабочих дня до даты поездки.</w:t>
      </w:r>
    </w:p>
    <w:p>
      <w:pPr>
        <w:pStyle w:val="Normal"/>
        <w:ind w:firstLine="709" w:right="0"/>
        <w:jc w:val="both"/>
        <w:rPr>
          <w:b/>
          <w:bCs/>
          <w:sz w:val="23"/>
          <w:szCs w:val="23"/>
        </w:rPr>
      </w:pPr>
      <w:r>
        <w:rPr>
          <w:rStyle w:val="Extended-textfull"/>
          <w:bCs/>
          <w:sz w:val="23"/>
          <w:szCs w:val="23"/>
        </w:rPr>
        <w:t>В</w:t>
      </w:r>
      <w:r>
        <w:rPr>
          <w:rStyle w:val="Extended-textfull"/>
          <w:sz w:val="23"/>
          <w:szCs w:val="23"/>
        </w:rPr>
        <w:t xml:space="preserve"> </w:t>
      </w:r>
      <w:r>
        <w:rPr>
          <w:rStyle w:val="Extended-textfull"/>
          <w:bCs/>
          <w:sz w:val="23"/>
          <w:szCs w:val="23"/>
        </w:rPr>
        <w:t>случае</w:t>
      </w:r>
      <w:r>
        <w:rPr>
          <w:rStyle w:val="Extended-textfull"/>
          <w:sz w:val="23"/>
          <w:szCs w:val="23"/>
        </w:rPr>
        <w:t xml:space="preserve"> </w:t>
      </w:r>
      <w:r>
        <w:rPr>
          <w:rStyle w:val="Extended-textfull"/>
          <w:bCs/>
          <w:sz w:val="23"/>
          <w:szCs w:val="23"/>
        </w:rPr>
        <w:t xml:space="preserve">поломки автобуса Перевозчик обязан </w:t>
      </w:r>
      <w:r>
        <w:rPr>
          <w:rStyle w:val="Extended-textfull"/>
          <w:sz w:val="23"/>
          <w:szCs w:val="23"/>
        </w:rPr>
        <w:t>пересадить всех в другое транспортное средство и довезти до пункта назначения.</w:t>
      </w:r>
    </w:p>
    <w:p>
      <w:pPr>
        <w:pStyle w:val="Normal"/>
        <w:ind w:firstLine="708" w:right="0"/>
        <w:jc w:val="both"/>
        <w:rPr>
          <w:b w:val="false"/>
          <w:bCs w:val="false"/>
          <w:sz w:val="23"/>
          <w:szCs w:val="23"/>
          <w:lang w:val="ru-RU"/>
        </w:rPr>
      </w:pPr>
      <w:r>
        <w:rPr>
          <w:b/>
          <w:bCs/>
          <w:sz w:val="23"/>
          <w:szCs w:val="23"/>
        </w:rPr>
        <w:t xml:space="preserve">Требования к Исполнителю: </w:t>
      </w:r>
    </w:p>
    <w:p>
      <w:pPr>
        <w:pStyle w:val="Normal"/>
        <w:ind w:firstLine="708" w:right="0"/>
        <w:jc w:val="both"/>
        <w:rPr>
          <w:bCs/>
          <w:sz w:val="23"/>
          <w:szCs w:val="23"/>
        </w:rPr>
      </w:pPr>
      <w:r>
        <w:rPr>
          <w:b w:val="false"/>
          <w:bCs w:val="false"/>
          <w:sz w:val="23"/>
          <w:szCs w:val="23"/>
          <w:lang w:val="ru-RU"/>
        </w:rPr>
        <w:t>наличие лицензии на осуществление деятельности по перевозкам пассажиров и иных лиц автобусами (в соответствии с постановлением Правительства РФ от 07.10.2020 № 1616 «О лицензировании деятельности по перевозкам пассажиров и иных лиц автобусами» или постановлением Правительства РФ от 27.02.2019 № 195 «О лицензировании деятельности по перевозкам пассажиров и иных лиц автобусами») или копия выписки из реестра лицензий лицензирующего органа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 либо копия акта лицензирующего органа о принятом решении (в соответствии со ст. 21 Федерального закона от 04.05.2011 №99-ФЗ «О лицензировании отдельных видов деятельности», Правилами формирования и ведения реестра лицензий, утвержденными постановлением Правительства РФ от 29.12.2020 №2343);</w:t>
      </w:r>
    </w:p>
    <w:p>
      <w:pPr>
        <w:pStyle w:val="Normal"/>
        <w:ind w:firstLine="709" w:right="0"/>
        <w:jc w:val="both"/>
        <w:rPr>
          <w:bCs/>
          <w:sz w:val="23"/>
          <w:szCs w:val="23"/>
        </w:rPr>
      </w:pPr>
      <w:r>
        <w:rPr>
          <w:bCs/>
          <w:sz w:val="23"/>
          <w:szCs w:val="23"/>
        </w:rPr>
        <w:t>- наличие полиса страхования пассажиров от несчастных случаев;</w:t>
      </w:r>
    </w:p>
    <w:p>
      <w:pPr>
        <w:pStyle w:val="Normal"/>
        <w:ind w:firstLine="709" w:right="0"/>
        <w:jc w:val="both"/>
        <w:rPr>
          <w:bCs/>
          <w:sz w:val="23"/>
          <w:szCs w:val="23"/>
        </w:rPr>
      </w:pPr>
      <w:r>
        <w:rPr>
          <w:bCs/>
          <w:sz w:val="23"/>
          <w:szCs w:val="23"/>
        </w:rPr>
        <w:t>-наличие действующего страхового полиса обязательного страхования гражданской ответственности владельца транспортного средства в соответствии с пунктом 1 статьи 20 Федерального закона от 10.12.1995 №196-ФЗ «О безопасности дорожного движения», Федеральным законом от 25.04.2002г. №40-ФЗ «Об обязательном страховании гражданской ответственности владельцев транспортных средств». При окончании срока действия страховых полисов обязательного страхования, гражданской ответственности владельца транспортного средства до исполнения обязательств по Контракту Исполнитель в установленные законодательством РФ сроки обязан осуществить обязательное страхование гражданской ответственности владельца транспортного средства.</w:t>
      </w:r>
    </w:p>
    <w:p>
      <w:pPr>
        <w:pStyle w:val="Normal"/>
        <w:ind w:firstLine="709" w:right="0"/>
        <w:jc w:val="both"/>
        <w:rPr>
          <w:b/>
          <w:bCs/>
          <w:sz w:val="23"/>
          <w:szCs w:val="23"/>
        </w:rPr>
      </w:pPr>
      <w:r>
        <w:rPr>
          <w:bCs/>
          <w:sz w:val="23"/>
          <w:szCs w:val="23"/>
        </w:rPr>
        <w:t>- наличие в штате или оформленных по гражданско-правовому договору водителей, имеющих водительское удостоверение на право управления автотранспортным средством соответствующей категории в соответствии с п. 2.1.1. Постановления Правительства РФ от 23.10.1993 N 1090 «О Правилах дорожного движения».</w:t>
      </w:r>
    </w:p>
    <w:p>
      <w:pPr>
        <w:pStyle w:val="Normal"/>
        <w:ind w:firstLine="709" w:right="0"/>
        <w:jc w:val="both"/>
        <w:rPr>
          <w:bCs/>
          <w:sz w:val="23"/>
          <w:szCs w:val="23"/>
        </w:rPr>
      </w:pPr>
      <w:r>
        <w:rPr>
          <w:b/>
          <w:bCs/>
          <w:sz w:val="23"/>
          <w:szCs w:val="23"/>
        </w:rPr>
        <w:t>Требования к автотранспорту:</w:t>
      </w:r>
    </w:p>
    <w:p>
      <w:pPr>
        <w:pStyle w:val="Normal"/>
        <w:ind w:firstLine="709" w:right="0"/>
        <w:jc w:val="both"/>
        <w:rPr>
          <w:bCs/>
          <w:sz w:val="23"/>
          <w:szCs w:val="23"/>
        </w:rPr>
      </w:pPr>
      <w:r>
        <w:rPr>
          <w:bCs/>
          <w:sz w:val="23"/>
          <w:szCs w:val="23"/>
        </w:rPr>
        <w:t>- автобус оснащен кондиционером, телевизором, печкой, обогревающей салон с пассажирами и соответствует всем требованиям, предъявляемым к пассажирским перевозкам в порядке, установленным законодательством РФ;</w:t>
      </w:r>
    </w:p>
    <w:p>
      <w:pPr>
        <w:pStyle w:val="Normal"/>
        <w:ind w:firstLine="709" w:right="0"/>
        <w:jc w:val="both"/>
        <w:rPr>
          <w:bCs/>
          <w:sz w:val="23"/>
          <w:szCs w:val="23"/>
        </w:rPr>
      </w:pPr>
      <w:r>
        <w:rPr>
          <w:bCs/>
          <w:sz w:val="23"/>
          <w:szCs w:val="23"/>
        </w:rPr>
        <w:t>- комфортабельные кресла с регулировкой наклона, состояние обивки кресел – соответствующее туристическому классу;</w:t>
      </w:r>
    </w:p>
    <w:p>
      <w:pPr>
        <w:pStyle w:val="Normal"/>
        <w:ind w:firstLine="709" w:right="0"/>
        <w:jc w:val="both"/>
        <w:rPr>
          <w:bCs/>
          <w:sz w:val="23"/>
          <w:szCs w:val="23"/>
        </w:rPr>
      </w:pPr>
      <w:r>
        <w:rPr>
          <w:bCs/>
          <w:sz w:val="23"/>
          <w:szCs w:val="23"/>
        </w:rPr>
        <w:t>- наличие багажного отсека для перевозки багажа и инвентаря;</w:t>
      </w:r>
    </w:p>
    <w:p>
      <w:pPr>
        <w:pStyle w:val="Normal"/>
        <w:ind w:firstLine="709" w:right="0"/>
        <w:jc w:val="both"/>
        <w:rPr>
          <w:bCs/>
          <w:sz w:val="23"/>
          <w:szCs w:val="23"/>
        </w:rPr>
      </w:pPr>
      <w:r>
        <w:rPr>
          <w:bCs/>
          <w:sz w:val="23"/>
          <w:szCs w:val="23"/>
        </w:rPr>
        <w:t>- автотранспорт укомплектован необходимыми вспомогательными средствами: огнетушителем, аварийным знаком, аптечкой с медикаментами в соответствии с приказом 0 изделиями медицинского назначения аптечек для оказания первой медицинской помощи»;</w:t>
      </w:r>
    </w:p>
    <w:p>
      <w:pPr>
        <w:pStyle w:val="Normal"/>
        <w:ind w:firstLine="709" w:right="0"/>
        <w:jc w:val="both"/>
        <w:rPr>
          <w:bCs/>
          <w:sz w:val="23"/>
          <w:szCs w:val="23"/>
        </w:rPr>
      </w:pPr>
      <w:r>
        <w:rPr>
          <w:bCs/>
          <w:sz w:val="23"/>
          <w:szCs w:val="23"/>
        </w:rPr>
        <w:t>- автотранспорт подается в чистом виде, с чистым салоном, с отсутствием запахов горюче-смазочных материалов, сигаретного дыма, иных неприятных запахов в салоне;</w:t>
      </w:r>
    </w:p>
    <w:p>
      <w:pPr>
        <w:pStyle w:val="Normal"/>
        <w:ind w:firstLine="709" w:right="0"/>
        <w:jc w:val="both"/>
        <w:rPr>
          <w:b/>
          <w:bCs/>
          <w:sz w:val="23"/>
          <w:szCs w:val="23"/>
        </w:rPr>
      </w:pPr>
      <w:r>
        <w:rPr>
          <w:bCs/>
          <w:sz w:val="23"/>
          <w:szCs w:val="23"/>
        </w:rPr>
        <w:t>- полная техническая исправность автотранспорта, подтвержденная наличием действующего талона технического осмотра.</w:t>
      </w:r>
    </w:p>
    <w:p>
      <w:pPr>
        <w:pStyle w:val="Normal"/>
        <w:ind w:firstLine="709" w:right="0"/>
        <w:jc w:val="both"/>
        <w:rPr>
          <w:bCs/>
          <w:sz w:val="23"/>
          <w:szCs w:val="23"/>
        </w:rPr>
      </w:pPr>
      <w:r>
        <w:rPr>
          <w:b/>
          <w:bCs/>
          <w:sz w:val="23"/>
          <w:szCs w:val="23"/>
        </w:rPr>
        <w:t>Общие требования к оказанию услуг:</w:t>
      </w:r>
    </w:p>
    <w:p>
      <w:pPr>
        <w:pStyle w:val="Normal"/>
        <w:ind w:firstLine="709" w:right="0"/>
        <w:jc w:val="both"/>
        <w:rPr>
          <w:bCs/>
          <w:sz w:val="23"/>
          <w:szCs w:val="23"/>
        </w:rPr>
      </w:pPr>
      <w:r>
        <w:rPr>
          <w:bCs/>
          <w:sz w:val="23"/>
          <w:szCs w:val="23"/>
        </w:rPr>
        <w:t xml:space="preserve">- доставка комфортабельным автобусом; </w:t>
      </w:r>
    </w:p>
    <w:p>
      <w:pPr>
        <w:pStyle w:val="Normal"/>
        <w:ind w:firstLine="709" w:right="0"/>
        <w:jc w:val="both"/>
        <w:rPr>
          <w:bCs/>
          <w:sz w:val="23"/>
          <w:szCs w:val="23"/>
        </w:rPr>
      </w:pPr>
      <w:r>
        <w:rPr>
          <w:bCs/>
          <w:sz w:val="23"/>
          <w:szCs w:val="23"/>
        </w:rPr>
        <w:t>- багаж размещается только в багажных отсеках автобусов;</w:t>
      </w:r>
    </w:p>
    <w:p>
      <w:pPr>
        <w:pStyle w:val="Normal"/>
        <w:ind w:firstLine="709" w:right="0"/>
        <w:jc w:val="both"/>
        <w:rPr>
          <w:bCs/>
          <w:sz w:val="23"/>
          <w:szCs w:val="23"/>
        </w:rPr>
      </w:pPr>
      <w:r>
        <w:rPr>
          <w:bCs/>
          <w:sz w:val="23"/>
          <w:szCs w:val="23"/>
        </w:rPr>
        <w:t>- соответствие транспортного средства требованиям санитарно-технических норм непосредственно перед выездом к Заказчику;</w:t>
      </w:r>
    </w:p>
    <w:p>
      <w:pPr>
        <w:pStyle w:val="Normal"/>
        <w:ind w:firstLine="709" w:right="0"/>
        <w:jc w:val="both"/>
        <w:rPr>
          <w:kern w:val="2"/>
          <w:sz w:val="23"/>
          <w:szCs w:val="23"/>
        </w:rPr>
      </w:pPr>
      <w:r>
        <w:rPr>
          <w:bCs/>
          <w:sz w:val="23"/>
          <w:szCs w:val="23"/>
        </w:rPr>
        <w:t>- наличие путевого листа с обязательными отметками прохождения предрейсового контроля технического состояния автобуса и предрейсового и послерейсового медицинского осмотра водителей автотранспорта в порядке, установленном Министерством здравоохранения Российской Федерации, и по требованию заказчика предоставление сведений о прохождении медицинского осмотра.</w:t>
      </w:r>
    </w:p>
    <w:p>
      <w:pPr>
        <w:pStyle w:val="Normal"/>
        <w:jc w:val="both"/>
        <w:rPr>
          <w:kern w:val="2"/>
          <w:sz w:val="23"/>
          <w:szCs w:val="23"/>
        </w:rPr>
      </w:pPr>
      <w:r>
        <w:rPr>
          <w:kern w:val="2"/>
          <w:sz w:val="23"/>
          <w:szCs w:val="23"/>
        </w:rPr>
        <w:tab/>
        <w:t>Исполнитель предоставляет Заказчику не менее чем за 1 (один) день до поездки следующую информацию:</w:t>
      </w:r>
    </w:p>
    <w:p>
      <w:pPr>
        <w:pStyle w:val="Normal"/>
        <w:jc w:val="both"/>
        <w:rPr>
          <w:kern w:val="2"/>
          <w:sz w:val="23"/>
          <w:szCs w:val="23"/>
        </w:rPr>
      </w:pPr>
      <w:r>
        <w:rPr>
          <w:kern w:val="2"/>
          <w:sz w:val="23"/>
          <w:szCs w:val="23"/>
        </w:rPr>
        <w:tab/>
        <w:t xml:space="preserve">- регистрационный номер и описание автобуса, телефоны перевозчика основной и резервный, телефоны и контактные данные водителя; </w:t>
      </w:r>
    </w:p>
    <w:p>
      <w:pPr>
        <w:pStyle w:val="Normal"/>
        <w:jc w:val="both"/>
        <w:rPr>
          <w:kern w:val="2"/>
          <w:sz w:val="23"/>
          <w:szCs w:val="23"/>
        </w:rPr>
      </w:pPr>
      <w:r>
        <w:rPr>
          <w:kern w:val="2"/>
          <w:sz w:val="23"/>
          <w:szCs w:val="23"/>
        </w:rPr>
        <w:tab/>
        <w:t>Все услуги оказываются качественно и своевременно.</w:t>
      </w:r>
    </w:p>
    <w:p>
      <w:pPr>
        <w:pStyle w:val="Normal"/>
        <w:jc w:val="both"/>
        <w:rPr>
          <w:b/>
          <w:sz w:val="23"/>
          <w:szCs w:val="23"/>
        </w:rPr>
      </w:pPr>
      <w:r>
        <w:rPr/>
        <w:tab/>
      </w:r>
    </w:p>
    <w:tbl>
      <w:tblPr>
        <w:tblW w:w="9740" w:type="dxa"/>
        <w:jc w:val="left"/>
        <w:tblInd w:w="114" w:type="dxa"/>
        <w:tblLayout w:type="fixed"/>
        <w:tblCellMar>
          <w:top w:w="0" w:type="dxa"/>
          <w:left w:w="108" w:type="dxa"/>
          <w:bottom w:w="0" w:type="dxa"/>
          <w:right w:w="108" w:type="dxa"/>
        </w:tblCellMar>
      </w:tblPr>
      <w:tblGrid>
        <w:gridCol w:w="5033"/>
        <w:gridCol w:w="4706"/>
      </w:tblGrid>
      <w:tr>
        <w:trPr>
          <w:trHeight w:val="628" w:hRule="atLeast"/>
        </w:trPr>
        <w:tc>
          <w:tcPr>
            <w:tcW w:w="5033" w:type="dxa"/>
            <w:tcBorders/>
          </w:tcPr>
          <w:p>
            <w:pPr>
              <w:pStyle w:val="BodyTextIndent"/>
              <w:jc w:val="center"/>
              <w:rPr>
                <w:sz w:val="23"/>
                <w:szCs w:val="23"/>
              </w:rPr>
            </w:pPr>
            <w:r>
              <w:rPr>
                <w:b/>
                <w:sz w:val="23"/>
                <w:szCs w:val="23"/>
              </w:rPr>
              <w:t>ЗАКАЗЧИК:</w:t>
            </w:r>
          </w:p>
          <w:p>
            <w:pPr>
              <w:pStyle w:val="BodyTextIndent"/>
              <w:ind w:hanging="0" w:left="0" w:right="0"/>
              <w:jc w:val="left"/>
              <w:rPr>
                <w:sz w:val="23"/>
                <w:szCs w:val="23"/>
              </w:rPr>
            </w:pPr>
            <w:r>
              <w:rPr>
                <w:sz w:val="23"/>
                <w:szCs w:val="23"/>
              </w:rPr>
              <w:t>Заместитель руководителя УФССП России по Владимирской области</w:t>
            </w:r>
          </w:p>
          <w:p>
            <w:pPr>
              <w:pStyle w:val="BodyTextIndent"/>
              <w:jc w:val="left"/>
              <w:rPr>
                <w:sz w:val="23"/>
                <w:szCs w:val="23"/>
              </w:rPr>
            </w:pPr>
            <w:r>
              <w:rPr>
                <w:sz w:val="23"/>
                <w:szCs w:val="23"/>
              </w:rPr>
            </w:r>
          </w:p>
          <w:p>
            <w:pPr>
              <w:pStyle w:val="BodyTextIndent"/>
              <w:ind w:hanging="0" w:left="0" w:right="0"/>
              <w:jc w:val="left"/>
              <w:rPr>
                <w:sz w:val="23"/>
                <w:szCs w:val="23"/>
              </w:rPr>
            </w:pPr>
            <w:r>
              <w:rPr>
                <w:sz w:val="23"/>
                <w:szCs w:val="23"/>
              </w:rPr>
              <w:t>____________________/А.М.Тамарин/</w:t>
            </w:r>
          </w:p>
          <w:p>
            <w:pPr>
              <w:pStyle w:val="BodyTextIndent"/>
              <w:ind w:hanging="0" w:left="0" w:right="0"/>
              <w:jc w:val="left"/>
              <w:rPr>
                <w:sz w:val="23"/>
                <w:szCs w:val="23"/>
              </w:rPr>
            </w:pPr>
            <w:r>
              <w:rPr>
                <w:sz w:val="23"/>
                <w:szCs w:val="23"/>
              </w:rPr>
              <w:t>м.п.</w:t>
            </w:r>
          </w:p>
        </w:tc>
        <w:tc>
          <w:tcPr>
            <w:tcW w:w="4706" w:type="dxa"/>
            <w:tcBorders/>
          </w:tcPr>
          <w:p>
            <w:pPr>
              <w:pStyle w:val="Normal"/>
              <w:jc w:val="center"/>
              <w:rPr>
                <w:b/>
                <w:sz w:val="23"/>
                <w:szCs w:val="23"/>
              </w:rPr>
            </w:pPr>
            <w:r>
              <w:rPr>
                <w:b/>
                <w:sz w:val="23"/>
                <w:szCs w:val="23"/>
              </w:rPr>
              <w:t>ИСПОЛНИТЕЛЬ:</w:t>
            </w:r>
          </w:p>
          <w:p>
            <w:pPr>
              <w:pStyle w:val="Normal"/>
              <w:rPr>
                <w:b/>
                <w:sz w:val="23"/>
                <w:szCs w:val="23"/>
              </w:rPr>
            </w:pPr>
            <w:r>
              <w:rPr>
                <w:b/>
                <w:sz w:val="23"/>
                <w:szCs w:val="23"/>
              </w:rPr>
            </w:r>
          </w:p>
        </w:tc>
      </w:tr>
    </w:tbl>
    <w:p>
      <w:pPr>
        <w:pStyle w:val="Style27"/>
        <w:snapToGrid w:val="false"/>
        <w:jc w:val="right"/>
        <w:rPr>
          <w:sz w:val="23"/>
          <w:szCs w:val="23"/>
        </w:rPr>
      </w:pPr>
      <w:r>
        <w:rPr>
          <w:sz w:val="23"/>
          <w:szCs w:val="23"/>
        </w:rPr>
      </w:r>
    </w:p>
    <w:p>
      <w:pPr>
        <w:pStyle w:val="Style27"/>
        <w:snapToGrid w:val="false"/>
        <w:jc w:val="right"/>
        <w:rPr>
          <w:sz w:val="23"/>
          <w:szCs w:val="23"/>
        </w:rPr>
      </w:pPr>
      <w:r>
        <w:rPr>
          <w:sz w:val="23"/>
          <w:szCs w:val="23"/>
        </w:rPr>
      </w:r>
    </w:p>
    <w:p>
      <w:pPr>
        <w:pStyle w:val="Style27"/>
        <w:snapToGrid w:val="false"/>
        <w:jc w:val="right"/>
        <w:rPr>
          <w:sz w:val="23"/>
          <w:szCs w:val="23"/>
          <w:shd w:fill="auto" w:val="clear"/>
        </w:rPr>
      </w:pPr>
      <w:r>
        <w:rPr>
          <w:sz w:val="23"/>
          <w:szCs w:val="23"/>
        </w:rPr>
        <w:t xml:space="preserve">Приложение № 2 </w:t>
      </w:r>
    </w:p>
    <w:p>
      <w:pPr>
        <w:pStyle w:val="Style27"/>
        <w:snapToGrid w:val="false"/>
        <w:jc w:val="right"/>
        <w:rPr>
          <w:sz w:val="23"/>
          <w:szCs w:val="23"/>
          <w:shd w:fill="auto" w:val="clear"/>
        </w:rPr>
      </w:pPr>
      <w:r>
        <w:rPr>
          <w:sz w:val="23"/>
          <w:szCs w:val="23"/>
          <w:shd w:fill="auto" w:val="clear"/>
        </w:rPr>
        <w:t>к Контракту №_______</w:t>
      </w:r>
    </w:p>
    <w:p>
      <w:pPr>
        <w:pStyle w:val="Style27"/>
        <w:snapToGrid w:val="false"/>
        <w:jc w:val="right"/>
        <w:rPr>
          <w:sz w:val="23"/>
          <w:szCs w:val="23"/>
          <w:shd w:fill="auto" w:val="clear"/>
        </w:rPr>
      </w:pPr>
      <w:r>
        <w:rPr>
          <w:sz w:val="23"/>
          <w:szCs w:val="23"/>
          <w:shd w:fill="auto" w:val="clear"/>
        </w:rPr>
        <w:t>от «__» _________ 2026года</w:t>
      </w:r>
    </w:p>
    <w:p>
      <w:pPr>
        <w:pStyle w:val="Style27"/>
        <w:snapToGrid w:val="false"/>
        <w:jc w:val="right"/>
        <w:rPr>
          <w:sz w:val="23"/>
          <w:szCs w:val="23"/>
          <w:shd w:fill="auto" w:val="clear"/>
        </w:rPr>
      </w:pPr>
      <w:r>
        <w:rPr>
          <w:sz w:val="23"/>
          <w:szCs w:val="23"/>
          <w:shd w:fill="auto" w:val="clear"/>
        </w:rPr>
      </w:r>
    </w:p>
    <w:p>
      <w:pPr>
        <w:pStyle w:val="Normal"/>
        <w:spacing w:before="0" w:after="160"/>
        <w:contextualSpacing/>
        <w:jc w:val="center"/>
        <w:rPr>
          <w:rFonts w:eastAsia="Times New Roman" w:cs="Times New Roman"/>
          <w:bCs/>
          <w:color w:val="000000"/>
          <w:sz w:val="23"/>
          <w:szCs w:val="23"/>
          <w:shd w:fill="auto" w:val="clear"/>
          <w:lang w:val="ru-RU" w:eastAsia="zh-CN" w:bidi="ar-SA"/>
        </w:rPr>
      </w:pPr>
      <w:r>
        <w:rPr>
          <w:rFonts w:eastAsia="Times New Roman" w:cs="Times New Roman"/>
          <w:bCs/>
          <w:color w:val="000000"/>
          <w:sz w:val="23"/>
          <w:szCs w:val="23"/>
          <w:shd w:fill="auto" w:val="clear"/>
          <w:lang w:val="ru-RU" w:eastAsia="zh-CN" w:bidi="ar-SA"/>
        </w:rPr>
        <w:t>Реестр оказанных услуг</w:t>
      </w:r>
    </w:p>
    <w:p>
      <w:pPr>
        <w:pStyle w:val="Normal"/>
        <w:spacing w:before="0" w:after="160"/>
        <w:contextualSpacing/>
        <w:jc w:val="both"/>
        <w:rPr>
          <w:rFonts w:eastAsia="Times New Roman" w:cs="Times New Roman"/>
          <w:bCs/>
          <w:color w:val="000000"/>
          <w:sz w:val="23"/>
          <w:szCs w:val="23"/>
          <w:shd w:fill="auto" w:val="clear"/>
          <w:lang w:val="ru-RU" w:eastAsia="zh-CN" w:bidi="ar-SA"/>
        </w:rPr>
      </w:pPr>
      <w:r>
        <w:rPr>
          <w:rFonts w:eastAsia="Times New Roman" w:cs="Times New Roman"/>
          <w:bCs/>
          <w:color w:val="000000"/>
          <w:sz w:val="23"/>
          <w:szCs w:val="23"/>
          <w:shd w:fill="auto" w:val="clear"/>
          <w:lang w:val="ru-RU" w:eastAsia="zh-CN" w:bidi="ar-SA"/>
        </w:rPr>
      </w:r>
    </w:p>
    <w:p>
      <w:pPr>
        <w:pStyle w:val="Normal"/>
        <w:spacing w:before="0" w:after="160"/>
        <w:contextualSpacing/>
        <w:jc w:val="both"/>
        <w:rPr>
          <w:rFonts w:eastAsia="Times New Roman" w:cs="Times New Roman"/>
          <w:bCs/>
          <w:color w:val="000000"/>
          <w:sz w:val="23"/>
          <w:szCs w:val="23"/>
          <w:shd w:fill="auto" w:val="clear"/>
          <w:lang w:val="ru-RU" w:eastAsia="zh-CN" w:bidi="ar-SA"/>
        </w:rPr>
      </w:pPr>
      <w:r>
        <w:rPr>
          <w:rFonts w:eastAsia="Times New Roman" w:cs="Times New Roman"/>
          <w:bCs/>
          <w:color w:val="000000"/>
          <w:sz w:val="23"/>
          <w:szCs w:val="23"/>
          <w:shd w:fill="auto" w:val="clear"/>
          <w:lang w:val="ru-RU" w:eastAsia="zh-CN" w:bidi="ar-SA"/>
        </w:rPr>
        <w:t xml:space="preserve">г.Владимир                                                                                                                  «__»_________2026 г. </w:t>
      </w:r>
    </w:p>
    <w:p>
      <w:pPr>
        <w:pStyle w:val="19"/>
        <w:spacing w:before="0" w:after="0"/>
        <w:ind w:firstLine="624" w:right="0"/>
        <w:contextualSpacing/>
        <w:jc w:val="both"/>
        <w:rPr>
          <w:rFonts w:eastAsia="Times New Roman" w:cs="Times New Roman"/>
          <w:bCs/>
          <w:color w:val="000000"/>
          <w:sz w:val="23"/>
          <w:szCs w:val="23"/>
          <w:shd w:fill="auto" w:val="clear"/>
          <w:lang w:val="ru-RU" w:eastAsia="zh-CN" w:bidi="ar-SA"/>
        </w:rPr>
      </w:pPr>
      <w:r>
        <w:rPr>
          <w:rFonts w:eastAsia="Times New Roman" w:cs="Times New Roman"/>
          <w:bCs/>
          <w:color w:val="000000"/>
          <w:sz w:val="23"/>
          <w:szCs w:val="23"/>
          <w:shd w:fill="auto" w:val="clear"/>
          <w:lang w:val="ru-RU" w:eastAsia="zh-CN" w:bidi="ar-SA"/>
        </w:rPr>
      </w:r>
    </w:p>
    <w:tbl>
      <w:tblPr>
        <w:tblW w:w="10200" w:type="dxa"/>
        <w:jc w:val="left"/>
        <w:tblInd w:w="0" w:type="dxa"/>
        <w:tblLayout w:type="fixed"/>
        <w:tblCellMar>
          <w:top w:w="0" w:type="dxa"/>
          <w:left w:w="108" w:type="dxa"/>
          <w:bottom w:w="0" w:type="dxa"/>
          <w:right w:w="108" w:type="dxa"/>
        </w:tblCellMar>
      </w:tblPr>
      <w:tblGrid>
        <w:gridCol w:w="587"/>
        <w:gridCol w:w="6394"/>
        <w:gridCol w:w="708"/>
        <w:gridCol w:w="1086"/>
        <w:gridCol w:w="1364"/>
        <w:gridCol w:w="60"/>
      </w:tblGrid>
      <w:tr>
        <w:trPr>
          <w:trHeight w:val="324" w:hRule="atLeast"/>
        </w:trPr>
        <w:tc>
          <w:tcPr>
            <w:tcW w:w="587" w:type="dxa"/>
            <w:tcBorders>
              <w:top w:val="single" w:sz="4" w:space="0" w:color="000000"/>
              <w:left w:val="single" w:sz="4" w:space="0" w:color="000000"/>
              <w:bottom w:val="single" w:sz="4" w:space="0" w:color="000000"/>
            </w:tcBorders>
            <w:vAlign w:val="center"/>
          </w:tcPr>
          <w:p>
            <w:pPr>
              <w:pStyle w:val="HTMLPreformatted"/>
              <w:widowControl w:val="false"/>
              <w:spacing w:before="0" w:after="0"/>
              <w:contextualSpacing/>
              <w:jc w:val="both"/>
              <w:rPr/>
            </w:pPr>
            <w:r>
              <w:rPr>
                <w:rFonts w:eastAsia="Times New Roman" w:cs="Times New Roman" w:ascii="Times New Roman" w:hAnsi="Times New Roman"/>
                <w:bCs/>
                <w:color w:val="auto"/>
                <w:sz w:val="23"/>
                <w:szCs w:val="23"/>
                <w:lang w:val="ru-RU" w:eastAsia="zh-CN" w:bidi="ar-SA"/>
              </w:rPr>
              <w:t xml:space="preserve">№ </w:t>
            </w:r>
            <w:r>
              <w:rPr>
                <w:rFonts w:eastAsia="Times New Roman" w:cs="Times New Roman" w:ascii="Times New Roman" w:hAnsi="Times New Roman"/>
                <w:bCs/>
                <w:color w:val="auto"/>
                <w:sz w:val="23"/>
                <w:szCs w:val="23"/>
                <w:lang w:val="ru-RU" w:eastAsia="zh-CN" w:bidi="ar-SA"/>
              </w:rPr>
              <w:t>п/п</w:t>
            </w:r>
          </w:p>
        </w:tc>
        <w:tc>
          <w:tcPr>
            <w:tcW w:w="6394" w:type="dxa"/>
            <w:tcBorders>
              <w:top w:val="single" w:sz="4" w:space="0" w:color="000000"/>
              <w:left w:val="single" w:sz="4" w:space="0" w:color="000000"/>
              <w:bottom w:val="single" w:sz="4" w:space="0" w:color="000000"/>
            </w:tcBorders>
            <w:vAlign w:val="center"/>
          </w:tcPr>
          <w:p>
            <w:pPr>
              <w:pStyle w:val="HTMLPreformatted"/>
              <w:widowControl w:val="false"/>
              <w:spacing w:before="0" w:after="0"/>
              <w:contextualSpacing/>
              <w:jc w:val="center"/>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Наименование услуг*</w:t>
            </w:r>
          </w:p>
        </w:tc>
        <w:tc>
          <w:tcPr>
            <w:tcW w:w="708" w:type="dxa"/>
            <w:tcBorders>
              <w:top w:val="single" w:sz="4" w:space="0" w:color="000000"/>
              <w:left w:val="single" w:sz="4" w:space="0" w:color="000000"/>
              <w:bottom w:val="single" w:sz="4" w:space="0" w:color="000000"/>
            </w:tcBorders>
            <w:vAlign w:val="center"/>
          </w:tcPr>
          <w:p>
            <w:pPr>
              <w:pStyle w:val="Normal"/>
              <w:widowControl w:val="false"/>
              <w:spacing w:before="0" w:after="160"/>
              <w:contextualSpacing/>
              <w:jc w:val="center"/>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t>Ед. изм.</w:t>
            </w:r>
          </w:p>
        </w:tc>
        <w:tc>
          <w:tcPr>
            <w:tcW w:w="1086" w:type="dxa"/>
            <w:tcBorders>
              <w:top w:val="single" w:sz="4" w:space="0" w:color="000000"/>
              <w:left w:val="single" w:sz="4" w:space="0" w:color="000000"/>
              <w:bottom w:val="single" w:sz="4" w:space="0" w:color="000000"/>
            </w:tcBorders>
            <w:vAlign w:val="center"/>
          </w:tcPr>
          <w:p>
            <w:pPr>
              <w:pStyle w:val="HTMLPreformatted"/>
              <w:widowControl w:val="false"/>
              <w:spacing w:before="0" w:after="0"/>
              <w:ind w:right="-139"/>
              <w:contextualSpacing/>
              <w:jc w:val="center"/>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Кол-во</w:t>
            </w:r>
          </w:p>
        </w:tc>
        <w:tc>
          <w:tcPr>
            <w:tcW w:w="1364" w:type="dxa"/>
            <w:tcBorders>
              <w:top w:val="single" w:sz="4" w:space="0" w:color="000000"/>
              <w:left w:val="single" w:sz="4" w:space="0" w:color="000000"/>
              <w:bottom w:val="single" w:sz="4" w:space="0" w:color="000000"/>
              <w:right w:val="single" w:sz="4" w:space="0" w:color="000000"/>
            </w:tcBorders>
            <w:vAlign w:val="center"/>
          </w:tcPr>
          <w:p>
            <w:pPr>
              <w:pStyle w:val="HTMLPreformatted"/>
              <w:widowControl w:val="false"/>
              <w:spacing w:before="0" w:after="0"/>
              <w:ind w:right="-139"/>
              <w:contextualSpacing/>
              <w:jc w:val="center"/>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Общая стоимость, руб.</w:t>
            </w:r>
          </w:p>
        </w:tc>
        <w:tc>
          <w:tcPr>
            <w:tcW w:w="60" w:type="dxa"/>
            <w:tcBorders/>
          </w:tcPr>
          <w:p>
            <w:pPr>
              <w:pStyle w:val="Normal"/>
              <w:widowControl/>
              <w:suppressAutoHyphens w:val="true"/>
              <w:bidi w:val="0"/>
              <w:snapToGrid w:val="false"/>
              <w:spacing w:lineRule="auto" w:line="252" w:before="0" w:after="160"/>
              <w:jc w:val="left"/>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r>
          </w:p>
        </w:tc>
      </w:tr>
      <w:tr>
        <w:trPr>
          <w:trHeight w:val="324" w:hRule="atLeast"/>
        </w:trPr>
        <w:tc>
          <w:tcPr>
            <w:tcW w:w="587" w:type="dxa"/>
            <w:tcBorders>
              <w:top w:val="single" w:sz="4" w:space="0" w:color="000000"/>
              <w:left w:val="single" w:sz="4" w:space="0" w:color="000000"/>
              <w:bottom w:val="single" w:sz="4" w:space="0" w:color="000000"/>
            </w:tcBorders>
            <w:vAlign w:val="center"/>
          </w:tcPr>
          <w:p>
            <w:pPr>
              <w:pStyle w:val="HTMLPreformatted"/>
              <w:widowControl w:val="false"/>
              <w:spacing w:before="0" w:after="0"/>
              <w:contextualSpacing/>
              <w:jc w:val="both"/>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1</w:t>
            </w:r>
          </w:p>
        </w:tc>
        <w:tc>
          <w:tcPr>
            <w:tcW w:w="6394" w:type="dxa"/>
            <w:tcBorders>
              <w:top w:val="single" w:sz="4" w:space="0" w:color="000000"/>
              <w:left w:val="single" w:sz="4" w:space="0" w:color="000000"/>
              <w:bottom w:val="single" w:sz="4" w:space="0" w:color="000000"/>
            </w:tcBorders>
            <w:vAlign w:val="center"/>
          </w:tcPr>
          <w:p>
            <w:pPr>
              <w:pStyle w:val="HTMLPreformatted"/>
              <w:widowControl w:val="false"/>
              <w:snapToGrid w:val="false"/>
              <w:spacing w:before="0" w:after="0"/>
              <w:contextualSpacing/>
              <w:jc w:val="both"/>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Оказание услуг по доставке иностранного гражданина (лица без гражданства), подлежащего выдворению по маршруту: _____________________________________________________</w:t>
            </w:r>
          </w:p>
          <w:p>
            <w:pPr>
              <w:pStyle w:val="HTMLPreformatted"/>
              <w:widowControl w:val="false"/>
              <w:snapToGrid w:val="false"/>
              <w:spacing w:before="0" w:after="0"/>
              <w:contextualSpacing/>
              <w:jc w:val="both"/>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(в том числе:</w:t>
            </w:r>
          </w:p>
          <w:p>
            <w:pPr>
              <w:pStyle w:val="HTMLPreformatted"/>
              <w:widowControl w:val="false"/>
              <w:snapToGrid w:val="false"/>
              <w:spacing w:before="0" w:after="0"/>
              <w:contextualSpacing/>
              <w:jc w:val="both"/>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 иностранных граждан и лиц без гражданства, подлежащих административному выдворению - _____ человек;</w:t>
            </w:r>
          </w:p>
          <w:p>
            <w:pPr>
              <w:pStyle w:val="HTMLPreformatted"/>
              <w:widowControl w:val="false"/>
              <w:snapToGrid w:val="false"/>
              <w:spacing w:before="0" w:after="0"/>
              <w:contextualSpacing/>
              <w:jc w:val="both"/>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 судебных приставов по ОУПДС осуществляющих препровождение – ______ человек).</w:t>
            </w:r>
          </w:p>
        </w:tc>
        <w:tc>
          <w:tcPr>
            <w:tcW w:w="708" w:type="dxa"/>
            <w:tcBorders>
              <w:top w:val="single" w:sz="4" w:space="0" w:color="000000"/>
              <w:left w:val="single" w:sz="4" w:space="0" w:color="000000"/>
              <w:bottom w:val="single" w:sz="4" w:space="0" w:color="000000"/>
            </w:tcBorders>
            <w:vAlign w:val="center"/>
          </w:tcPr>
          <w:p>
            <w:pPr>
              <w:pStyle w:val="Normal"/>
              <w:widowControl w:val="false"/>
              <w:snapToGrid w:val="false"/>
              <w:spacing w:before="0" w:after="160"/>
              <w:contextualSpacing/>
              <w:jc w:val="center"/>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t>Шт.</w:t>
            </w:r>
          </w:p>
        </w:tc>
        <w:tc>
          <w:tcPr>
            <w:tcW w:w="1086" w:type="dxa"/>
            <w:tcBorders>
              <w:top w:val="single" w:sz="4" w:space="0" w:color="000000"/>
              <w:left w:val="single" w:sz="4" w:space="0" w:color="000000"/>
              <w:bottom w:val="single" w:sz="4" w:space="0" w:color="000000"/>
            </w:tcBorders>
            <w:vAlign w:val="center"/>
          </w:tcPr>
          <w:p>
            <w:pPr>
              <w:pStyle w:val="HTMLPreformatted"/>
              <w:widowControl w:val="false"/>
              <w:snapToGrid w:val="false"/>
              <w:spacing w:before="0" w:after="0"/>
              <w:ind w:right="-139"/>
              <w:contextualSpacing/>
              <w:jc w:val="center"/>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1</w:t>
            </w:r>
          </w:p>
        </w:tc>
        <w:tc>
          <w:tcPr>
            <w:tcW w:w="1364" w:type="dxa"/>
            <w:tcBorders>
              <w:top w:val="single" w:sz="4" w:space="0" w:color="000000"/>
              <w:left w:val="single" w:sz="4" w:space="0" w:color="000000"/>
              <w:bottom w:val="single" w:sz="4" w:space="0" w:color="000000"/>
              <w:right w:val="single" w:sz="4" w:space="0" w:color="000000"/>
            </w:tcBorders>
            <w:vAlign w:val="center"/>
          </w:tcPr>
          <w:p>
            <w:pPr>
              <w:pStyle w:val="HTMLPreformatted"/>
              <w:widowControl w:val="false"/>
              <w:snapToGrid w:val="false"/>
              <w:spacing w:before="0" w:after="0"/>
              <w:ind w:right="-139"/>
              <w:contextualSpacing/>
              <w:jc w:val="center"/>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r>
          </w:p>
        </w:tc>
        <w:tc>
          <w:tcPr>
            <w:tcW w:w="60" w:type="dxa"/>
            <w:tcBorders/>
          </w:tcPr>
          <w:p>
            <w:pPr>
              <w:pStyle w:val="Normal"/>
              <w:widowControl/>
              <w:suppressAutoHyphens w:val="true"/>
              <w:bidi w:val="0"/>
              <w:snapToGrid w:val="false"/>
              <w:spacing w:lineRule="auto" w:line="252" w:before="0" w:after="160"/>
              <w:jc w:val="left"/>
              <w:rPr>
                <w:rFonts w:ascii="Times New Roman" w:hAnsi="Times New Roman"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r>
          </w:p>
        </w:tc>
      </w:tr>
      <w:tr>
        <w:trPr>
          <w:trHeight w:val="324" w:hRule="atLeast"/>
        </w:trPr>
        <w:tc>
          <w:tcPr>
            <w:tcW w:w="10139" w:type="dxa"/>
            <w:gridSpan w:val="5"/>
            <w:tcBorders>
              <w:top w:val="single" w:sz="4" w:space="0" w:color="000000"/>
              <w:left w:val="single" w:sz="4" w:space="0" w:color="000000"/>
              <w:bottom w:val="single" w:sz="4" w:space="0" w:color="000000"/>
              <w:right w:val="single" w:sz="4" w:space="0" w:color="000000"/>
            </w:tcBorders>
            <w:vAlign w:val="center"/>
          </w:tcPr>
          <w:p>
            <w:pPr>
              <w:pStyle w:val="HTMLPreformatted"/>
              <w:widowControl w:val="false"/>
              <w:spacing w:before="0" w:after="0"/>
              <w:ind w:right="-139"/>
              <w:contextualSpacing/>
              <w:jc w:val="left"/>
              <w:rPr>
                <w:rFonts w:ascii="Times New Roman" w:hAnsi="Times New Roman" w:eastAsia="Times New Roman" w:cs="Times New Roman"/>
                <w:bCs/>
                <w:color w:val="auto"/>
                <w:sz w:val="23"/>
                <w:szCs w:val="23"/>
                <w:lang w:val="ru-RU" w:eastAsia="zh-CN" w:bidi="ar-SA"/>
              </w:rPr>
            </w:pPr>
            <w:r>
              <w:rPr>
                <w:rFonts w:eastAsia="Times New Roman" w:cs="Times New Roman" w:ascii="Times New Roman" w:hAnsi="Times New Roman"/>
                <w:bCs/>
                <w:color w:val="auto"/>
                <w:sz w:val="23"/>
                <w:szCs w:val="23"/>
                <w:lang w:val="ru-RU" w:eastAsia="zh-CN" w:bidi="ar-SA"/>
              </w:rPr>
              <w:t>Итого:</w:t>
            </w:r>
          </w:p>
        </w:tc>
        <w:tc>
          <w:tcPr>
            <w:tcW w:w="60" w:type="dxa"/>
            <w:tcBorders/>
            <w:tcMar>
              <w:left w:w="0" w:type="dxa"/>
              <w:right w:w="0" w:type="dxa"/>
            </w:tcMar>
          </w:tcPr>
          <w:p>
            <w:pPr>
              <w:pStyle w:val="Normal"/>
              <w:snapToGrid w:val="false"/>
              <w:rPr/>
            </w:pPr>
            <w:r>
              <w:rPr/>
            </w:r>
          </w:p>
        </w:tc>
      </w:tr>
    </w:tbl>
    <w:p>
      <w:pPr>
        <w:pStyle w:val="110"/>
        <w:spacing w:before="0" w:after="0"/>
        <w:ind w:firstLine="709" w:right="0"/>
        <w:contextualSpacing/>
        <w:jc w:val="both"/>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r>
    </w:p>
    <w:p>
      <w:pPr>
        <w:pStyle w:val="110"/>
        <w:spacing w:before="0" w:after="0"/>
        <w:ind w:firstLine="709" w:right="0"/>
        <w:contextualSpacing/>
        <w:jc w:val="both"/>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t>*Стоимость оказанной услуги разбивается пропорционально количеству иностранных граждан и лиц без гражданства, подлежащих административному выдворению, и судебных приставов по ОУПДС осуществляющих препровождение.</w:t>
      </w:r>
    </w:p>
    <w:p>
      <w:pPr>
        <w:pStyle w:val="110"/>
        <w:spacing w:before="0" w:after="0"/>
        <w:ind w:firstLine="709" w:right="0"/>
        <w:contextualSpacing/>
        <w:jc w:val="both"/>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r>
    </w:p>
    <w:p>
      <w:pPr>
        <w:pStyle w:val="110"/>
        <w:spacing w:before="0" w:after="0"/>
        <w:ind w:firstLine="709" w:right="0"/>
        <w:contextualSpacing/>
        <w:jc w:val="both"/>
        <w:rPr>
          <w:rFonts w:eastAsia="Times New Roman" w:cs="Times New Roman"/>
          <w:bCs/>
          <w:color w:val="auto"/>
          <w:sz w:val="23"/>
          <w:szCs w:val="23"/>
          <w:lang w:val="ru-RU" w:eastAsia="zh-CN" w:bidi="ar-SA"/>
        </w:rPr>
      </w:pPr>
      <w:r>
        <w:rPr>
          <w:rFonts w:eastAsia="Times New Roman" w:cs="Times New Roman"/>
          <w:bCs/>
          <w:color w:val="auto"/>
          <w:sz w:val="23"/>
          <w:szCs w:val="23"/>
          <w:lang w:val="ru-RU" w:eastAsia="zh-CN" w:bidi="ar-SA"/>
        </w:rPr>
      </w:r>
    </w:p>
    <w:tbl>
      <w:tblPr>
        <w:tblW w:w="9740" w:type="dxa"/>
        <w:jc w:val="left"/>
        <w:tblInd w:w="114" w:type="dxa"/>
        <w:tblLayout w:type="fixed"/>
        <w:tblCellMar>
          <w:top w:w="0" w:type="dxa"/>
          <w:left w:w="108" w:type="dxa"/>
          <w:bottom w:w="0" w:type="dxa"/>
          <w:right w:w="108" w:type="dxa"/>
        </w:tblCellMar>
      </w:tblPr>
      <w:tblGrid>
        <w:gridCol w:w="5033"/>
        <w:gridCol w:w="4706"/>
      </w:tblGrid>
      <w:tr>
        <w:trPr>
          <w:trHeight w:val="628" w:hRule="atLeast"/>
        </w:trPr>
        <w:tc>
          <w:tcPr>
            <w:tcW w:w="5033" w:type="dxa"/>
            <w:tcBorders/>
          </w:tcPr>
          <w:p>
            <w:pPr>
              <w:pStyle w:val="BodyTextIndent"/>
              <w:jc w:val="center"/>
              <w:rPr>
                <w:sz w:val="23"/>
                <w:szCs w:val="23"/>
              </w:rPr>
            </w:pPr>
            <w:r>
              <w:rPr>
                <w:b/>
                <w:sz w:val="23"/>
                <w:szCs w:val="23"/>
              </w:rPr>
              <w:t>ЗАКАЗЧИК:</w:t>
            </w:r>
          </w:p>
          <w:p>
            <w:pPr>
              <w:pStyle w:val="BodyTextIndent"/>
              <w:ind w:hanging="0" w:left="0" w:right="0"/>
              <w:jc w:val="left"/>
              <w:rPr>
                <w:sz w:val="23"/>
                <w:szCs w:val="23"/>
              </w:rPr>
            </w:pPr>
            <w:r>
              <w:rPr>
                <w:sz w:val="23"/>
                <w:szCs w:val="23"/>
              </w:rPr>
              <w:t>Заместитель руководителя УФССП России по Владимирской области</w:t>
            </w:r>
          </w:p>
          <w:p>
            <w:pPr>
              <w:pStyle w:val="BodyTextIndent"/>
              <w:jc w:val="left"/>
              <w:rPr>
                <w:sz w:val="23"/>
                <w:szCs w:val="23"/>
              </w:rPr>
            </w:pPr>
            <w:r>
              <w:rPr>
                <w:sz w:val="23"/>
                <w:szCs w:val="23"/>
              </w:rPr>
            </w:r>
          </w:p>
          <w:p>
            <w:pPr>
              <w:pStyle w:val="BodyTextIndent"/>
              <w:ind w:hanging="0" w:left="0" w:right="0"/>
              <w:jc w:val="left"/>
              <w:rPr>
                <w:sz w:val="23"/>
                <w:szCs w:val="23"/>
              </w:rPr>
            </w:pPr>
            <w:r>
              <w:rPr>
                <w:sz w:val="23"/>
                <w:szCs w:val="23"/>
              </w:rPr>
              <w:t>____________________/А.М.Тамарин/</w:t>
            </w:r>
          </w:p>
          <w:p>
            <w:pPr>
              <w:pStyle w:val="BodyTextIndent"/>
              <w:ind w:hanging="0" w:left="0" w:right="0"/>
              <w:jc w:val="left"/>
              <w:rPr>
                <w:sz w:val="23"/>
                <w:szCs w:val="23"/>
              </w:rPr>
            </w:pPr>
            <w:r>
              <w:rPr>
                <w:sz w:val="23"/>
                <w:szCs w:val="23"/>
              </w:rPr>
              <w:t>м.п.</w:t>
            </w:r>
          </w:p>
        </w:tc>
        <w:tc>
          <w:tcPr>
            <w:tcW w:w="4706" w:type="dxa"/>
            <w:tcBorders/>
          </w:tcPr>
          <w:p>
            <w:pPr>
              <w:pStyle w:val="Normal"/>
              <w:jc w:val="center"/>
              <w:rPr>
                <w:b/>
                <w:sz w:val="23"/>
                <w:szCs w:val="23"/>
              </w:rPr>
            </w:pPr>
            <w:r>
              <w:rPr>
                <w:b/>
                <w:sz w:val="23"/>
                <w:szCs w:val="23"/>
              </w:rPr>
              <w:t>ИСПОЛНИТЕЛЬ:</w:t>
            </w:r>
          </w:p>
          <w:p>
            <w:pPr>
              <w:pStyle w:val="Normal"/>
              <w:rPr>
                <w:b/>
                <w:sz w:val="23"/>
                <w:szCs w:val="23"/>
              </w:rPr>
            </w:pPr>
            <w:r>
              <w:rPr>
                <w:b/>
                <w:sz w:val="23"/>
                <w:szCs w:val="23"/>
              </w:rPr>
            </w:r>
          </w:p>
        </w:tc>
      </w:tr>
    </w:tbl>
    <w:p>
      <w:pPr>
        <w:pStyle w:val="Normal"/>
        <w:rPr/>
      </w:pPr>
      <w:r>
        <w:rPr/>
      </w:r>
    </w:p>
    <w:sectPr>
      <w:footnotePr>
        <w:numFmt w:val="decimal"/>
      </w:footnotePr>
      <w:type w:val="nextPage"/>
      <w:pgSz w:w="11906" w:h="16838"/>
      <w:pgMar w:left="1134" w:right="851" w:gutter="0" w:header="0" w:top="1021" w:footer="0" w:bottom="102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ourier New">
    <w:charset w:val="01"/>
    <w:family w:val="roman"/>
    <w:pitch w:val="variable"/>
  </w:font>
  <w:font w:name="Arial">
    <w:charset w:val="01"/>
    <w:family w:val="roman"/>
    <w:pitch w:val="variable"/>
  </w:font>
  <w:font w:name="Tahoma">
    <w:charset w:val="01"/>
    <w:family w:val="roman"/>
    <w:pitch w:val="variable"/>
  </w:font>
  <w:font w:name="Cambria">
    <w:charset w:val="01"/>
    <w:family w:val="roman"/>
    <w:pitch w:val="variable"/>
  </w:font>
  <w:font w:name="Open Sans">
    <w:charset w:val="01"/>
    <w:family w:val="roman"/>
    <w:pitch w:val="variable"/>
  </w:font>
  <w:font w:name="Verdana">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spacing w:before="120" w:after="0"/>
        <w:jc w:val="both"/>
        <w:rPr>
          <w:sz w:val="16"/>
          <w:szCs w:val="16"/>
        </w:rPr>
      </w:pPr>
      <w:r>
        <w:rPr>
          <w:rStyle w:val="Style16"/>
        </w:rPr>
        <w:footnoteRef/>
      </w:r>
      <w:r>
        <w:rPr>
          <w:rStyle w:val="Style16"/>
        </w:rPr>
        <w:t>а</w:t>
      </w:r>
      <w:r>
        <w:rPr>
          <w:sz w:val="16"/>
          <w:szCs w:val="16"/>
        </w:rPr>
        <w:t>) 10% процентов начальной (максимальной) цены  контракта в случае, если начальная (максимальная) цена  контракта не превышает 3 млн. рублей;</w:t>
      </w:r>
    </w:p>
    <w:p>
      <w:pPr>
        <w:pStyle w:val="Normal"/>
        <w:jc w:val="both"/>
        <w:rPr>
          <w:sz w:val="16"/>
          <w:szCs w:val="16"/>
        </w:rPr>
      </w:pPr>
      <w:r>
        <w:rPr>
          <w:sz w:val="16"/>
          <w:szCs w:val="16"/>
        </w:rPr>
        <w:t>б) 10%процетов цены контракта  если начальная (максимальная) цена  контракта  превышает 3 млн. рублей</w:t>
      </w:r>
    </w:p>
  </w:footnote>
</w:footnotes>
</file>

<file path=word/settings.xml><?xml version="1.0" encoding="utf-8"?>
<w:settings xmlns:w="http://schemas.openxmlformats.org/wordprocessingml/2006/main">
  <w:zoom w:percent="130"/>
  <w:defaultTabStop w:val="708"/>
  <w:autoHyphenation w:val="true"/>
  <w:footnotePr>
    <w:numFmt w:val="decimal"/>
    <w:footnote w:id="0"/>
    <w:footnote w:id="1"/>
  </w:footnotePr>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Noto Sans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Times New Roman" w:cs="Times New Roman"/>
      <w:color w:val="auto"/>
      <w:kern w:val="0"/>
      <w:sz w:val="24"/>
      <w:szCs w:val="24"/>
      <w:lang w:val="ru-RU" w:eastAsia="zh-CN" w:bidi="ar-SA"/>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6"/>
      <w:w w:val="100"/>
      <w:position w:val="0"/>
      <w:sz w:val="23"/>
      <w:sz w:val="23"/>
      <w:szCs w:val="23"/>
      <w:u w:val="none"/>
      <w:vertAlign w:val="baseline"/>
    </w:rPr>
  </w:style>
  <w:style w:type="character" w:styleId="WW8Num1z1">
    <w:name w:val="WW8Num1z1"/>
    <w:qFormat/>
    <w:rPr>
      <w:rFonts w:ascii="Times New Roman" w:hAnsi="Times New Roman" w:cs="Times New Roman"/>
      <w:b w:val="false"/>
      <w:bCs w:val="false"/>
      <w:i w:val="false"/>
      <w:iCs w:val="false"/>
      <w:caps w:val="false"/>
      <w:smallCaps w:val="false"/>
      <w:strike w:val="false"/>
      <w:dstrike w:val="false"/>
      <w:color w:val="000000"/>
      <w:spacing w:val="-1"/>
      <w:w w:val="100"/>
      <w:position w:val="0"/>
      <w:sz w:val="23"/>
      <w:sz w:val="23"/>
      <w:szCs w:val="23"/>
      <w:u w:val="none"/>
      <w:vertAlign w:val="baseline"/>
    </w:rPr>
  </w:style>
  <w:style w:type="character" w:styleId="WW8Num2z0">
    <w:name w:val="WW8Num2z0"/>
    <w:qFormat/>
    <w:rPr/>
  </w:style>
  <w:style w:type="character" w:styleId="WW8Num3z0">
    <w:name w:val="WW8Num3z0"/>
    <w:qFormat/>
    <w:rPr>
      <w:b w:val="false"/>
    </w:rPr>
  </w:style>
  <w:style w:type="character" w:styleId="Style14">
    <w:name w:val="Основной шрифт абзаца"/>
    <w:qFormat/>
    <w:rPr/>
  </w:style>
  <w:style w:type="character" w:styleId="Extended-textfull">
    <w:name w:val="extended-text__full"/>
    <w:basedOn w:val="Style14"/>
    <w:qFormat/>
    <w:rPr/>
  </w:style>
  <w:style w:type="character" w:styleId="Hyperlink">
    <w:name w:val="Hyperlink"/>
    <w:basedOn w:val="Style14"/>
    <w:rPr>
      <w:color w:val="0000FF"/>
      <w:u w:val="single"/>
    </w:rPr>
  </w:style>
  <w:style w:type="character" w:styleId="Style15">
    <w:name w:val="Основной текст с отступом Знак"/>
    <w:basedOn w:val="Style14"/>
    <w:qFormat/>
    <w:rPr>
      <w:kern w:val="2"/>
      <w:sz w:val="24"/>
    </w:rPr>
  </w:style>
  <w:style w:type="character" w:styleId="HTML">
    <w:name w:val="Стандартный HTML Знак"/>
    <w:basedOn w:val="Style14"/>
    <w:qFormat/>
    <w:rPr>
      <w:rFonts w:ascii="Courier New" w:hAnsi="Courier New" w:cs="Courier New"/>
    </w:rPr>
  </w:style>
  <w:style w:type="character" w:styleId="FootnoteReference1">
    <w:name w:val="Footnote Reference1"/>
    <w:qFormat/>
    <w:rPr>
      <w:vertAlign w:val="superscript"/>
    </w:rPr>
  </w:style>
  <w:style w:type="character" w:styleId="Style16">
    <w:name w:val="Символ сноски"/>
    <w:qFormat/>
    <w:rPr>
      <w:vertAlign w:val="superscript"/>
    </w:rPr>
  </w:style>
  <w:style w:type="character" w:styleId="ConsPlusNormal">
    <w:name w:val="ConsPlusNormal Знак"/>
    <w:basedOn w:val="Style14"/>
    <w:qFormat/>
    <w:rPr>
      <w:rFonts w:ascii="Arial" w:hAnsi="Arial" w:cs="Arial"/>
      <w:lang w:val="ru-RU" w:bidi="ar-SA"/>
    </w:rPr>
  </w:style>
  <w:style w:type="character" w:styleId="FootnoteReference2">
    <w:name w:val="Footnote Reference2"/>
    <w:qFormat/>
    <w:rPr>
      <w:vertAlign w:val="superscript"/>
    </w:rPr>
  </w:style>
  <w:style w:type="character" w:styleId="Style17">
    <w:name w:val="Символ концевой сноски"/>
    <w:qFormat/>
    <w:rPr>
      <w:vertAlign w:val="superscript"/>
    </w:rPr>
  </w:style>
  <w:style w:type="character" w:styleId="WW-">
    <w:name w:val="WW-Символ концевой сноски"/>
    <w:qFormat/>
    <w:rPr/>
  </w:style>
  <w:style w:type="character" w:styleId="FootnoteReference3">
    <w:name w:val="Footnote Reference3"/>
    <w:qFormat/>
    <w:rPr>
      <w:vertAlign w:val="superscript"/>
    </w:rPr>
  </w:style>
  <w:style w:type="character" w:styleId="EndnoteReference1">
    <w:name w:val="Endnote Reference1"/>
    <w:qFormat/>
    <w:rPr>
      <w:vertAlign w:val="superscript"/>
    </w:rPr>
  </w:style>
  <w:style w:type="character" w:styleId="FootnoteReference4">
    <w:name w:val="Footnote Reference4"/>
    <w:qFormat/>
    <w:rPr>
      <w:vertAlign w:val="superscript"/>
    </w:rPr>
  </w:style>
  <w:style w:type="character" w:styleId="EndnoteReference2">
    <w:name w:val="Endnote Reference2"/>
    <w:qFormat/>
    <w:rPr>
      <w:vertAlign w:val="superscript"/>
    </w:rPr>
  </w:style>
  <w:style w:type="character" w:styleId="FootnoteReference5">
    <w:name w:val="Footnote Reference5"/>
    <w:qFormat/>
    <w:rPr>
      <w:vertAlign w:val="superscript"/>
    </w:rPr>
  </w:style>
  <w:style w:type="character" w:styleId="Ikzvalue">
    <w:name w:val="ikzvalue"/>
    <w:qFormat/>
    <w:rPr>
      <w:rFonts w:ascii="Times New Roman" w:hAnsi="Times New Roman" w:eastAsia="Times New Roman" w:cs="Times New Roman"/>
      <w:color w:val="000000"/>
      <w:sz w:val="24"/>
      <w:szCs w:val="24"/>
    </w:rPr>
  </w:style>
  <w:style w:type="character" w:styleId="Apple-converted-space">
    <w:name w:val="apple-converted-space"/>
    <w:qFormat/>
    <w:rPr>
      <w:rFonts w:ascii="Times New Roman" w:hAnsi="Times New Roman" w:eastAsia="Times New Roman" w:cs="Times New Roman"/>
      <w:color w:val="000000"/>
      <w:sz w:val="24"/>
      <w:szCs w:val="24"/>
    </w:rPr>
  </w:style>
  <w:style w:type="character" w:styleId="Fontstyle16">
    <w:name w:val="fontstyle16"/>
    <w:qFormat/>
    <w:rPr>
      <w:rFonts w:ascii="Times New Roman" w:hAnsi="Times New Roman" w:eastAsia="Times New Roman" w:cs="Times New Roman"/>
      <w:color w:val="000000"/>
      <w:sz w:val="24"/>
      <w:szCs w:val="24"/>
    </w:rPr>
  </w:style>
  <w:style w:type="character" w:styleId="Fontstyle15">
    <w:name w:val="fontstyle15"/>
    <w:qFormat/>
    <w:rPr>
      <w:rFonts w:ascii="Times New Roman" w:hAnsi="Times New Roman" w:eastAsia="Times New Roman" w:cs="Times New Roman"/>
      <w:color w:val="000000"/>
      <w:sz w:val="24"/>
      <w:szCs w:val="24"/>
    </w:rPr>
  </w:style>
  <w:style w:type="character" w:styleId="Style18">
    <w:name w:val="Текст Знак"/>
    <w:qFormat/>
    <w:rPr>
      <w:rFonts w:ascii="Courier New" w:hAnsi="Courier New" w:cs="Courier New"/>
    </w:rPr>
  </w:style>
  <w:style w:type="character" w:styleId="2">
    <w:name w:val="Основной текст 2 Знак"/>
    <w:qFormat/>
    <w:rPr>
      <w:rFonts w:ascii="Arial" w:hAnsi="Arial" w:cs="Arial"/>
      <w:sz w:val="32"/>
      <w:szCs w:val="32"/>
    </w:rPr>
  </w:style>
  <w:style w:type="character" w:styleId="Style19">
    <w:name w:val="Текст выноски Знак"/>
    <w:qFormat/>
    <w:rPr>
      <w:rFonts w:ascii="Tahoma" w:hAnsi="Tahoma" w:cs="Tahoma"/>
      <w:sz w:val="16"/>
      <w:szCs w:val="16"/>
      <w:lang w:val="en-AU"/>
    </w:rPr>
  </w:style>
  <w:style w:type="character" w:styleId="Style20">
    <w:name w:val="Нижний колонтитул Знак"/>
    <w:qFormat/>
    <w:rPr>
      <w:lang w:val="en-AU"/>
    </w:rPr>
  </w:style>
  <w:style w:type="character" w:styleId="Style21">
    <w:name w:val="Верхний колонтитул Знак"/>
    <w:qFormat/>
    <w:rPr>
      <w:sz w:val="24"/>
      <w:szCs w:val="24"/>
    </w:rPr>
  </w:style>
  <w:style w:type="character" w:styleId="1">
    <w:name w:val="Основной шрифт абзаца1"/>
    <w:qFormat/>
    <w:rPr/>
  </w:style>
  <w:style w:type="character" w:styleId="WW8Num4z1">
    <w:name w:val="WW8Num4z1"/>
    <w:qFormat/>
    <w:rPr>
      <w:rFonts w:ascii="Courier New" w:hAnsi="Courier New" w:cs="Wingdings"/>
    </w:rPr>
  </w:style>
  <w:style w:type="character" w:styleId="Absatz-Standardschriftart">
    <w:name w:val="Absatz-Standardschriftart"/>
    <w:qFormat/>
    <w:rPr/>
  </w:style>
  <w:style w:type="character" w:styleId="3">
    <w:name w:val="Заголовок 3 Знак"/>
    <w:qFormat/>
    <w:rPr>
      <w:rFonts w:ascii="Cambria" w:hAnsi="Cambria" w:eastAsia="Times New Roman" w:cs="Times New Roman"/>
      <w:b/>
      <w:bCs/>
      <w:color w:val="4F81BD"/>
    </w:rPr>
  </w:style>
  <w:style w:type="character" w:styleId="21">
    <w:name w:val="Заголовок 2 Знак"/>
    <w:qFormat/>
    <w:rPr>
      <w:b/>
      <w:color w:val="000000"/>
      <w:sz w:val="24"/>
    </w:rPr>
  </w:style>
  <w:style w:type="character" w:styleId="11">
    <w:name w:val="Заголовок 1 Знак"/>
    <w:qFormat/>
    <w:rPr>
      <w:i/>
      <w:iCs/>
      <w:sz w:val="24"/>
      <w:szCs w:val="24"/>
    </w:rPr>
  </w:style>
  <w:style w:type="character" w:styleId="WW8Num38z0">
    <w:name w:val="WW8Num38z0"/>
    <w:qFormat/>
    <w:rPr>
      <w:rFonts w:ascii="Arial" w:hAnsi="Arial" w:cs="Arial"/>
    </w:rPr>
  </w:style>
  <w:style w:type="character" w:styleId="WW8Num37z1">
    <w:name w:val="WW8Num37z1"/>
    <w:qFormat/>
    <w:rPr>
      <w:rFonts w:ascii="Courier New" w:hAnsi="Courier New" w:cs="Courier New"/>
    </w:rPr>
  </w:style>
  <w:style w:type="character" w:styleId="WW8Num37z0">
    <w:name w:val="WW8Num37z0"/>
    <w:qFormat/>
    <w:rPr>
      <w:rFonts w:ascii="Arial" w:hAnsi="Arial" w:cs="Arial"/>
    </w:rPr>
  </w:style>
  <w:style w:type="character" w:styleId="WW8Num36z4">
    <w:name w:val="WW8Num36z4"/>
    <w:qFormat/>
    <w:rPr>
      <w:rFonts w:ascii="Courier New" w:hAnsi="Courier New" w:cs="Courier New"/>
    </w:rPr>
  </w:style>
  <w:style w:type="character" w:styleId="WW8Num36z0">
    <w:name w:val="WW8Num36z0"/>
    <w:qFormat/>
    <w:rPr>
      <w:rFonts w:ascii="Arial" w:hAnsi="Arial" w:cs="Arial"/>
    </w:rPr>
  </w:style>
  <w:style w:type="character" w:styleId="WW8Num35z1">
    <w:name w:val="WW8Num35z1"/>
    <w:qFormat/>
    <w:rPr>
      <w:rFonts w:ascii="Courier New" w:hAnsi="Courier New" w:cs="Courier New"/>
    </w:rPr>
  </w:style>
  <w:style w:type="character" w:styleId="WW8Num34z1">
    <w:name w:val="WW8Num34z1"/>
    <w:qFormat/>
    <w:rPr>
      <w:rFonts w:ascii="Courier New" w:hAnsi="Courier New" w:cs="Courier New"/>
    </w:rPr>
  </w:style>
  <w:style w:type="character" w:styleId="WW8Num33z1">
    <w:name w:val="WW8Num33z1"/>
    <w:qFormat/>
    <w:rPr>
      <w:rFonts w:ascii="Courier New" w:hAnsi="Courier New" w:cs="Courier New"/>
    </w:rPr>
  </w:style>
  <w:style w:type="character" w:styleId="WW8Num33z0">
    <w:name w:val="WW8Num33z0"/>
    <w:qFormat/>
    <w:rPr>
      <w:rFonts w:ascii="Arial" w:hAnsi="Arial" w:cs="Arial"/>
    </w:rPr>
  </w:style>
  <w:style w:type="character" w:styleId="WW8Num32z1">
    <w:name w:val="WW8Num32z1"/>
    <w:qFormat/>
    <w:rPr>
      <w:rFonts w:ascii="Courier New" w:hAnsi="Courier New" w:cs="Courier New"/>
    </w:rPr>
  </w:style>
  <w:style w:type="character" w:styleId="WW8Num32z0">
    <w:name w:val="WW8Num32z0"/>
    <w:qFormat/>
    <w:rPr>
      <w:rFonts w:ascii="Arial" w:hAnsi="Arial" w:cs="Arial"/>
    </w:rPr>
  </w:style>
  <w:style w:type="character" w:styleId="WW8Num29z1">
    <w:name w:val="WW8Num29z1"/>
    <w:qFormat/>
    <w:rPr>
      <w:rFonts w:ascii="Courier New" w:hAnsi="Courier New" w:cs="Courier New"/>
    </w:rPr>
  </w:style>
  <w:style w:type="character" w:styleId="WW8Num29z0">
    <w:name w:val="WW8Num29z0"/>
    <w:qFormat/>
    <w:rPr>
      <w:rFonts w:ascii="Arial" w:hAnsi="Arial" w:cs="Arial"/>
    </w:rPr>
  </w:style>
  <w:style w:type="character" w:styleId="WW8Num28z0">
    <w:name w:val="WW8Num28z0"/>
    <w:qFormat/>
    <w:rPr/>
  </w:style>
  <w:style w:type="character" w:styleId="WW8Num27z1">
    <w:name w:val="WW8Num27z1"/>
    <w:qFormat/>
    <w:rPr/>
  </w:style>
  <w:style w:type="character" w:styleId="WW8Num26z0">
    <w:name w:val="WW8Num26z0"/>
    <w:qFormat/>
    <w:rPr/>
  </w:style>
  <w:style w:type="character" w:styleId="WW8Num25z1">
    <w:name w:val="WW8Num25z1"/>
    <w:qFormat/>
    <w:rPr>
      <w:rFonts w:ascii="Courier New" w:hAnsi="Courier New" w:cs="Courier New"/>
    </w:rPr>
  </w:style>
  <w:style w:type="character" w:styleId="WW8Num24z1">
    <w:name w:val="WW8Num24z1"/>
    <w:qFormat/>
    <w:rPr>
      <w:rFonts w:ascii="Courier New" w:hAnsi="Courier New" w:cs="Courier New"/>
    </w:rPr>
  </w:style>
  <w:style w:type="character" w:styleId="WW8Num24z0">
    <w:name w:val="WW8Num24z0"/>
    <w:qFormat/>
    <w:rPr>
      <w:rFonts w:ascii="Arial" w:hAnsi="Arial" w:cs="Arial"/>
    </w:rPr>
  </w:style>
  <w:style w:type="character" w:styleId="WW8Num23z0">
    <w:name w:val="WW8Num23z0"/>
    <w:qFormat/>
    <w:rPr/>
  </w:style>
  <w:style w:type="character" w:styleId="WW8Num22z1">
    <w:name w:val="WW8Num22z1"/>
    <w:qFormat/>
    <w:rPr>
      <w:rFonts w:ascii="Courier New" w:hAnsi="Courier New" w:cs="Courier New"/>
    </w:rPr>
  </w:style>
  <w:style w:type="character" w:styleId="WW8Num21z1">
    <w:name w:val="WW8Num21z1"/>
    <w:qFormat/>
    <w:rPr>
      <w:rFonts w:ascii="Courier New" w:hAnsi="Courier New" w:cs="Courier New"/>
    </w:rPr>
  </w:style>
  <w:style w:type="character" w:styleId="WW8Num20z4">
    <w:name w:val="WW8Num20z4"/>
    <w:qFormat/>
    <w:rPr>
      <w:rFonts w:ascii="Courier New" w:hAnsi="Courier New" w:cs="Courier New"/>
    </w:rPr>
  </w:style>
  <w:style w:type="character" w:styleId="WW8Num19z1">
    <w:name w:val="WW8Num19z1"/>
    <w:qFormat/>
    <w:rPr>
      <w:rFonts w:ascii="Courier New" w:hAnsi="Courier New" w:cs="Courier New"/>
    </w:rPr>
  </w:style>
  <w:style w:type="character" w:styleId="WW8Num18z1">
    <w:name w:val="WW8Num18z1"/>
    <w:qFormat/>
    <w:rPr>
      <w:rFonts w:ascii="Arial" w:hAnsi="Arial" w:cs="Arial"/>
    </w:rPr>
  </w:style>
  <w:style w:type="character" w:styleId="WW8Num18z0">
    <w:name w:val="WW8Num18z0"/>
    <w:qFormat/>
    <w:rPr/>
  </w:style>
  <w:style w:type="character" w:styleId="WW8Num17z1">
    <w:name w:val="WW8Num17z1"/>
    <w:qFormat/>
    <w:rPr>
      <w:rFonts w:ascii="Courier New" w:hAnsi="Courier New" w:cs="Courier New"/>
    </w:rPr>
  </w:style>
  <w:style w:type="character" w:styleId="WW8Num16z1">
    <w:name w:val="WW8Num16z1"/>
    <w:qFormat/>
    <w:rPr>
      <w:rFonts w:ascii="Courier New" w:hAnsi="Courier New" w:cs="Courier New"/>
    </w:rPr>
  </w:style>
  <w:style w:type="character" w:styleId="WW8Num15z1">
    <w:name w:val="WW8Num15z1"/>
    <w:qFormat/>
    <w:rPr>
      <w:rFonts w:ascii="Courier New" w:hAnsi="Courier New" w:cs="Courier New"/>
    </w:rPr>
  </w:style>
  <w:style w:type="character" w:styleId="WW8Num15z0">
    <w:name w:val="WW8Num15z0"/>
    <w:qFormat/>
    <w:rPr>
      <w:rFonts w:ascii="Arial" w:hAnsi="Arial" w:cs="Arial"/>
    </w:rPr>
  </w:style>
  <w:style w:type="character" w:styleId="WW8Num14z4">
    <w:name w:val="WW8Num14z4"/>
    <w:qFormat/>
    <w:rPr>
      <w:rFonts w:ascii="Courier New" w:hAnsi="Courier New" w:cs="Courier New"/>
    </w:rPr>
  </w:style>
  <w:style w:type="character" w:styleId="WW8Num14z1">
    <w:name w:val="WW8Num14z1"/>
    <w:qFormat/>
    <w:rPr>
      <w:rFonts w:ascii="Times New Roman" w:hAnsi="Times New Roman" w:eastAsia="Times New Roman" w:cs="Times New Roman"/>
    </w:rPr>
  </w:style>
  <w:style w:type="character" w:styleId="WW8Num13z1">
    <w:name w:val="WW8Num13z1"/>
    <w:qFormat/>
    <w:rPr>
      <w:rFonts w:ascii="Courier New" w:hAnsi="Courier New" w:cs="Courier New"/>
    </w:rPr>
  </w:style>
  <w:style w:type="character" w:styleId="WW8Num13z0">
    <w:name w:val="WW8Num13z0"/>
    <w:qFormat/>
    <w:rPr>
      <w:rFonts w:ascii="Arial" w:hAnsi="Arial" w:cs="Arial"/>
    </w:rPr>
  </w:style>
  <w:style w:type="character" w:styleId="WW8Num12z1">
    <w:name w:val="WW8Num12z1"/>
    <w:qFormat/>
    <w:rPr>
      <w:rFonts w:ascii="Courier New" w:hAnsi="Courier New" w:cs="Courier New"/>
    </w:rPr>
  </w:style>
  <w:style w:type="character" w:styleId="WW8Num11z1">
    <w:name w:val="WW8Num11z1"/>
    <w:qFormat/>
    <w:rPr>
      <w:rFonts w:ascii="Courier New" w:hAnsi="Courier New" w:cs="Courier New"/>
    </w:rPr>
  </w:style>
  <w:style w:type="character" w:styleId="WW8Num10z4">
    <w:name w:val="WW8Num10z4"/>
    <w:qFormat/>
    <w:rPr>
      <w:rFonts w:ascii="Courier New" w:hAnsi="Courier New" w:cs="Courier New"/>
    </w:rPr>
  </w:style>
  <w:style w:type="character" w:styleId="WW8Num10z0">
    <w:name w:val="WW8Num10z0"/>
    <w:qFormat/>
    <w:rPr>
      <w:rFonts w:ascii="Arial" w:hAnsi="Arial" w:cs="Arial"/>
    </w:rPr>
  </w:style>
  <w:style w:type="character" w:styleId="WW8Num9z1">
    <w:name w:val="WW8Num9z1"/>
    <w:qFormat/>
    <w:rPr>
      <w:rFonts w:ascii="Courier New" w:hAnsi="Courier New" w:cs="Courier New"/>
    </w:rPr>
  </w:style>
  <w:style w:type="character" w:styleId="WW8Num8z1">
    <w:name w:val="WW8Num8z1"/>
    <w:qFormat/>
    <w:rPr>
      <w:rFonts w:ascii="Courier New" w:hAnsi="Courier New" w:cs="Courier New"/>
    </w:rPr>
  </w:style>
  <w:style w:type="character" w:styleId="WW8Num8z0">
    <w:name w:val="WW8Num8z0"/>
    <w:qFormat/>
    <w:rPr>
      <w:rFonts w:ascii="Arial" w:hAnsi="Arial" w:cs="Arial"/>
    </w:rPr>
  </w:style>
  <w:style w:type="character" w:styleId="WW8Num7z0">
    <w:name w:val="WW8Num7z0"/>
    <w:qFormat/>
    <w:rPr/>
  </w:style>
  <w:style w:type="character" w:styleId="WW8Num6z0">
    <w:name w:val="WW8Num6z0"/>
    <w:qFormat/>
    <w:rPr/>
  </w:style>
  <w:style w:type="character" w:styleId="WW8Num5z1">
    <w:name w:val="WW8Num5z1"/>
    <w:qFormat/>
    <w:rPr>
      <w:rFonts w:ascii="Courier New" w:hAnsi="Courier New" w:cs="Courier New"/>
    </w:rPr>
  </w:style>
  <w:style w:type="character" w:styleId="WW8Num4z0">
    <w:name w:val="WW8Num4z0"/>
    <w:qFormat/>
    <w:rPr/>
  </w:style>
  <w:style w:type="character" w:styleId="EndnoteReference3">
    <w:name w:val="Endnote Reference3"/>
    <w:qFormat/>
    <w:rPr>
      <w:vertAlign w:val="superscript"/>
    </w:rPr>
  </w:style>
  <w:style w:type="character" w:styleId="FootnoteReference6">
    <w:name w:val="Footnote Reference6"/>
    <w:qFormat/>
    <w:rPr>
      <w:vertAlign w:val="superscript"/>
    </w:rPr>
  </w:style>
  <w:style w:type="character" w:styleId="EndnoteReference4">
    <w:name w:val="Endnote Reference4"/>
    <w:qFormat/>
    <w:rPr>
      <w:vertAlign w:val="superscript"/>
    </w:rPr>
  </w:style>
  <w:style w:type="character" w:styleId="FootnoteReference7">
    <w:name w:val="Footnote Reference7"/>
    <w:qFormat/>
    <w:rPr>
      <w:vertAlign w:val="superscript"/>
    </w:rPr>
  </w:style>
  <w:style w:type="character" w:styleId="EndnoteReference5">
    <w:name w:val="Endnote Reference5"/>
    <w:qFormat/>
    <w:rPr>
      <w:vertAlign w:val="superscript"/>
    </w:rPr>
  </w:style>
  <w:style w:type="character" w:styleId="FootnoteReference8">
    <w:name w:val="Footnote Reference8"/>
    <w:qFormat/>
    <w:rPr>
      <w:vertAlign w:val="superscript"/>
    </w:rPr>
  </w:style>
  <w:style w:type="character" w:styleId="EndnoteReference6">
    <w:name w:val="Endnote Reference6"/>
    <w:qFormat/>
    <w:rPr>
      <w:vertAlign w:val="superscript"/>
    </w:rPr>
  </w:style>
  <w:style w:type="character" w:styleId="FootnoteReference9">
    <w:name w:val="Footnote Reference9"/>
    <w:qFormat/>
    <w:rPr>
      <w:vertAlign w:val="superscript"/>
    </w:rPr>
  </w:style>
  <w:style w:type="character" w:styleId="FollowedHyperlink">
    <w:name w:val="FollowedHyperlink"/>
    <w:rPr>
      <w:color w:val="800080"/>
      <w:u w:val="single"/>
    </w:rPr>
  </w:style>
  <w:style w:type="character" w:styleId="EndnoteReference7">
    <w:name w:val="Endnote Reference7"/>
    <w:qFormat/>
    <w:rPr>
      <w:vertAlign w:val="superscript"/>
    </w:rPr>
  </w:style>
  <w:style w:type="character" w:styleId="FootnoteReference10">
    <w:name w:val="Footnote Reference10"/>
    <w:qFormat/>
    <w:rPr>
      <w:vertAlign w:val="superscript"/>
    </w:rPr>
  </w:style>
  <w:style w:type="character" w:styleId="EndnoteReference8">
    <w:name w:val="Endnote Reference8"/>
    <w:qFormat/>
    <w:rPr>
      <w:vertAlign w:val="superscript"/>
    </w:rPr>
  </w:style>
  <w:style w:type="character" w:styleId="FootnoteReference11">
    <w:name w:val="Footnote Reference11"/>
    <w:qFormat/>
    <w:rPr>
      <w:vertAlign w:val="superscript"/>
    </w:rPr>
  </w:style>
  <w:style w:type="character" w:styleId="EndnoteReference9">
    <w:name w:val="Endnote Reference9"/>
    <w:qFormat/>
    <w:rPr>
      <w:vertAlign w:val="superscript"/>
    </w:rPr>
  </w:style>
  <w:style w:type="character" w:styleId="FootnoteReference12">
    <w:name w:val="Footnote Reference12"/>
    <w:qFormat/>
    <w:rPr>
      <w:vertAlign w:val="superscript"/>
    </w:rPr>
  </w:style>
  <w:style w:type="character" w:styleId="EndnoteReference10">
    <w:name w:val="Endnote Reference10"/>
    <w:qFormat/>
    <w:rPr>
      <w:vertAlign w:val="superscript"/>
    </w:rPr>
  </w:style>
  <w:style w:type="character" w:styleId="FootnoteReference13">
    <w:name w:val="Footnote Reference13"/>
    <w:qFormat/>
    <w:rPr>
      <w:vertAlign w:val="superscript"/>
    </w:rPr>
  </w:style>
  <w:style w:type="character" w:styleId="EndnoteReference11">
    <w:name w:val="Endnote Reference11"/>
    <w:qFormat/>
    <w:rPr>
      <w:vertAlign w:val="superscript"/>
    </w:rPr>
  </w:style>
  <w:style w:type="character" w:styleId="FootnoteReference14">
    <w:name w:val="Footnote Reference14"/>
    <w:qFormat/>
    <w:rPr>
      <w:vertAlign w:val="superscript"/>
    </w:rPr>
  </w:style>
  <w:style w:type="character" w:styleId="EndnoteReference12">
    <w:name w:val="Endnote Reference12"/>
    <w:qFormat/>
    <w:rPr>
      <w:vertAlign w:val="superscript"/>
    </w:rPr>
  </w:style>
  <w:style w:type="character" w:styleId="FootnoteReference15">
    <w:name w:val="Footnote Reference15"/>
    <w:qFormat/>
    <w:rPr>
      <w:vertAlign w:val="superscript"/>
    </w:rPr>
  </w:style>
  <w:style w:type="character" w:styleId="EndnoteReference13">
    <w:name w:val="Endnote Reference13"/>
    <w:qFormat/>
    <w:rPr>
      <w:vertAlign w:val="superscript"/>
    </w:rPr>
  </w:style>
  <w:style w:type="character" w:styleId="FootnoteReference16">
    <w:name w:val="Footnote Reference16"/>
    <w:qFormat/>
    <w:rPr>
      <w:vertAlign w:val="superscript"/>
    </w:rPr>
  </w:style>
  <w:style w:type="character" w:styleId="EndnoteReference14">
    <w:name w:val="Endnote Reference14"/>
    <w:qFormat/>
    <w:rPr>
      <w:vertAlign w:val="superscript"/>
    </w:rPr>
  </w:style>
  <w:style w:type="character" w:styleId="FootnoteReference17">
    <w:name w:val="Footnote Reference17"/>
    <w:qFormat/>
    <w:rPr>
      <w:vertAlign w:val="superscript"/>
    </w:rPr>
  </w:style>
  <w:style w:type="character" w:styleId="EndnoteReference15">
    <w:name w:val="Endnote Reference15"/>
    <w:qFormat/>
    <w:rPr>
      <w:vertAlign w:val="superscript"/>
    </w:rPr>
  </w:style>
  <w:style w:type="character" w:styleId="FootnoteReference18">
    <w:name w:val="Footnote Reference18"/>
    <w:qFormat/>
    <w:rPr>
      <w:vertAlign w:val="superscript"/>
    </w:rPr>
  </w:style>
  <w:style w:type="character" w:styleId="EndnoteReference16">
    <w:name w:val="Endnote Reference16"/>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styleId="Style22">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23">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Noto Sans Devanagari"/>
      <w:i/>
      <w:iCs/>
      <w:sz w:val="24"/>
      <w:szCs w:val="24"/>
    </w:rPr>
  </w:style>
  <w:style w:type="paragraph" w:styleId="Caption11">
    <w:name w:val="Caption11"/>
    <w:basedOn w:val="Normal"/>
    <w:qFormat/>
    <w:pPr>
      <w:suppressLineNumbers/>
      <w:spacing w:before="120" w:after="120"/>
    </w:pPr>
    <w:rPr>
      <w:rFonts w:cs="Noto Sans Devanagari"/>
      <w:i/>
      <w:iCs/>
      <w:sz w:val="24"/>
      <w:szCs w:val="24"/>
    </w:rPr>
  </w:style>
  <w:style w:type="paragraph" w:styleId="Caption111">
    <w:name w:val="Caption111"/>
    <w:basedOn w:val="Normal"/>
    <w:qFormat/>
    <w:pPr>
      <w:suppressLineNumbers/>
      <w:spacing w:before="120" w:after="120"/>
    </w:pPr>
    <w:rPr>
      <w:rFonts w:cs="Noto Sans Devanagari"/>
      <w:i/>
      <w:iCs/>
      <w:sz w:val="24"/>
      <w:szCs w:val="24"/>
    </w:rPr>
  </w:style>
  <w:style w:type="paragraph" w:styleId="Caption1111">
    <w:name w:val="Caption1111"/>
    <w:basedOn w:val="Normal"/>
    <w:qFormat/>
    <w:pPr>
      <w:suppressLineNumbers/>
      <w:spacing w:before="120" w:after="120"/>
    </w:pPr>
    <w:rPr>
      <w:rFonts w:cs="Noto Sans Devanagari"/>
      <w:i/>
      <w:iCs/>
      <w:sz w:val="24"/>
      <w:szCs w:val="24"/>
    </w:rPr>
  </w:style>
  <w:style w:type="paragraph" w:styleId="Caption11111">
    <w:name w:val="Caption11111"/>
    <w:basedOn w:val="Normal"/>
    <w:qFormat/>
    <w:pPr>
      <w:suppressLineNumbers/>
      <w:spacing w:before="120" w:after="120"/>
    </w:pPr>
    <w:rPr>
      <w:rFonts w:cs="Lohit Devanagari"/>
      <w:i/>
      <w:iCs/>
      <w:sz w:val="24"/>
      <w:szCs w:val="24"/>
    </w:rPr>
  </w:style>
  <w:style w:type="paragraph" w:styleId="Caption111111">
    <w:name w:val="Caption111111"/>
    <w:basedOn w:val="Normal"/>
    <w:qFormat/>
    <w:pPr>
      <w:suppressLineNumbers/>
      <w:spacing w:before="120" w:after="120"/>
    </w:pPr>
    <w:rPr>
      <w:rFonts w:cs="Lohit Devanagari"/>
      <w:i/>
      <w:iCs/>
      <w:sz w:val="24"/>
      <w:szCs w:val="24"/>
    </w:rPr>
  </w:style>
  <w:style w:type="paragraph" w:styleId="Caption1111111">
    <w:name w:val="Caption1111111"/>
    <w:basedOn w:val="Normal"/>
    <w:qFormat/>
    <w:pPr>
      <w:suppressLineNumbers/>
      <w:spacing w:before="120" w:after="120"/>
    </w:pPr>
    <w:rPr>
      <w:rFonts w:cs="Lohit Devanagari"/>
      <w:i/>
      <w:iCs/>
      <w:sz w:val="24"/>
      <w:szCs w:val="24"/>
    </w:rPr>
  </w:style>
  <w:style w:type="paragraph" w:styleId="Caption11111111">
    <w:name w:val="Caption11111111"/>
    <w:basedOn w:val="Normal"/>
    <w:qFormat/>
    <w:pPr>
      <w:suppressLineNumbers/>
      <w:spacing w:before="120" w:after="120"/>
    </w:pPr>
    <w:rPr>
      <w:rFonts w:cs="Lohit Devanagari"/>
      <w:i/>
      <w:iCs/>
      <w:sz w:val="24"/>
      <w:szCs w:val="24"/>
    </w:rPr>
  </w:style>
  <w:style w:type="paragraph" w:styleId="Caption111111111">
    <w:name w:val="Caption111111111"/>
    <w:basedOn w:val="Normal"/>
    <w:qFormat/>
    <w:pPr>
      <w:suppressLineNumbers/>
      <w:spacing w:before="120" w:after="120"/>
    </w:pPr>
    <w:rPr>
      <w:rFonts w:cs="Lohit Devanagari"/>
      <w:i/>
      <w:iCs/>
      <w:sz w:val="24"/>
      <w:szCs w:val="24"/>
    </w:rPr>
  </w:style>
  <w:style w:type="paragraph" w:styleId="Caption1111111111">
    <w:name w:val="Caption1111111111"/>
    <w:basedOn w:val="Normal"/>
    <w:qFormat/>
    <w:pPr>
      <w:suppressLineNumbers/>
      <w:spacing w:before="120" w:after="120"/>
    </w:pPr>
    <w:rPr>
      <w:rFonts w:cs="Lohit Devanagari"/>
      <w:i/>
      <w:iCs/>
      <w:sz w:val="24"/>
      <w:szCs w:val="24"/>
    </w:rPr>
  </w:style>
  <w:style w:type="paragraph" w:styleId="Caption11111111111">
    <w:name w:val="Caption11111111111"/>
    <w:basedOn w:val="Normal"/>
    <w:qFormat/>
    <w:pPr>
      <w:suppressLineNumbers/>
      <w:spacing w:before="120" w:after="120"/>
    </w:pPr>
    <w:rPr>
      <w:rFonts w:cs="Lohit Devanagari"/>
      <w:i/>
      <w:iCs/>
      <w:sz w:val="24"/>
      <w:szCs w:val="24"/>
    </w:rPr>
  </w:style>
  <w:style w:type="paragraph" w:styleId="Caption111111111111">
    <w:name w:val="Caption111111111111"/>
    <w:basedOn w:val="Normal"/>
    <w:qFormat/>
    <w:pPr>
      <w:suppressLineNumbers/>
      <w:spacing w:before="120" w:after="120"/>
    </w:pPr>
    <w:rPr>
      <w:rFonts w:cs="Lohit Devanagari"/>
      <w:i/>
      <w:iCs/>
      <w:sz w:val="24"/>
      <w:szCs w:val="24"/>
    </w:rPr>
  </w:style>
  <w:style w:type="paragraph" w:styleId="Caption1111111111111">
    <w:name w:val="Caption1111111111111"/>
    <w:basedOn w:val="Normal"/>
    <w:qFormat/>
    <w:pPr>
      <w:suppressLineNumbers/>
      <w:spacing w:before="120" w:after="120"/>
    </w:pPr>
    <w:rPr>
      <w:rFonts w:cs="Lohit Devanagari"/>
      <w:i/>
      <w:iCs/>
      <w:sz w:val="24"/>
      <w:szCs w:val="24"/>
    </w:rPr>
  </w:style>
  <w:style w:type="paragraph" w:styleId="Caption11111111111111">
    <w:name w:val="Caption11111111111111"/>
    <w:basedOn w:val="Normal"/>
    <w:qFormat/>
    <w:pPr>
      <w:suppressLineNumbers/>
      <w:spacing w:before="120" w:after="120"/>
    </w:pPr>
    <w:rPr>
      <w:rFonts w:cs="Lohit Devanagari"/>
      <w:i/>
      <w:iCs/>
      <w:sz w:val="24"/>
      <w:szCs w:val="24"/>
    </w:rPr>
  </w:style>
  <w:style w:type="paragraph" w:styleId="Caption111111111111111">
    <w:name w:val="Caption111111111111111"/>
    <w:basedOn w:val="Normal"/>
    <w:qFormat/>
    <w:pPr>
      <w:suppressLineNumbers/>
      <w:spacing w:before="120" w:after="120"/>
    </w:pPr>
    <w:rPr>
      <w:rFonts w:cs="Lohit Devanagari"/>
      <w:i/>
      <w:iCs/>
      <w:sz w:val="24"/>
      <w:szCs w:val="24"/>
    </w:rPr>
  </w:style>
  <w:style w:type="paragraph" w:styleId="Caption1111111111111111">
    <w:name w:val="Caption1111111111111111"/>
    <w:basedOn w:val="Normal"/>
    <w:qFormat/>
    <w:pPr>
      <w:suppressLineNumbers/>
      <w:spacing w:before="120" w:after="120"/>
    </w:pPr>
    <w:rPr>
      <w:rFonts w:cs="Lohit Devanagari"/>
      <w:i/>
      <w:iCs/>
      <w:sz w:val="24"/>
      <w:szCs w:val="24"/>
    </w:rPr>
  </w:style>
  <w:style w:type="paragraph" w:styleId="Caption11111111111111111">
    <w:name w:val="Caption11111111111111111"/>
    <w:basedOn w:val="Normal"/>
    <w:qFormat/>
    <w:pPr>
      <w:suppressLineNumbers/>
      <w:spacing w:before="120" w:after="120"/>
    </w:pPr>
    <w:rPr>
      <w:rFonts w:cs="Lohit Devanagari"/>
      <w:i/>
      <w:iCs/>
      <w:sz w:val="24"/>
      <w:szCs w:val="24"/>
    </w:rPr>
  </w:style>
  <w:style w:type="paragraph" w:styleId="HTML1">
    <w:name w:val="Стандартный HTML"/>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Style24">
    <w:name w:val="Текст выноски"/>
    <w:basedOn w:val="Normal"/>
    <w:qFormat/>
    <w:pPr/>
    <w:rPr>
      <w:rFonts w:ascii="Tahoma" w:hAnsi="Tahoma" w:cs="Tahoma"/>
      <w:sz w:val="16"/>
      <w:szCs w:val="16"/>
    </w:rPr>
  </w:style>
  <w:style w:type="paragraph" w:styleId="Style25">
    <w:name w:val="Знак"/>
    <w:basedOn w:val="Normal"/>
    <w:qFormat/>
    <w:pPr>
      <w:spacing w:lineRule="exact" w:line="240" w:before="0" w:after="160"/>
    </w:pPr>
    <w:rPr>
      <w:rFonts w:ascii="Verdana" w:hAnsi="Verdana" w:cs="Verdana"/>
      <w:lang w:val="en-US"/>
    </w:rPr>
  </w:style>
  <w:style w:type="paragraph" w:styleId="BodyTextIndent">
    <w:name w:val="Body Text Indent"/>
    <w:basedOn w:val="Normal"/>
    <w:pPr>
      <w:suppressAutoHyphens w:val="true"/>
      <w:ind w:firstLine="720" w:left="0" w:right="0"/>
      <w:jc w:val="both"/>
    </w:pPr>
    <w:rPr>
      <w:kern w:val="2"/>
      <w:szCs w:val="20"/>
    </w:rPr>
  </w:style>
  <w:style w:type="paragraph" w:styleId="ConsPlusNormal1">
    <w:name w:val="ConsPlusNormal"/>
    <w:qFormat/>
    <w:pPr>
      <w:widowControl w:val="false"/>
      <w:suppressAutoHyphens w:val="true"/>
      <w:overflowPunct w:val="false"/>
      <w:bidi w:val="0"/>
      <w:spacing w:before="0" w:after="0"/>
      <w:ind w:firstLine="720" w:left="0" w:right="0"/>
      <w:jc w:val="left"/>
    </w:pPr>
    <w:rPr>
      <w:rFonts w:ascii="Arial" w:hAnsi="Arial" w:eastAsia="Times New Roman" w:cs="Arial"/>
      <w:color w:val="auto"/>
      <w:kern w:val="0"/>
      <w:sz w:val="20"/>
      <w:szCs w:val="20"/>
      <w:lang w:val="ru-RU" w:eastAsia="zh-CN" w:bidi="ar-SA"/>
    </w:rPr>
  </w:style>
  <w:style w:type="paragraph" w:styleId="Style26">
    <w:name w:val=" Знак Знак Знак Знак"/>
    <w:basedOn w:val="Normal"/>
    <w:qFormat/>
    <w:pPr>
      <w:spacing w:lineRule="exact" w:line="240" w:before="0" w:after="160"/>
    </w:pPr>
    <w:rPr>
      <w:rFonts w:ascii="Verdana" w:hAnsi="Verdana" w:cs="Verdana"/>
      <w:lang w:val="en-US"/>
    </w:rPr>
  </w:style>
  <w:style w:type="paragraph" w:styleId="Style27">
    <w:name w:val="Содержимое таблицы"/>
    <w:basedOn w:val="Normal"/>
    <w:qFormat/>
    <w:pPr>
      <w:suppressLineNumbers/>
      <w:suppressAutoHyphens w:val="true"/>
    </w:pPr>
    <w:rPr>
      <w:sz w:val="20"/>
      <w:szCs w:val="20"/>
    </w:rPr>
  </w:style>
  <w:style w:type="paragraph" w:styleId="ConsNonformat">
    <w:name w:val="ConsNonformat"/>
    <w:qFormat/>
    <w:pPr>
      <w:widowControl w:val="false"/>
      <w:suppressAutoHyphens w:val="true"/>
      <w:overflowPunct w:val="false"/>
      <w:bidi w:val="0"/>
      <w:spacing w:before="0" w:after="0"/>
      <w:jc w:val="left"/>
    </w:pPr>
    <w:rPr>
      <w:rFonts w:ascii="Courier New" w:hAnsi="Courier New" w:eastAsia="Arial" w:cs="Courier New"/>
      <w:color w:val="auto"/>
      <w:kern w:val="0"/>
      <w:sz w:val="20"/>
      <w:szCs w:val="20"/>
      <w:lang w:val="ru-RU" w:eastAsia="zh-CN" w:bidi="ar-SA"/>
    </w:rPr>
  </w:style>
  <w:style w:type="paragraph" w:styleId="Western">
    <w:name w:val="western"/>
    <w:basedOn w:val="Normal"/>
    <w:qFormat/>
    <w:pPr>
      <w:suppressAutoHyphens w:val="true"/>
      <w:spacing w:before="280" w:after="0"/>
    </w:pPr>
    <w:rPr>
      <w:color w:val="000000"/>
      <w:sz w:val="28"/>
      <w:szCs w:val="28"/>
      <w:lang w:eastAsia="zh-CN"/>
    </w:rPr>
  </w:style>
  <w:style w:type="paragraph" w:styleId="Style28">
    <w:name w:val="Абзац списка"/>
    <w:basedOn w:val="Normal"/>
    <w:qFormat/>
    <w:pPr>
      <w:suppressAutoHyphens w:val="true"/>
      <w:spacing w:before="0" w:after="0"/>
      <w:ind w:firstLine="720" w:left="720" w:right="0"/>
      <w:contextualSpacing/>
      <w:jc w:val="both"/>
    </w:pPr>
    <w:rPr>
      <w:rFonts w:eastAsia="Calibri" w:cs="Courier New"/>
      <w:sz w:val="28"/>
      <w:szCs w:val="22"/>
    </w:rPr>
  </w:style>
  <w:style w:type="paragraph" w:styleId="ConsPlusNonformat">
    <w:name w:val="ConsPlusNonformat"/>
    <w:qFormat/>
    <w:pPr>
      <w:widowControl/>
      <w:suppressAutoHyphens w:val="true"/>
      <w:overflowPunct w:val="false"/>
      <w:bidi w:val="0"/>
      <w:spacing w:before="0" w:after="0"/>
      <w:jc w:val="left"/>
    </w:pPr>
    <w:rPr>
      <w:rFonts w:ascii="Courier New" w:hAnsi="Courier New" w:eastAsia="Times New Roman" w:cs="Courier New"/>
      <w:color w:val="auto"/>
      <w:kern w:val="0"/>
      <w:sz w:val="24"/>
      <w:szCs w:val="20"/>
      <w:lang w:val="ru-RU" w:eastAsia="zh-CN" w:bidi="ar-SA"/>
    </w:rPr>
  </w:style>
  <w:style w:type="paragraph" w:styleId="Standard">
    <w:name w:val="Standard"/>
    <w:qFormat/>
    <w:pPr>
      <w:widowControl w:val="false"/>
      <w:suppressAutoHyphens w:val="true"/>
      <w:overflowPunct w:val="false"/>
      <w:bidi w:val="0"/>
      <w:spacing w:before="0" w:after="0"/>
      <w:jc w:val="left"/>
      <w:textAlignment w:val="baseline"/>
    </w:pPr>
    <w:rPr>
      <w:rFonts w:ascii="Times New Roman" w:hAnsi="Times New Roman" w:eastAsia="Arial Unicode MS" w:cs="Tahoma"/>
      <w:color w:val="auto"/>
      <w:kern w:val="2"/>
      <w:sz w:val="24"/>
      <w:szCs w:val="24"/>
      <w:lang w:val="ru-RU" w:eastAsia="zh-CN" w:bidi="ar-SA"/>
    </w:rPr>
  </w:style>
  <w:style w:type="paragraph" w:styleId="FootnoteText">
    <w:name w:val="Footnote Text"/>
    <w:basedOn w:val="Normal"/>
    <w:pPr>
      <w:suppressLineNumbers/>
      <w:ind w:hanging="340" w:left="340" w:right="0"/>
    </w:pPr>
    <w:rPr>
      <w:sz w:val="20"/>
      <w:szCs w:val="20"/>
    </w:rPr>
  </w:style>
  <w:style w:type="paragraph" w:styleId="Style29">
    <w:name w:val="Заголовок таблицы"/>
    <w:basedOn w:val="Style27"/>
    <w:qFormat/>
    <w:pPr>
      <w:suppressLineNumbers/>
      <w:jc w:val="center"/>
    </w:pPr>
    <w:rPr>
      <w:b/>
      <w:bCs/>
    </w:rPr>
  </w:style>
  <w:style w:type="paragraph" w:styleId="12">
    <w:name w:val="Знак Знак Знак Знак Знак Знак Знак Знак Знак1"/>
    <w:basedOn w:val="Normal"/>
    <w:qFormat/>
    <w:pPr>
      <w:widowControl/>
      <w:suppressAutoHyphens w:val="false"/>
      <w:bidi w:val="0"/>
      <w:spacing w:lineRule="exact" w:line="240" w:before="0" w:after="160"/>
      <w:jc w:val="left"/>
    </w:pPr>
    <w:rPr>
      <w:rFonts w:ascii="Verdana" w:hAnsi="Verdana" w:cs="Verdana"/>
      <w:color w:val="auto"/>
      <w:lang w:val="en-US" w:eastAsia="zh-CN" w:bidi="ar-SA"/>
    </w:rPr>
  </w:style>
  <w:style w:type="paragraph" w:styleId="211">
    <w:name w:val="Продолжение списка 21"/>
    <w:basedOn w:val="Normal"/>
    <w:qFormat/>
    <w:pPr>
      <w:widowControl/>
      <w:suppressAutoHyphens w:val="true"/>
      <w:bidi w:val="0"/>
      <w:spacing w:before="0" w:after="120"/>
      <w:ind w:hanging="0" w:left="566" w:right="0"/>
      <w:jc w:val="left"/>
    </w:pPr>
    <w:rPr>
      <w:rFonts w:ascii="Arial" w:hAnsi="Arial" w:cs="Arial"/>
      <w:color w:val="auto"/>
      <w:sz w:val="24"/>
      <w:szCs w:val="24"/>
      <w:lang w:val="ru-RU" w:eastAsia="zh-CN" w:bidi="ar-SA"/>
    </w:rPr>
  </w:style>
  <w:style w:type="paragraph" w:styleId="Normal1">
    <w:name w:val="Normal1"/>
    <w:qFormat/>
    <w:pPr>
      <w:widowControl w:val="false"/>
      <w:suppressAutoHyphens w:val="true"/>
      <w:bidi w:val="0"/>
      <w:spacing w:before="0" w:after="0"/>
      <w:jc w:val="left"/>
    </w:pPr>
    <w:rPr>
      <w:rFonts w:ascii="Times New Roman" w:hAnsi="Times New Roman" w:eastAsia="Times New Roman" w:cs="Times New Roman"/>
      <w:color w:val="auto"/>
      <w:kern w:val="2"/>
      <w:sz w:val="20"/>
      <w:szCs w:val="20"/>
      <w:lang w:val="ru-RU" w:eastAsia="zh-CN" w:bidi="ar-SA"/>
    </w:rPr>
  </w:style>
  <w:style w:type="paragraph" w:styleId="FR1">
    <w:name w:val="FR1"/>
    <w:qFormat/>
    <w:pPr>
      <w:widowControl w:val="false"/>
      <w:suppressAutoHyphens w:val="true"/>
      <w:bidi w:val="0"/>
      <w:spacing w:before="0" w:after="0"/>
      <w:jc w:val="left"/>
    </w:pPr>
    <w:rPr>
      <w:rFonts w:ascii="Times New Roman" w:hAnsi="Times New Roman" w:eastAsia="Times New Roman" w:cs="Times New Roman"/>
      <w:color w:val="auto"/>
      <w:kern w:val="2"/>
      <w:sz w:val="20"/>
      <w:szCs w:val="20"/>
      <w:lang w:val="ru-RU" w:eastAsia="zh-CN" w:bidi="ar-SA"/>
    </w:rPr>
  </w:style>
  <w:style w:type="paragraph" w:styleId="Style30">
    <w:name w:val="Знак Знак Знак Знак"/>
    <w:basedOn w:val="Normal"/>
    <w:qFormat/>
    <w:pPr>
      <w:widowControl/>
      <w:suppressAutoHyphens w:val="false"/>
      <w:bidi w:val="0"/>
      <w:spacing w:lineRule="exact" w:line="240" w:before="0" w:after="160"/>
      <w:jc w:val="left"/>
    </w:pPr>
    <w:rPr>
      <w:rFonts w:ascii="Verdana" w:hAnsi="Verdana" w:cs="Verdana"/>
      <w:color w:val="auto"/>
      <w:sz w:val="24"/>
      <w:szCs w:val="24"/>
      <w:lang w:val="en-US" w:eastAsia="zh-CN" w:bidi="ar-SA"/>
    </w:rPr>
  </w:style>
  <w:style w:type="paragraph" w:styleId="13">
    <w:name w:val="Знак1 Знак Знак3"/>
    <w:basedOn w:val="Normal"/>
    <w:qFormat/>
    <w:pPr>
      <w:widowControl/>
      <w:suppressAutoHyphens w:val="false"/>
      <w:bidi w:val="0"/>
      <w:spacing w:lineRule="exact" w:line="240" w:before="0" w:after="160"/>
      <w:jc w:val="left"/>
    </w:pPr>
    <w:rPr>
      <w:rFonts w:ascii="Verdana" w:hAnsi="Verdana" w:cs="Verdana"/>
      <w:color w:val="auto"/>
      <w:sz w:val="24"/>
      <w:szCs w:val="24"/>
      <w:lang w:val="en-US" w:eastAsia="zh-CN" w:bidi="ar-SA"/>
    </w:rPr>
  </w:style>
  <w:style w:type="paragraph" w:styleId="14">
    <w:name w:val="Абзац списка1"/>
    <w:basedOn w:val="Normal"/>
    <w:qFormat/>
    <w:pPr>
      <w:widowControl/>
      <w:suppressAutoHyphens w:val="false"/>
      <w:bidi w:val="0"/>
      <w:spacing w:before="0" w:after="0"/>
      <w:ind w:hanging="0" w:left="720" w:right="0"/>
      <w:contextualSpacing/>
      <w:jc w:val="left"/>
    </w:pPr>
    <w:rPr>
      <w:color w:val="auto"/>
      <w:lang w:val="ru-RU" w:eastAsia="zh-CN" w:bidi="ar-SA"/>
    </w:rPr>
  </w:style>
  <w:style w:type="paragraph" w:styleId="22">
    <w:name w:val="Маркер2"/>
    <w:basedOn w:val="Normal"/>
    <w:qFormat/>
    <w:pPr>
      <w:widowControl/>
      <w:tabs>
        <w:tab w:val="clear" w:pos="708"/>
        <w:tab w:val="left" w:pos="4962" w:leader="none"/>
        <w:tab w:val="left" w:pos="5245" w:leader="none"/>
        <w:tab w:val="left" w:pos="5812" w:leader="none"/>
        <w:tab w:val="left" w:pos="6096" w:leader="none"/>
      </w:tabs>
      <w:suppressAutoHyphens w:val="false"/>
      <w:bidi w:val="0"/>
      <w:jc w:val="both"/>
    </w:pPr>
    <w:rPr>
      <w:color w:val="auto"/>
      <w:sz w:val="28"/>
      <w:szCs w:val="28"/>
      <w:lang w:val="ru-RU" w:eastAsia="zh-CN" w:bidi="ar-SA"/>
    </w:rPr>
  </w:style>
  <w:style w:type="paragraph" w:styleId="23">
    <w:name w:val="Основной текст 2"/>
    <w:basedOn w:val="Normal"/>
    <w:qFormat/>
    <w:pPr>
      <w:widowControl/>
      <w:suppressAutoHyphens w:val="false"/>
      <w:bidi w:val="0"/>
      <w:ind w:hanging="0" w:left="0" w:right="-143"/>
      <w:jc w:val="center"/>
    </w:pPr>
    <w:rPr>
      <w:rFonts w:ascii="Arial" w:hAnsi="Arial" w:cs="Arial"/>
      <w:color w:val="auto"/>
      <w:sz w:val="32"/>
      <w:szCs w:val="32"/>
      <w:lang w:val="ru-RU" w:eastAsia="zh-CN" w:bidi="ar-SA"/>
    </w:rPr>
  </w:style>
  <w:style w:type="paragraph" w:styleId="15">
    <w:name w:val="Знак1"/>
    <w:basedOn w:val="Normal"/>
    <w:qFormat/>
    <w:pPr>
      <w:widowControl/>
      <w:suppressAutoHyphens w:val="false"/>
      <w:bidi w:val="0"/>
      <w:spacing w:before="100" w:after="100"/>
      <w:jc w:val="left"/>
    </w:pPr>
    <w:rPr>
      <w:rFonts w:ascii="Tahoma" w:hAnsi="Tahoma" w:cs="Tahoma"/>
      <w:color w:val="auto"/>
      <w:lang w:val="en-US" w:eastAsia="zh-CN" w:bidi="ar-SA"/>
    </w:rPr>
  </w:style>
  <w:style w:type="paragraph" w:styleId="Style31">
    <w:name w:val="Знак Знак Знак Знак Знак Знак"/>
    <w:basedOn w:val="Normal"/>
    <w:qFormat/>
    <w:pPr>
      <w:widowControl/>
      <w:suppressAutoHyphens w:val="false"/>
      <w:bidi w:val="0"/>
      <w:spacing w:lineRule="exact" w:line="240" w:before="0" w:after="160"/>
      <w:jc w:val="left"/>
    </w:pPr>
    <w:rPr>
      <w:rFonts w:ascii="Verdana" w:hAnsi="Verdana" w:cs="Verdana"/>
      <w:color w:val="auto"/>
      <w:sz w:val="24"/>
      <w:szCs w:val="24"/>
      <w:lang w:val="en-US" w:eastAsia="zh-CN" w:bidi="ar-SA"/>
    </w:rPr>
  </w:style>
  <w:style w:type="paragraph" w:styleId="Style32">
    <w:name w:val="Знак Знак Знак Знак Знак Знак Знак Знак Знак Знак Знак Знак Знак Знак Знак"/>
    <w:basedOn w:val="Normal"/>
    <w:qFormat/>
    <w:pPr>
      <w:widowControl/>
      <w:suppressAutoHyphens w:val="false"/>
      <w:bidi w:val="0"/>
      <w:spacing w:lineRule="exact" w:line="240" w:before="0" w:after="160"/>
      <w:jc w:val="left"/>
    </w:pPr>
    <w:rPr>
      <w:rFonts w:ascii="Verdana" w:hAnsi="Verdana" w:cs="Verdana"/>
      <w:color w:val="auto"/>
      <w:sz w:val="24"/>
      <w:szCs w:val="24"/>
      <w:lang w:val="en-US" w:eastAsia="zh-CN" w:bidi="ar-SA"/>
    </w:rPr>
  </w:style>
  <w:style w:type="paragraph" w:styleId="16">
    <w:name w:val="Знак1 Знак Знак Знак Знак Знак Знак Знак Знак"/>
    <w:basedOn w:val="Normal"/>
    <w:qFormat/>
    <w:pPr>
      <w:widowControl/>
      <w:suppressAutoHyphens w:val="false"/>
      <w:bidi w:val="0"/>
      <w:spacing w:lineRule="exact" w:line="240" w:before="0" w:after="160"/>
      <w:jc w:val="left"/>
    </w:pPr>
    <w:rPr>
      <w:rFonts w:ascii="Verdana" w:hAnsi="Verdana" w:cs="Verdana"/>
      <w:color w:val="auto"/>
      <w:sz w:val="24"/>
      <w:szCs w:val="24"/>
      <w:lang w:val="en-US" w:eastAsia="zh-CN" w:bidi="ar-SA"/>
    </w:rPr>
  </w:style>
  <w:style w:type="paragraph" w:styleId="ConsPlusTitle">
    <w:name w:val="ConsPlusTitle"/>
    <w:qFormat/>
    <w:pPr>
      <w:widowControl/>
      <w:suppressAutoHyphens w:val="true"/>
      <w:bidi w:val="0"/>
      <w:spacing w:before="0" w:after="0"/>
      <w:jc w:val="left"/>
    </w:pPr>
    <w:rPr>
      <w:rFonts w:ascii="Times New Roman" w:hAnsi="Times New Roman" w:eastAsia="Times New Roman" w:cs="Times New Roman"/>
      <w:b/>
      <w:bCs/>
      <w:color w:val="auto"/>
      <w:kern w:val="2"/>
      <w:sz w:val="26"/>
      <w:szCs w:val="26"/>
      <w:lang w:val="ru-RU" w:eastAsia="zh-CN" w:bidi="ar-SA"/>
    </w:rPr>
  </w:style>
  <w:style w:type="paragraph" w:styleId="31">
    <w:name w:val="Основной текст 31"/>
    <w:basedOn w:val="Normal"/>
    <w:qFormat/>
    <w:pPr>
      <w:widowControl/>
      <w:suppressAutoHyphens w:val="true"/>
      <w:bidi w:val="0"/>
      <w:spacing w:before="0" w:after="120"/>
      <w:jc w:val="left"/>
    </w:pPr>
    <w:rPr>
      <w:color w:val="auto"/>
      <w:sz w:val="16"/>
      <w:szCs w:val="16"/>
      <w:lang w:val="en-AU" w:eastAsia="zh-CN" w:bidi="ar-SA"/>
    </w:rPr>
  </w:style>
  <w:style w:type="paragraph" w:styleId="311">
    <w:name w:val="Основной текст с отступом 31"/>
    <w:basedOn w:val="Normal"/>
    <w:qFormat/>
    <w:pPr>
      <w:widowControl/>
      <w:suppressAutoHyphens w:val="true"/>
      <w:bidi w:val="0"/>
      <w:ind w:firstLine="709" w:left="0" w:right="0"/>
      <w:jc w:val="both"/>
    </w:pPr>
    <w:rPr>
      <w:color w:val="000000"/>
      <w:sz w:val="26"/>
      <w:lang w:val="ru-RU" w:eastAsia="zh-CN" w:bidi="ar-SA"/>
    </w:rPr>
  </w:style>
  <w:style w:type="paragraph" w:styleId="212">
    <w:name w:val="Основной текст с отступом 21"/>
    <w:basedOn w:val="Normal"/>
    <w:qFormat/>
    <w:pPr>
      <w:widowControl/>
      <w:suppressAutoHyphens w:val="true"/>
      <w:bidi w:val="0"/>
      <w:ind w:firstLine="709" w:left="0" w:right="0"/>
      <w:jc w:val="both"/>
    </w:pPr>
    <w:rPr>
      <w:color w:val="000000"/>
      <w:sz w:val="24"/>
      <w:lang w:val="ru-RU" w:eastAsia="zh-CN" w:bidi="ar-SA"/>
    </w:rPr>
  </w:style>
  <w:style w:type="paragraph" w:styleId="32">
    <w:name w:val="3"/>
    <w:basedOn w:val="Normal"/>
    <w:qFormat/>
    <w:pPr>
      <w:widowControl/>
      <w:suppressAutoHyphens w:val="true"/>
      <w:bidi w:val="0"/>
      <w:spacing w:before="129" w:after="129"/>
      <w:ind w:hanging="0" w:left="129" w:right="129"/>
      <w:jc w:val="left"/>
    </w:pPr>
    <w:rPr>
      <w:color w:val="auto"/>
      <w:sz w:val="24"/>
      <w:szCs w:val="24"/>
      <w:lang w:val="ru-RU" w:eastAsia="zh-CN" w:bidi="ar-SA"/>
    </w:rPr>
  </w:style>
  <w:style w:type="paragraph" w:styleId="Style33">
    <w:name w:val="Обычный (веб)"/>
    <w:basedOn w:val="Normal"/>
    <w:qFormat/>
    <w:pPr>
      <w:widowControl/>
      <w:suppressAutoHyphens w:val="true"/>
      <w:bidi w:val="0"/>
      <w:spacing w:before="200" w:after="200"/>
      <w:ind w:hanging="0" w:left="200" w:right="200"/>
      <w:jc w:val="left"/>
    </w:pPr>
    <w:rPr>
      <w:color w:val="auto"/>
      <w:sz w:val="24"/>
      <w:szCs w:val="24"/>
      <w:lang w:val="ru-RU" w:eastAsia="zh-CN" w:bidi="ar-SA"/>
    </w:rPr>
  </w:style>
  <w:style w:type="paragraph" w:styleId="17">
    <w:name w:val="Указатель1"/>
    <w:basedOn w:val="Normal"/>
    <w:qFormat/>
    <w:pPr>
      <w:widowControl/>
      <w:suppressAutoHyphens w:val="true"/>
      <w:bidi w:val="0"/>
      <w:jc w:val="left"/>
    </w:pPr>
    <w:rPr>
      <w:rFonts w:cs="Tahoma"/>
      <w:color w:val="auto"/>
      <w:lang w:val="en-AU" w:eastAsia="zh-CN" w:bidi="ar-SA"/>
    </w:rPr>
  </w:style>
  <w:style w:type="paragraph" w:styleId="18">
    <w:name w:val="Название1"/>
    <w:basedOn w:val="Normal"/>
    <w:qFormat/>
    <w:pPr>
      <w:widowControl/>
      <w:suppressAutoHyphens w:val="true"/>
      <w:bidi w:val="0"/>
      <w:spacing w:before="120" w:after="120"/>
      <w:jc w:val="left"/>
    </w:pPr>
    <w:rPr>
      <w:rFonts w:cs="Tahoma"/>
      <w:i/>
      <w:iCs/>
      <w:color w:val="auto"/>
      <w:sz w:val="24"/>
      <w:szCs w:val="24"/>
      <w:lang w:val="en-AU" w:eastAsia="zh-CN" w:bidi="ar-SA"/>
    </w:rPr>
  </w:style>
  <w:style w:type="paragraph" w:styleId="Caption2">
    <w:name w:val="Caption2"/>
    <w:basedOn w:val="Normal"/>
    <w:qFormat/>
    <w:pPr>
      <w:widowControl/>
      <w:suppressAutoHyphens w:val="true"/>
      <w:bidi w:val="0"/>
      <w:spacing w:before="120" w:after="120"/>
      <w:jc w:val="left"/>
    </w:pPr>
    <w:rPr>
      <w:rFonts w:cs="Lohit Devanagari"/>
      <w:i/>
      <w:iCs/>
      <w:color w:val="auto"/>
      <w:sz w:val="24"/>
      <w:szCs w:val="24"/>
      <w:lang w:val="en-AU" w:eastAsia="zh-CN" w:bidi="ar-SA"/>
    </w:rPr>
  </w:style>
  <w:style w:type="paragraph" w:styleId="19">
    <w:name w:val="Обычный (веб)1"/>
    <w:basedOn w:val="Normal"/>
    <w:qFormat/>
    <w:pPr>
      <w:spacing w:lineRule="auto" w:line="240" w:before="280" w:after="119"/>
    </w:pPr>
    <w:rPr>
      <w:rFonts w:ascii="Times New Roman" w:hAnsi="Times New Roman" w:eastAsia="Times New Roman" w:cs="Times New Roman"/>
      <w:sz w:val="24"/>
      <w:szCs w:val="24"/>
      <w:lang w:eastAsia="zh-CN"/>
    </w:rPr>
  </w:style>
  <w:style w:type="paragraph" w:styleId="HTMLPreformatted">
    <w:name w:val="HTML Preformatted"/>
    <w:basedOn w:val="Normal"/>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zh-CN"/>
    </w:rPr>
  </w:style>
  <w:style w:type="paragraph" w:styleId="110">
    <w:name w:val="Без интервала1"/>
    <w:qFormat/>
    <w:pPr>
      <w:widowControl w:val="false"/>
      <w:suppressAutoHyphens w:val="true"/>
      <w:bidi w:val="0"/>
      <w:spacing w:before="0" w:after="0"/>
      <w:jc w:val="left"/>
    </w:pPr>
    <w:rPr>
      <w:rFonts w:ascii="Times New Roman" w:hAnsi="Times New Roman" w:eastAsia="Times New Roman" w:cs="Times New Roman"/>
      <w:color w:val="00000A"/>
      <w:kern w:val="0"/>
      <w:sz w:val="20"/>
      <w:szCs w:val="20"/>
      <w:lang w:val="ru-RU" w:eastAsia="zh-CN" w:bidi="ar-SA"/>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46F7A2C996CE681A3F554C63C78B039586A19E754E88F19FEBC7F764A3E24CBFCE9349B4BFD19DA9A1F5274E5DA05DA20844770A10009F1QE5EN" TargetMode="External"/><Relationship Id="rId3" Type="http://schemas.openxmlformats.org/officeDocument/2006/relationships/hyperlink" Target="http://login.consultant.ru/link/?req=doc&amp;base=LAW&amp;n=389719&amp;date=13.01.2022&amp;dst=100018&amp;field=134" TargetMode="External"/><Relationship Id="rId4" Type="http://schemas.openxmlformats.org/officeDocument/2006/relationships/hyperlink" Target="http://login.consultant.ru/link/?req=doc&amp;base=LAW&amp;n=389718&amp;date=13.01.2022&amp;dst=100118&amp;field=134" TargetMode="External"/><Relationship Id="rId5" Type="http://schemas.openxmlformats.org/officeDocument/2006/relationships/hyperlink" Target="http://login.consultant.ru/link/?req=doc&amp;base=LAW&amp;n=389219&amp;date=13.01.2022&amp;dst=100285&amp;field=134" TargetMode="External"/><Relationship Id="rId6" Type="http://schemas.openxmlformats.org/officeDocument/2006/relationships/hyperlink" Target="consultantplus://offline/ref=E7B0DCAAA1F8CE08D814144AF0FEE74341A420B7200FEECFA51E0279703910E1711039707D2AB47Ai0DFJ" TargetMode="External"/><Relationship Id="rId7" Type="http://schemas.openxmlformats.org/officeDocument/2006/relationships/hyperlink" Target="http://login.consultant.ru/link/?req=doc&amp;base=LAW&amp;n=406205&amp;date=13.01.2022&amp;dst=100008&amp;field=134" TargetMode="External"/><Relationship Id="rId8" Type="http://schemas.openxmlformats.org/officeDocument/2006/relationships/hyperlink" Target="http://login.consultant.ru/link/?req=doc&amp;base=LAW&amp;n=389676&amp;date=13.01.2022&amp;dst=252&amp;field=134" TargetMode="External"/><Relationship Id="rId9" Type="http://schemas.openxmlformats.org/officeDocument/2006/relationships/hyperlink" Target="http://login.consultant.ru/link/?req=doc&amp;base=LAW&amp;n=406205&amp;date=13.01.2022&amp;dst=100009&amp;field=134" TargetMode="External"/><Relationship Id="rId10" Type="http://schemas.openxmlformats.org/officeDocument/2006/relationships/hyperlink" Target="http://login.consultant.ru/link/?req=doc&amp;base=LAW&amp;n=389420&amp;date=13.01.2022&amp;dst=100167&amp;field=134" TargetMode="External"/><Relationship Id="rId11" Type="http://schemas.openxmlformats.org/officeDocument/2006/relationships/hyperlink" Target="http://login.consultant.ru/link/?req=doc&amp;base=LAW&amp;n=406292&amp;date=13.01.2022" TargetMode="External"/><Relationship Id="rId12" Type="http://schemas.openxmlformats.org/officeDocument/2006/relationships/hyperlink" Target="http://login.consultant.ru/link/?req=doc&amp;base=LAW&amp;n=404851&amp;date=13.01.2022&amp;dst=100019&amp;field=134" TargetMode="External"/><Relationship Id="rId13" Type="http://schemas.openxmlformats.org/officeDocument/2006/relationships/hyperlink" Target="consultantplus://offline/ref=C8C65A47B7C91B26514727B73BF73C855A150A27E5CE7ABB09CB4E5E9AE9B65AACD043743A76DFFD3A566C56BE3F7B47ED7E597C8FFDC6C6e3L3B" TargetMode="External"/><Relationship Id="rId14" Type="http://schemas.openxmlformats.org/officeDocument/2006/relationships/hyperlink" Target="../../../mnt/AppData/Local/Microsoft/Windows/INetCache/AppData/Local/Microsoft/Windows/Temporary%20Internet%20Files/Content.IE5/13NE72IH/&#1056;&#1118;&#1056;&#1105;&#1056;&#1111;&#1056;&#1109;&#1056;&#1030;&#1056;&#1109;&#1056;&#8470;%20&#1056;&#1108;&#1056;&#1109;&#1056;&#1029;&#1057;&#8218;&#1057;&#1026;&#1056;&#176;&#1056;&#1108;&#1057;&#8218;%20(&#1056;&#1119;&#1057;&#1026;&#1056;&#1105;&#1056;%5C" TargetMode="External"/><Relationship Id="rId15" Type="http://schemas.openxmlformats.org/officeDocument/2006/relationships/hyperlink" Target="../../../mnt/AppData/Local/Microsoft/Windows/INetCache/AppData/Local/Microsoft/Windows/Temporary%20Internet%20Files/Content.IE5/13NE72IH/&#1056;&#1118;&#1056;&#1105;&#1056;&#1111;&#1056;&#1109;&#1056;&#1030;&#1056;&#1109;&#1056;&#8470;%20&#1056;&#1108;&#1056;&#1109;&#1056;&#1029;&#1057;&#8218;&#1057;&#1026;&#1056;&#176;&#1056;&#1108;&#1057;&#8218;%20(&#1056;&#1119;&#1057;&#1026;&#1056;&#1105;&#1056;%5C" TargetMode="External"/><Relationship Id="rId16" Type="http://schemas.openxmlformats.org/officeDocument/2006/relationships/hyperlink" Target="../../../mnt/AppData/Local/Microsoft/Windows/INetCache/AppData/Local/Microsoft/Windows/Temporary%20Internet%20Files/Content.IE5/13NE72IH/&#1056;&#1118;&#1056;&#1105;&#1056;&#1111;&#1056;&#1109;&#1056;&#1030;&#1056;&#1109;&#1056;&#8470;%20&#1056;&#1108;&#1056;&#1109;&#1056;&#1029;&#1057;&#8218;&#1057;&#1026;&#1056;&#176;&#1056;&#1108;&#1057;&#8218;%20(&#1056;&#1119;&#1057;&#1026;&#1056;&#1105;&#1056;%5C" TargetMode="External"/><Relationship Id="rId17" Type="http://schemas.openxmlformats.org/officeDocument/2006/relationships/hyperlink" Target="consultantplus://offline/ref=2791DCD251F8D6AAD5AC41D2B7F05C9DA9ED26EDD14334766D379E34326491051E50493128F3FD6C5B2837E85DC19099807B673C71DB2522P0X2W" TargetMode="External"/><Relationship Id="rId18" Type="http://schemas.openxmlformats.org/officeDocument/2006/relationships/hyperlink" Target="consultantplus://offline/ref=737B534EA3206A2DC278735F37A61E55BFCACBFA8A3582CEA4CE44B6575B9DD5898E36983B4FAC0ED9E9A62B2F5C81B9C279B8B998FAH747W" TargetMode="External"/><Relationship Id="rId19" Type="http://schemas.openxmlformats.org/officeDocument/2006/relationships/hyperlink" Target="consultantplus://offline/ref=737B534EA3206A2DC278735F37A61E55BFCACBFA8A3582CEA4CE44B6575B9DD5898E36983B4FA30ED9E9A62B2F5C81B9C279B8B998FAH747W" TargetMode="External"/><Relationship Id="rId20" Type="http://schemas.openxmlformats.org/officeDocument/2006/relationships/hyperlink" Target="mailto:zakupki@r33.fssp.gov.ru" TargetMode="External"/><Relationship Id="rId21" Type="http://schemas.openxmlformats.org/officeDocument/2006/relationships/footnotes" Target="footnotes.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1300</TotalTime>
  <Application>LibreOffice/7.6.7.2$Linux_X86_64 LibreOffice_project/60$Build-2</Application>
  <AppVersion>15.0000</AppVersion>
  <Pages>12</Pages>
  <Words>5426</Words>
  <Characters>39431</Characters>
  <CharactersWithSpaces>45014</CharactersWithSpaces>
  <Paragraphs>206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
  <dc:language>ru-RU</dc:language>
  <cp:lastModifiedBy/>
  <dcterms:modified xsi:type="dcterms:W3CDTF">2026-09-23T15:21:31Z</dcterms:modified>
  <cp:revision>192</cp:revision>
  <dc:subject/>
  <dc:title/>
</cp:coreProperties>
</file>

<file path=docProps/custom.xml><?xml version="1.0" encoding="utf-8"?>
<Properties xmlns="http://schemas.openxmlformats.org/officeDocument/2006/custom-properties" xmlns:vt="http://schemas.openxmlformats.org/officeDocument/2006/docPropsVTypes"/>
</file>