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bookmarkStart w:id="0" w:name="Par36"/>
      <w:r>
        <w:rPr>
          <w:rFonts w:ascii="PT Astra Serif" w:hAnsi="PT Astra Serif" w:eastAsia="PT Astra Serif" w:cs="PT Astra Serif"/>
          <w:sz w:val="24"/>
          <w:szCs w:val="24"/>
        </w:rPr>
      </w:r>
      <w:bookmarkEnd w:id="0"/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ПРОЕКТ 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keepNext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Государственный контракт №</w:t>
      </w:r>
      <w:r>
        <w:rPr>
          <w:rFonts w:ascii="PT Astra Serif" w:hAnsi="PT Astra Serif" w:eastAsia="PT Astra Serif" w:cs="PT Astra Serif"/>
          <w:b/>
          <w:bCs/>
          <w:sz w:val="24"/>
          <w:szCs w:val="24"/>
          <w:lang w:eastAsia="ru-RU"/>
        </w:rPr>
        <w:t xml:space="preserve"> ______________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на оказание образовательных услуг по профессиональной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переподготовке (повышению квалификации) федеральных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государственных гражданских служащих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г.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Ставрополь</w:t>
      </w:r>
      <w:r>
        <w:rPr>
          <w:rFonts w:ascii="PT Astra Serif" w:hAnsi="PT Astra Serif" w:eastAsia="PT Astra Serif" w:cs="PT Astra Serif"/>
          <w:sz w:val="24"/>
          <w:szCs w:val="24"/>
        </w:rPr>
        <w:tab/>
        <w:tab/>
        <w:tab/>
        <w:tab/>
        <w:tab/>
        <w:tab/>
        <w:t xml:space="preserve">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«__»_____ 20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Управление Федеральной слу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жбы государственной регистрации, кадастра и картографии по Ставропольскому краю, действующее от имени Российской Федерации, в лице _______________________________, действующего на основании ________________________________, (идентификационный код закупки: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261263406383026340100100380000000000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), именуемый  в  дальнейшем «Заказчик», с одной стороны, и ________________________________________, лицензия от _____ г. серия _____ № _____, в лице __________________________________, действующего на основани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и_____________________, именуемый в дальнейшем «Исполнитель», с другой стороны, именуемые в дальнейшем «Стороны», в соответствии с государственным заказом на дополнительное профессиональное образование федеральных государственных гражданских служащих на 20</w:t>
      </w:r>
      <w:r>
        <w:rPr>
          <w:rFonts w:ascii="PT Astra Serif" w:hAnsi="PT Astra Serif" w:eastAsia="PT Astra Serif" w:cs="PT Astra Serif"/>
          <w:sz w:val="24"/>
          <w:szCs w:val="24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год, утвержденным распоряжением Правительства Российской Федерации от _  20</w:t>
      </w:r>
      <w:r>
        <w:rPr>
          <w:rFonts w:ascii="PT Astra Serif" w:hAnsi="PT Astra Serif" w:eastAsia="PT Astra Serif" w:cs="PT Astra Serif"/>
          <w:sz w:val="24"/>
          <w:szCs w:val="24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 №</w:t>
      </w:r>
      <w:r>
        <w:rPr>
          <w:rFonts w:ascii="PT Astra Serif" w:hAnsi="PT Astra Serif" w:eastAsia="PT Astra Serif" w:cs="PT Astra Serif"/>
          <w:sz w:val="24"/>
          <w:szCs w:val="24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 пунктом «4» части 1 статьи 93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ее – Контракт) о нижеследующем.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1. ПРЕДМЕТ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КОНТРАКТА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1.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Заказчик поручает, а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принимает на себя обязательства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оказанию услуг по обучению ответственных за безопасность эксплуатации сети газораспределения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(далее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«Программа»)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повышению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квалификации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федеральных государственных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гражданских служащих (далее – гражданские служащие)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без отрыва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федеральной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государственной гражданской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службы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соотве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тствии 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учебным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планом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рограммы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согласно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прилож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ению №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1 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(далее – Услуги)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(код ОКПД –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85.42.19.900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Количество гражданских служащих, подлежащих обучению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Программе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-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10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десять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человек.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1.3. Требования к содержанию и объему оказываемых Услуг, а также иные условия оказания Услуг определяются Заказом на оказание услуг (Приложение № 1</w:t>
      </w:r>
      <w:bookmarkStart w:id="1" w:name="OLE_LINK3"/>
      <w:r>
        <w:rPr>
          <w:rFonts w:ascii="PT Astra Serif" w:hAnsi="PT Astra Serif" w:eastAsia="PT Astra Serif" w:cs="PT Astra Serif"/>
          <w:sz w:val="24"/>
          <w:szCs w:val="24"/>
        </w:rPr>
        <w:t xml:space="preserve"> к </w:t>
      </w:r>
      <w:bookmarkEnd w:id="1"/>
      <w:r>
        <w:rPr>
          <w:rFonts w:ascii="PT Astra Serif" w:hAnsi="PT Astra Serif" w:eastAsia="PT Astra Serif" w:cs="PT Astra Serif"/>
          <w:sz w:val="24"/>
          <w:szCs w:val="24"/>
        </w:rPr>
        <w:t xml:space="preserve">Контракту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1.4. Сроки оказания Услуг: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Начальный срок оказания Услуг: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с момента заключения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Конечный срок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не позднее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21 августа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2026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года.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1.5.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Место оказания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-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Российская Федерация,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Ставропольский край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(дистанционное обучение).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0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2. ЦЕНА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КОНТРАКТА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И ПОРЯДОК РАСЧЁТОВ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bookmarkStart w:id="2" w:name="_Ref103457699"/>
      <w:r>
        <w:rPr>
          <w:rFonts w:ascii="PT Astra Serif" w:hAnsi="PT Astra Serif" w:eastAsia="PT Astra Serif" w:cs="PT Astra Serif"/>
          <w:sz w:val="24"/>
          <w:szCs w:val="24"/>
        </w:rPr>
        <w:t xml:space="preserve">2.1.</w:t>
      </w:r>
      <w:bookmarkEnd w:id="2"/>
      <w:r>
        <w:rPr>
          <w:rFonts w:ascii="PT Astra Serif" w:hAnsi="PT Astra Serif" w:eastAsia="PT Astra Serif" w:cs="PT Astra Serif"/>
          <w:sz w:val="24"/>
          <w:szCs w:val="24"/>
        </w:rPr>
        <w:t xml:space="preserve"> Цена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устанавливается в российских рублях.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2.2. 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Цена Контракта в соответствии с расчетом (Приложение № 2 к Контракту) составляет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___________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) руб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коп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соответствии с подпунктом 14 пункта 2 статьи 149 Налогового кодекса Российской Федерации налогом на добавленную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стоимость не облагается.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bCs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 этом стоимость обучения одного гражданского служащего составляет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________________________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)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lang w:eastAsia="ru-RU"/>
        </w:rPr>
        <w:t xml:space="preserve">руб.</w:t>
      </w:r>
      <w:r>
        <w:rPr>
          <w:rFonts w:ascii="PT Astra Serif" w:hAnsi="PT Astra Serif" w:cs="PT Astra Serif"/>
          <w:bCs/>
          <w:color w:val="000000"/>
          <w:sz w:val="24"/>
          <w:szCs w:val="24"/>
        </w:rPr>
      </w:r>
      <w:r>
        <w:rPr>
          <w:rFonts w:ascii="PT Astra Serif" w:hAnsi="PT Astra Serif" w:cs="PT Astra Serif"/>
          <w:bCs/>
          <w:color w:val="000000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  <w:shd w:val="clear" w:color="auto" w:fill="ffffff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Ц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ена контракта является твердой и определяется на весь срок исполнения контракта, а в случае, пред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ус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мотренном частью 24 статьи 22 Федерального закона № 44-ФЗ от 05.04.2013г., указываются цены единиц товара, работы, услуги и максимальное значение цены контра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извещении об осуществлении закупки, документ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ации о закупке (в случае, если Федеральным законом № 44-ФЗ от 05.04.2013г. предусмотрена документация о закупке). При заключении и исполнении контракта изменение его существенных условий не допускается, за исключением случаев, предусмотренных Федеральным з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аконом № 44-ФЗ от 05.04.2013г. В случае, если проектом контракта предусмотрены отдельные этапы его исполнения, цена каждого этапа устанавливается в размере, сниженном пропорционально снижению начальной (максимальной) цены контракта участником закупки, с ко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торым заключается контракт.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* </w:t>
      </w: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4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 В цену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онтракта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входят все расходы, связанные с выполнением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обязательств по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у, включая расходы на учебно-методические материалы,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уплату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налогов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 других обязательных платежей, которые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долж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выплатить в связи с выполнением обязательств по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онтракту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Оплата Услуг по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К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онтракту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осуществляется за счет средств федерального бюджета, предусмотренных на указанные цели </w:t>
      </w:r>
      <w:r>
        <w:rPr>
          <w:rFonts w:ascii="PT Astra Serif" w:hAnsi="PT Astra Serif" w:eastAsia="PT Astra Serif" w:cs="PT Astra Serif"/>
          <w:i w:val="0"/>
          <w:iCs w:val="0"/>
          <w:spacing w:val="4"/>
          <w:sz w:val="24"/>
          <w:szCs w:val="24"/>
        </w:rPr>
        <w:t xml:space="preserve">Управления Федеральной службы государственной регистрации, кадастра и картографии по Ставропольскому краю</w:t>
      </w:r>
      <w:r>
        <w:rPr>
          <w:rFonts w:ascii="PT Astra Serif" w:hAnsi="PT Astra Serif" w:eastAsia="PT Astra Serif" w:cs="PT Astra Serif"/>
          <w:i w:val="0"/>
          <w:iCs w:val="0"/>
          <w:spacing w:val="4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на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2026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год по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разделу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глава 321, раздел 04, подраздел 12, целевая статья 5440190020, вид расходов 244,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КОСГУ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 226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Оплата Услуг производится в форме безналичных расчетов.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2.7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Оплата Услуг, оказанных Исполнителем по Контракту,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осуществляется Заказчиком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факту оказания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(исходя из количества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гражданских служащих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прошедших обучение)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течение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 (семи) рабочих дней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с даты подписания Заказчиком документа о приемке</w:t>
        <w:br/>
        <w:t xml:space="preserve">на основании полу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ченных от Исполнителя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счета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,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оказанных услуг (Приложение № 3 к Контракту)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В случае невозможности исполнения по вине Заказчика, оплате подлежат только фактически оказанные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 Услуги.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В случае отчисления гражданского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служащего по причинам, указанным в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подпункте «б» пункта </w:t>
      </w:r>
      <w:r>
        <w:rPr>
          <w:rFonts w:ascii="PT Astra Serif" w:hAnsi="PT Astra Serif" w:eastAsia="PT Astra Serif" w:cs="PT Astra Serif"/>
          <w:sz w:val="24"/>
          <w:szCs w:val="24"/>
        </w:rPr>
        <w:fldChar w:fldCharType="begin"/>
      </w:r>
      <w:r>
        <w:rPr>
          <w:rFonts w:ascii="PT Astra Serif" w:hAnsi="PT Astra Serif" w:eastAsia="PT Astra Serif" w:cs="PT Astra Serif"/>
          <w:sz w:val="24"/>
          <w:szCs w:val="24"/>
        </w:rPr>
        <w:instrText xml:space="preserve"> HYPERLINK \l "Par125" </w:instrText>
      </w:r>
      <w:r>
        <w:rPr>
          <w:rFonts w:ascii="PT Astra Serif" w:hAnsi="PT Astra Serif" w:eastAsia="PT Astra Serif" w:cs="PT Astra Serif"/>
          <w:sz w:val="24"/>
          <w:szCs w:val="24"/>
        </w:rPr>
        <w:fldChar w:fldCharType="separate"/>
      </w:r>
      <w:r>
        <w:rPr>
          <w:rFonts w:ascii="PT Astra Serif" w:hAnsi="PT Astra Serif" w:eastAsia="PT Astra Serif" w:cs="PT Astra Serif"/>
          <w:sz w:val="24"/>
          <w:szCs w:val="24"/>
        </w:rPr>
        <w:t xml:space="preserve">3.4.</w:t>
      </w:r>
      <w:r>
        <w:rPr>
          <w:rFonts w:ascii="PT Astra Serif" w:hAnsi="PT Astra Serif" w:eastAsia="PT Astra Serif" w:cs="PT Astra Serif"/>
          <w:sz w:val="24"/>
          <w:szCs w:val="24"/>
        </w:rPr>
        <w:fldChar w:fldCharType="end"/>
      </w:r>
      <w:r>
        <w:rPr>
          <w:rFonts w:ascii="PT Astra Serif" w:hAnsi="PT Astra Serif" w:eastAsia="PT Astra Serif" w:cs="PT Astra Serif"/>
          <w:sz w:val="24"/>
          <w:szCs w:val="24"/>
        </w:rPr>
        <w:t xml:space="preserve"> Контракта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услуги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оплачиваются в объеме, равном фактически оказанным Услугам.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Датой оплаты оказанных Услуг считается дата списания денежных средств со счета Заказчика (лицевого счета получателя средств федерального бюджета).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3. ВЗАИМОДЕЙСТВИЕ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Заказчик обязуется: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а) формировать состав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учебных групп с учетом замещаемых гражданскими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служащими должностей федеральной государственной гражданской службы;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б) своевременно направлять гражданских служащих на обучение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прохождение итоговой аттестации;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в)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обеспечить приемку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оказанных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соотв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етствии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разделом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4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онтракта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отсутствии претензий относительно их объема, качества 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соблюдения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сроков их оказания подписать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 сдачи-приемки оказанных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оплатить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Услуги в срок, в течение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 (семи) рабочих дней,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с даты подписания Заказчиком документа о приемке</w:t>
        <w:br/>
        <w:t xml:space="preserve">на основании полу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ченных от Исполнителя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счета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,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оказанных услуг (Приложение № 3 к Контракту)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Заказчик имеет право: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а) контролировать качество образовательных услуг,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оказываемых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соответствии с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Заказом на оказание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том числе путем участия в работе соответствующей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аттестационной комиссии, формируемой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б)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направлять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Исполнителю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запросы о ходе исполнения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настоящего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 с целью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контроля оказываемых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3.3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обязуется: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а) 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б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организовать учебный процесс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соответствии с Заказом на оказание услуг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 обеспечивать необходимые условия для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освоения гражданскими служащими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рограммы;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обеспечить принимаемых на обучение гражданских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служащих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учебно-методическими материалами, необходимыми для учебного процесса;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сформировать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аттестационную комиссию и провести по итогам обучения итоговую аттестацию гражданских служащих, прошедших обучение.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keepNext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Гражданским служащим, прошедшим итоговую аттестацию, выдать удостоверение (свидетельство) </w:t>
      </w:r>
      <w:r>
        <w:rPr>
          <w:rFonts w:ascii="Times New Roman" w:hAnsi="Times New Roman" w:cs="Times New Roman"/>
          <w:sz w:val="23"/>
          <w:szCs w:val="23"/>
        </w:rPr>
        <w:t xml:space="preserve">установленного</w:t>
      </w:r>
      <w:r>
        <w:rPr>
          <w:rFonts w:ascii="Times New Roman" w:hAnsi="Times New Roman" w:cs="Times New Roman"/>
          <w:sz w:val="23"/>
          <w:szCs w:val="23"/>
        </w:rPr>
        <w:t xml:space="preserve"> образца</w:t>
      </w:r>
      <w:r>
        <w:rPr>
          <w:rFonts w:ascii="Times New Roman" w:hAnsi="Times New Roman" w:cs="Times New Roman"/>
          <w:sz w:val="23"/>
          <w:szCs w:val="23"/>
        </w:rPr>
        <w:t xml:space="preserve">;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 своими силами и за свой счет устранять допущенные по его вине в оказанных Услугах недостатки;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) представлять по требованию Заказчика необходимую документацию, относящуюся к Услугам по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у, и создавать условия д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ля проверки хода оказания Услуг;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" w:firstLine="709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ж)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одписать копию электронного документа </w:t>
      </w:r>
      <w:hyperlink r:id="rId11" w:tooltip="https://login.consultant.ru/link/?req=doc&amp;base=LAW&amp;n=465243&amp;dst=1668" w:history="1">
        <w:r>
          <w:rPr>
            <w:rFonts w:ascii="PT Astra Serif" w:hAnsi="PT Astra Serif" w:eastAsia="PT Astra Serif" w:cs="PT Astra Serif"/>
            <w:sz w:val="24"/>
            <w:szCs w:val="24"/>
            <w:highlight w:val="white"/>
          </w:rPr>
          <w:t xml:space="preserve">Акт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приемки (ф. 0510452) (АКТ приемки товаров, работ, услуг (в ред. Приказа Минфина Р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оссии от 28.06.2022 № 100н), сформированного на бумажном носителе, подписывается собственноручно Исполнителем. Исполнитель направляет подписанную копию Акта приемки (ф. 0510452) по средствам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электронной почты в адрес Заказчика в течении 2 (двух) рабочих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дней с даты получения с последующей досылкой оригинала документа.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Пункт 3.3. подпункт ж) действует с учетом пункта</w:t>
      </w:r>
      <w:r>
        <w:rPr>
          <w:rFonts w:ascii="PT Astra Serif" w:hAnsi="PT Astra Serif" w:eastAsia="PT Astra Serif" w:cs="PT Astra Serif"/>
          <w:color w:val="ff000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4.9.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нас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тоящего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3.4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имеет право: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а) привлекать для преподавания дисципли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н, предусмотренных Программой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на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б) отчислять гражданских служащих, проходящих обучение, по основаниям, предусмотренным в уставе образовательной организации, в том числе в случае грубых 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 на оказание услуг, о чем Заказчик информируется в трехдневный срок.</w:t>
      </w:r>
      <w:bookmarkStart w:id="3" w:name="Par188"/>
      <w:r>
        <w:rPr>
          <w:rFonts w:ascii="PT Astra Serif" w:hAnsi="PT Astra Serif" w:eastAsia="PT Astra Serif" w:cs="PT Astra Serif"/>
          <w:sz w:val="24"/>
          <w:szCs w:val="24"/>
        </w:rPr>
      </w:r>
      <w:bookmarkEnd w:id="3"/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4. ПОРЯДОК СДАЧИ И ПРИЕМКИ ОКАЗАННЫХ УСЛУГ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4.1.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от 5 апреля 2013 г. № 44-ФЗ.</w:t>
      </w:r>
      <w:r>
        <w:rPr>
          <w:rFonts w:ascii="PT Astra Serif" w:hAnsi="PT Astra Serif" w:cs="PT Astra Serif"/>
          <w:spacing w:val="4"/>
          <w:sz w:val="24"/>
          <w:szCs w:val="24"/>
        </w:rPr>
      </w:r>
      <w:r>
        <w:rPr>
          <w:rFonts w:ascii="PT Astra Serif" w:hAnsi="PT Astra Serif" w:cs="PT Astra Serif"/>
          <w:spacing w:val="4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</w:rPr>
      </w:pP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4.2. Для проверки предоставленных Исполнителем результ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PT Astra Serif"/>
          <w:spacing w:val="4"/>
          <w:sz w:val="24"/>
          <w:szCs w:val="24"/>
        </w:rPr>
      </w:r>
      <w:r>
        <w:rPr>
          <w:rFonts w:ascii="PT Astra Serif" w:hAnsi="PT Astra Serif" w:cs="PT Astra Serif"/>
          <w:spacing w:val="4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4.3. 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Для проведения экспертизы результатов, предусмотренных Контрактом, эксперты, экспертные организации имеют право запрашивать у Заказчика и Исполнителя дополнительные материалы, 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там такой экспертизы установлены нарушения требований Контракта, не препятствующие приемке услуг, оказанных в соответствии с Контрактом,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4.4. 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решению Заказчика для приемки услуг, оказанных в соответствии с Контрактом, может создаваться приемочная комиссия.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4.5. 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Приемка результатов оказанных в соответствии с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ом услуг осуществляется Заказчиком в течение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3 (Трех)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рабочих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дней со дня получения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Акта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сдачи-приемки оказанных услуг,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который подписывается Заказчиком (в случае создания приемочной комиссии подписывается всеми членами приемочной комиссии и утверждается Заказчико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м), либо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 течение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3 (Трех)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рабочих дней Заказчиком направляется в письменной форме мотивированный отказ от подписания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Акта сдачи-приемки оказанных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4.6. 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Заказчик 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праве не отказывать в приемке результатов услуг,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приемке результатов указанных услуг и устранено Исполнителем.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4.7. 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Услуги, предусмотренные Контрактом, считаются оказанными с момента подписания Сторонами Акта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сдачи-приемки оказанных услуг.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4.8. По окончании исполнения Сторонами обязательств по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 течение </w:t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5 (Пяти)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дней представляет Заказчику Акт сверки расчетов по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  <w:lang w:eastAsia="en-US"/>
        </w:rPr>
        <w:t xml:space="preserve">4.9.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отсутствии претензий, расхождений по результатам приемки товаров, работ,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оформля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ется без участия Исполнителя (письмо Минфина России от 25.07.2024 № 02-07-07/69598). Участие 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сполнителя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оформлении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осуществляется путем направления Заказчиком уведомления о результатах приемки на электронный адрес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Исполнителя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скан копии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оформленного Заказчиком на бумажном носителе).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5. ОТВЕТСТВЕННОСТЬ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  <w:shd w:val="clear" w:color="auto" w:fill="ffff00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Размеры неустоек (штрафов, пеней), указанные в настоящем разделе и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shd w:val="clear" w:color="auto" w:fill="ffff00"/>
        </w:rPr>
      </w:r>
      <w:r>
        <w:rPr>
          <w:rFonts w:ascii="PT Astra Serif" w:hAnsi="PT Astra Serif" w:cs="PT Astra Serif"/>
          <w:sz w:val="24"/>
          <w:szCs w:val="24"/>
          <w:shd w:val="clear" w:color="auto" w:fill="ffff00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5.2. 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а) 1000 рублей, если цена контракта не превышает 3 млн. рублей (включительно).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.4. 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В случае просрочки исполнения Исполнителем (подрядчиком, поставщиком) обязательств (в том числе гарантийного обязательства), предусмотренных контрак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том, а также в иных случаях неисполнения или ненадлежащего исполнения Исполнителем (подрядчиком, поставщиком) обязательств, предусмотренных контрактом, Заказчик направляет Исполнителю (подрядчику, поставщику) требование об уплате неустоек (штрафов, пеней).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Style w:val="937"/>
          <w:rFonts w:ascii="PT Astra Serif" w:hAnsi="PT Astra Serif" w:cs="PT Astra Serif"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Пеня начисляется за каждый день просрочки исполнения Исполнителем (подрядчиком, поставщиком)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редусмотренных контрактом (соответствующим отдельным этапом исполнения контракта) и фактически исполненных Исполнителем (подрядчиком, поставщиком), за исключением случаев, если законодательством Российской Федерации установлен иной порядок начисления пени.</w:t>
      </w:r>
      <w:r>
        <w:rPr>
          <w:rStyle w:val="937"/>
          <w:rFonts w:ascii="PT Astra Serif" w:hAnsi="PT Astra Serif" w:cs="PT Astra Serif"/>
          <w:sz w:val="24"/>
          <w:szCs w:val="24"/>
        </w:rPr>
      </w:r>
      <w:r>
        <w:rPr>
          <w:rStyle w:val="937"/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.5. 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Штрафы начисляются за неисполнение или ненадлежащее исполнение Исполнителем (подрядчиком, поставщиком) обязательств, предусмотренных контрактом, за исключением просрочки исполнения Исполнителем (подрядчиком, поставщиком) обязательств (в том числе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shd w:val="clear" w:color="auto" w:fill="ffffff"/>
        </w:rPr>
        <w:t xml:space="preserve">гарантийного обязательства), предусмотренных контрактом. Размер штрафа устанавливается контрактом в </w:t>
      </w:r>
      <w:r>
        <w:rPr>
          <w:rFonts w:ascii="PT Astra Serif" w:hAnsi="PT Astra Serif" w:eastAsia="PT Astra Serif" w:cs="PT Astra Serif"/>
          <w:sz w:val="24"/>
          <w:szCs w:val="24"/>
        </w:rPr>
        <w:fldChar w:fldCharType="begin"/>
      </w:r>
      <w:r>
        <w:rPr>
          <w:rFonts w:ascii="PT Astra Serif" w:hAnsi="PT Astra Serif" w:eastAsia="PT Astra Serif" w:cs="PT Astra Serif"/>
          <w:sz w:val="24"/>
          <w:szCs w:val="24"/>
        </w:rPr>
        <w:instrText xml:space="preserve"> HYPERLINK "http://www.consultant.ru/document/Cons_doc_LAW_331074/" \l "dst100018" </w:instrText>
      </w:r>
      <w:r>
        <w:rPr>
          <w:rFonts w:ascii="PT Astra Serif" w:hAnsi="PT Astra Serif" w:eastAsia="PT Astra Serif" w:cs="PT Astra Serif"/>
          <w:sz w:val="24"/>
          <w:szCs w:val="24"/>
        </w:rPr>
        <w:fldChar w:fldCharType="separate"/>
      </w:r>
      <w:r>
        <w:rPr>
          <w:rStyle w:val="904"/>
          <w:rFonts w:ascii="PT Astra Serif" w:hAnsi="PT Astra Serif" w:eastAsia="PT Astra Serif" w:cs="PT Astra Serif"/>
          <w:color w:val="000000"/>
          <w:sz w:val="24"/>
          <w:szCs w:val="24"/>
          <w:shd w:val="clear" w:color="auto" w:fill="ffffff"/>
        </w:rPr>
        <w:t xml:space="preserve">порядке</w:t>
      </w:r>
      <w:r>
        <w:rPr>
          <w:rStyle w:val="904"/>
          <w:rFonts w:ascii="PT Astra Serif" w:hAnsi="PT Astra Serif" w:eastAsia="PT Astra Serif" w:cs="PT Astra Serif"/>
          <w:color w:val="00000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PT Astra Serif" w:hAnsi="PT Astra Serif" w:eastAsia="PT Astra Serif" w:cs="PT Astra Serif"/>
          <w:color w:val="000000"/>
          <w:sz w:val="24"/>
          <w:szCs w:val="24"/>
          <w:shd w:val="clear" w:color="auto" w:fill="ffffff"/>
        </w:rPr>
        <w:t xml:space="preserve">, установленном Правительством 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Российской Федерации,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shd w:val="clear" w:color="auto" w:fill="ffffff"/>
        <w:widowControl w:val="off"/>
        <w:rPr>
          <w:rFonts w:ascii="PT Astra Serif" w:hAnsi="PT Astra Serif" w:cs="PT Astra Serif"/>
          <w:sz w:val="24"/>
          <w:szCs w:val="24"/>
          <w:shd w:val="clear" w:color="auto" w:fill="ffffff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За каждый факт неисполнения или ненадлежащего исполн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ения Исполнителем (подрядчиком, поставщиком)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</w:r>
    </w:p>
    <w:p>
      <w:pPr>
        <w:pStyle w:val="878"/>
        <w:ind w:firstLine="709"/>
        <w:shd w:val="clear" w:color="auto" w:fill="ffffff"/>
        <w:widowControl w:val="off"/>
        <w:rPr>
          <w:rFonts w:ascii="PT Astra Serif" w:hAnsi="PT Astra Serif" w:cs="PT Astra Serif"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а) </w:t>
      </w:r>
      <w:r>
        <w:rPr>
          <w:rFonts w:ascii="PT Astra Serif" w:hAnsi="PT Astra Serif" w:eastAsia="PT Astra Serif" w:cs="PT Astra Serif"/>
          <w:sz w:val="24"/>
          <w:szCs w:val="24"/>
          <w:shd w:val="clear" w:color="auto" w:fill="ffffff"/>
        </w:rPr>
        <w:t xml:space="preserve">10 процентов цены контракта (этапа) в случае, если цена контракта (этапа) не превышает 3 млн. рублей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.6. За каждый факт неиспо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лнения или ненадлежащего исполнения Исполнителем (подрядчиком, поставщиком)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а) 1000 рублей, если цена контракта не превышает 3 млн. рублей.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.7. Общая сумма начисленных штрафов за неисполнение или ненадлежащее исполнение Исполнителем (подрядчиком, поставщиком)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9"/>
        <w:widowControl w:val="off"/>
        <w:rPr>
          <w:rFonts w:ascii="PT Astra Serif" w:hAnsi="PT Astra Serif" w:cs="PT Astra Serif"/>
          <w:sz w:val="24"/>
          <w:szCs w:val="24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4"/>
        <w:ind w:firstLine="709"/>
        <w:spacing w:after="0"/>
        <w:widowControl w:val="off"/>
        <w:rPr>
          <w:rFonts w:ascii="PT Astra Serif" w:hAnsi="PT Astra Serif" w:cs="PT Astra Serif"/>
          <w:bCs/>
          <w:sz w:val="24"/>
          <w:szCs w:val="24"/>
        </w:rPr>
        <w:outlineLvl w:val="1"/>
        <w:suppressLineNumbers/>
      </w:pP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lang w:eastAsia="ar-SA"/>
        </w:rPr>
        <w:t xml:space="preserve">.9.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bCs/>
          <w:sz w:val="24"/>
          <w:szCs w:val="24"/>
        </w:rPr>
      </w:r>
      <w:r>
        <w:rPr>
          <w:rFonts w:ascii="PT Astra Serif" w:hAnsi="PT Astra Serif" w:cs="PT Astra Serif"/>
          <w:bCs/>
          <w:sz w:val="24"/>
          <w:szCs w:val="24"/>
        </w:rPr>
      </w:r>
    </w:p>
    <w:p>
      <w:pPr>
        <w:pStyle w:val="940"/>
        <w:jc w:val="center"/>
        <w:rPr>
          <w:rFonts w:ascii="PT Astra Serif" w:hAnsi="PT Astra Serif" w:cs="PT Astra Serif"/>
          <w:b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6.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ОБЕСПЕЧЕНИЕ ИСПОЛНЕНИЯ КОНТРАКТА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40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.1. Обеспечение исполнения Контракта не устанавливается.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7. ОБСТОЯТЕЛЬСТВА НЕПРЕОДОЛИМОЙ СИЛЫ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.1. 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непредотвратимых. Сторона, у которой возникли обстоятельства непреодолимой силы, обязана течение 3 рабочих дней с даты начала действия указанных обстоятельств известить об этом другую Сторону, представив документы, выданные компетентными органами, подтвер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ждающие указанные обстоятельства и срок их действия. К таким обстоятельствам не относится, в частности, нарушение обязанностей со стороны Исполнителя, отсутствие на рынке нужных для исполнения товаров, отсутствие у Исполнителя необходимых денежных средств.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.2. В случае прекращения действия обстоятельств непреодолимой сил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своих обязательств по Контракту.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.3. Не извещени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8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. СРОК ДЕЙСТВИЯ КОНТРАКТА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.1. Контракт вступает в силу и становится обязательным для Сторон с момента подписания и действует до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«30» сентября 2026 г.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Окончание срока действия Контракта влечет прекращение взаимных обязательств Сторон по Контракту.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.2.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. ПРОЧИЕ УСЛОВИЯ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.1. Контракт составлен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.2. Вопросы, связанные с изменением состава Обучающихся,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.3. 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Все вопросы, не предусмотренные Контрактом, регулируются законодательством Российской Федерации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.4. Все изменения и дополнения к Контракту оформляются письменно, в виде дополнительных соглашений, подписываются каждой из Сторон и являются неотъемлемой частью Контракта.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3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.5. Все сп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200"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.6. Все перечисленные ниже приложения к Контракту являются его неотъемлемой частью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200"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1 – Заказ на оказание услуг;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2 – Расчет стоимости услуг;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3 – Акт сдачи-приемки оказанных услуг (образец);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4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– Акт сверки расчетов (образец).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200"/>
        <w:jc w:val="center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10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. МЕСТО НАХОЖДЕНИЯ И БАНКОВСКИЕ РЕКВИЗИТЫ СТОРОН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Исполнитель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9"/>
        <w:gridCol w:w="490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Управление Федеральной службы государственной регистрации, кадастра и картографии по Ставропольскому краю 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355012, Российская Федерация, Ставропольский край, г. Ставрополь, ул. Комсомольская, 58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ИНН 2634063830, КПП 263401001;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казначейский счет 03211643000000013243;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банковский счет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(счет в составе ЕКС) 40102810745370000024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л/с 03211W00650;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Наименование банка: ОКЦ №1 ВВГУ Банка России//УФК по Нижегородской области, г. Нижний Новгород;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БИК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012202102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highlight w:val="none"/>
                <w:u w:val="none"/>
              </w:rPr>
            </w:r>
          </w:p>
          <w:p>
            <w:pPr>
              <w:pStyle w:val="878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Телефон: 8 (8652) 56-37-92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r>
          </w:p>
          <w:p>
            <w:pPr>
              <w:pStyle w:val="878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admin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@r26.rosreestr.ru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3"/>
                <w:szCs w:val="23"/>
                <w:u w:val="none"/>
              </w:rPr>
            </w:r>
          </w:p>
          <w:p>
            <w:pPr>
              <w:pStyle w:val="878"/>
              <w:ind w:left="0" w:right="0" w:firstLine="0"/>
              <w:jc w:val="left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2" w:type="dxa"/>
            <w:vAlign w:val="top"/>
            <w:textDirection w:val="lrTb"/>
            <w:noWrap w:val="false"/>
          </w:tcPr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90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0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ПОДПИСИ СТОРОН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Заказчик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_____________________________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ab/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ab/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</w:rPr>
      </w:r>
      <w:r>
        <w:rPr>
          <w:rFonts w:ascii="PT Astra Serif" w:hAnsi="PT Astra Serif" w:cs="PT Astra Serif"/>
          <w:color w:val="ff0000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«___»  ____________20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26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г.</w:t>
        <w:tab/>
        <w:t xml:space="preserve">                ___»  ____________20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м.п.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 «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20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№ </w:t>
      </w:r>
      <w:r>
        <w:rPr>
          <w:rFonts w:ascii="PT Astra Serif" w:hAnsi="PT Astra Serif" w:eastAsia="PT Astra Serif" w:cs="PT Astra Serif"/>
          <w:bCs/>
          <w:sz w:val="24"/>
          <w:szCs w:val="24"/>
          <w:lang w:eastAsia="ru-RU"/>
        </w:rPr>
        <w:t xml:space="preserve">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center"/>
        <w:keepNext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Заказ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на оказание услуг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  <w:lang w:eastAsia="ru-RU"/>
        </w:rPr>
        <w:t xml:space="preserve">по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профессиональной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переподготовке (повышению квалификации)</w:t>
      </w:r>
      <w:r>
        <w:rPr>
          <w:rFonts w:ascii="PT Astra Serif" w:hAnsi="PT Astra Serif" w:cs="PT Astra Serif"/>
          <w:b/>
          <w:color w:val="auto"/>
          <w:sz w:val="24"/>
          <w:szCs w:val="24"/>
        </w:rPr>
      </w:r>
      <w:r>
        <w:rPr>
          <w:rFonts w:ascii="PT Astra Serif" w:hAnsi="PT Astra Serif" w:cs="PT Astra Serif"/>
          <w:b/>
          <w:color w:val="auto"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 федеральных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государственных гражданских служащих</w:t>
      </w:r>
      <w:r>
        <w:rPr>
          <w:rFonts w:ascii="PT Astra Serif" w:hAnsi="PT Astra Serif" w:cs="PT Astra Serif"/>
          <w:b/>
          <w:color w:val="auto"/>
          <w:sz w:val="24"/>
          <w:szCs w:val="24"/>
        </w:rPr>
      </w:r>
      <w:r>
        <w:rPr>
          <w:rFonts w:ascii="PT Astra Serif" w:hAnsi="PT Astra Serif" w:cs="PT Astra Serif"/>
          <w:b/>
          <w:color w:val="auto"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bCs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по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дополнительной профессиональной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</w:rPr>
        <w:t xml:space="preserve">программе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color w:val="auto"/>
          <w:sz w:val="24"/>
          <w:szCs w:val="24"/>
        </w:rPr>
        <w:t xml:space="preserve">Оказание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оказанию услуг по обучению ответственных за безопасность эксплуатации сети газораспределения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8"/>
        <w:jc w:val="both"/>
        <w:widowControl w:val="off"/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Наименование и описание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4"/>
          <w:szCs w:val="24"/>
        </w:rPr>
        <w:t xml:space="preserve">Оказание услуг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 оказанию услуг по обучению ответственных за безопасность эксплуатации сети газораспределения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PT Astra Serif" w:hAnsi="PT Astra Serif" w:cs="PT Astra Serif"/>
          <w:b/>
          <w:bCs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</w:p>
    <w:p>
      <w:pPr>
        <w:pStyle w:val="92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Характеристики и объем (содержание) оказываемых услуг: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оказанию услуг по обучению ответственных за безопасность эксплуатации сети газораспределения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о повышению квалификац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ии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федеральных государственных гражданских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служащих без отрыва от федеральной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государст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венной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гражданской службы в соответствии с учебным планом Программы согласно приложению № 1 к Контракту (код ОКПД – 85.42.19.900).</w:t>
      </w:r>
      <w:r>
        <w:rPr>
          <w:rFonts w:ascii="PT Astra Serif" w:hAnsi="PT Astra Serif" w:eastAsia="PT Astra Serif" w:cs="PT Astra Serif"/>
          <w:spacing w:val="-2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91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О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бщий объем освоения Программ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составляет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не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менее 40 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eastAsia="ru-RU"/>
        </w:rPr>
        <w:t xml:space="preserve">академических час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eastAsia="ru-RU"/>
        </w:rPr>
        <w:t xml:space="preserve">ов</w:t>
      </w:r>
      <w:r>
        <w:rPr>
          <w:rFonts w:ascii="PT Astra Serif" w:hAnsi="PT Astra Serif" w:eastAsia="PT Astra Serif" w:cs="PT Astra Serif"/>
          <w:color w:val="auto"/>
          <w:sz w:val="24"/>
          <w:szCs w:val="24"/>
          <w:lang w:eastAsia="ru-RU"/>
        </w:rPr>
        <w:t xml:space="preserve">.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pStyle w:val="91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Место оказания услуг: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Российская Федерация, Ставропольский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край 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(дистанционное обучение)</w:t>
      </w:r>
      <w:r>
        <w:rPr>
          <w:rFonts w:ascii="PT Astra Serif" w:hAnsi="PT Astra Serif" w:eastAsia="PT Astra Serif" w:cs="PT Astra Serif"/>
          <w:bCs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2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4.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Цель оказания услуг: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Освоение программы: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Ответственный за безопасность эксплуатации сети газораспределения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</w:p>
    <w:p>
      <w:pPr>
        <w:pStyle w:val="92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5. Условия оказания услуг: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Обучение осуществляется дистанционно.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jc w:val="both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6. Основание для оказания услуг: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Государственный контракт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№__________________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на оказание образовательных услуг по профессиональной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переподготовке (повышению квалификации) федеральных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государственных гражданских служащих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«_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_» 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____ 2026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7. Общие требования к дополнительной профессиональной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программе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Устанавливаются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8.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Учебный план дополнительной профессиональной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рограммы: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Устанавливается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5" w:firstLine="708"/>
        <w:widowControl w:val="off"/>
        <w:tabs>
          <w:tab w:val="left" w:pos="709" w:leader="none"/>
        </w:tabs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z w:val="24"/>
          <w:szCs w:val="24"/>
        </w:rPr>
        <w:t xml:space="preserve">9. </w:t>
      </w:r>
      <w:r>
        <w:rPr>
          <w:sz w:val="23"/>
          <w:szCs w:val="23"/>
        </w:rPr>
        <w:t xml:space="preserve">По итогам обучения освоившим Программу, выдать </w:t>
      </w:r>
      <w:r>
        <w:rPr>
          <w:sz w:val="23"/>
          <w:szCs w:val="23"/>
        </w:rPr>
        <w:t xml:space="preserve">удостоверение (свидетельство) </w:t>
      </w:r>
      <w:r>
        <w:rPr>
          <w:sz w:val="23"/>
          <w:szCs w:val="23"/>
        </w:rPr>
        <w:t xml:space="preserve">установленного образца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 В случае отчисления обучающихся до завершения обучения или в случае непрохождения зачета, по заявлению Заказчика, выдать справку об обучении установленного Исполнителем образца.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firstLine="70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Порядок оказания услуг: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 соответствии с условиями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государственного контракта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№__________________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на оказание образовательных услуг по профессиональной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переподготовке (повышению квалификации) федеральных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государственных гражданских служащих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«_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_» 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____ 202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yellow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Заказчик</w:t>
      </w:r>
      <w:r>
        <w:rPr>
          <w:rFonts w:ascii="PT Astra Serif" w:hAnsi="PT Astra Serif" w:eastAsia="PT Astra Serif" w:cs="PT Astra Serif"/>
          <w:sz w:val="24"/>
          <w:szCs w:val="24"/>
        </w:rPr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yellow"/>
        </w:rPr>
      </w:r>
      <w:r>
        <w:rPr>
          <w:rFonts w:ascii="PT Astra Serif" w:hAnsi="PT Astra Serif" w:cs="PT Astra Serif"/>
          <w:sz w:val="24"/>
          <w:szCs w:val="24"/>
          <w:highlight w:val="yellow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</w:rPr>
      </w:r>
      <w:r>
        <w:rPr>
          <w:rFonts w:ascii="PT Astra Serif" w:hAnsi="PT Astra Serif" w:cs="PT Astra Serif"/>
          <w:color w:val="ff0000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 /_____________/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 /_____________/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«___»  ____________202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г.</w:t>
        <w:tab/>
        <w:t xml:space="preserve">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«___»  ____________2026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м.п.       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м.п.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 «__»_______ 2026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Расчет стоимости услуг 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по профессиональной переподготовке (повышению квалификации) </w:t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федеральных государственных гражданских служащих</w:t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718"/>
        <w:numPr>
          <w:ilvl w:val="0"/>
          <w:numId w:val="8"/>
        </w:numPr>
        <w:ind w:left="0" w:firstLine="0"/>
        <w:jc w:val="both"/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стоимости услуг по профессиональной переподготовке (повышению квалификации) федеральных государственных гражданских служащих, замещающих должности государственной гражданской службы </w:t>
      </w:r>
      <w:r>
        <w:rPr>
          <w:rFonts w:ascii="Times New Roman" w:hAnsi="Times New Roman" w:cs="Times New Roman"/>
          <w:sz w:val="24"/>
          <w:szCs w:val="24"/>
        </w:rPr>
        <w:t xml:space="preserve">ведущей</w:t>
      </w:r>
      <w:r>
        <w:rPr>
          <w:rFonts w:ascii="Times New Roman" w:hAnsi="Times New Roman" w:cs="Times New Roman"/>
          <w:sz w:val="24"/>
          <w:szCs w:val="24"/>
        </w:rPr>
        <w:t xml:space="preserve"> группы должностей категории «руководители»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34"/>
        <w:tblW w:w="9887" w:type="dxa"/>
        <w:tblLayout w:type="fixed"/>
        <w:tblLook w:val="04A0" w:firstRow="1" w:lastRow="0" w:firstColumn="1" w:lastColumn="0" w:noHBand="0" w:noVBand="1"/>
      </w:tblPr>
      <w:tblGrid>
        <w:gridCol w:w="541"/>
        <w:gridCol w:w="2401"/>
        <w:gridCol w:w="1701"/>
        <w:gridCol w:w="2126"/>
        <w:gridCol w:w="1419"/>
        <w:gridCol w:w="1699"/>
      </w:tblGrid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 п/п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Название дополнительной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профессиональной программы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Объем дополнительной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профессиональной программы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(часов)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Количество федеральных государственных гражданских служащих, подлежащих обучению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(человек)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Стоимость 1 человеко/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часа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vertAlign w:val="superscript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</w:r>
            <w:r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(рублей)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Общая стоимость обучения по дополнительной профессиональной программе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(рублей)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Программа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Ответственный за безопасность эксплуатации сети газораспределения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</w:t>
            </w:r>
            <w:r>
              <w:rPr>
                <w:rFonts w:ascii="PT Astra Serif" w:hAnsi="PT Astra Serif" w:cs="PT Astra Serif"/>
                <w:color w:val="ff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ff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ru-RU"/>
              </w:rPr>
              <w:t xml:space="preserve">не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ru-RU"/>
              </w:rPr>
              <w:t xml:space="preserve">менее 40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7647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Итого: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ind w:left="0" w:firstLine="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60" w:firstLine="0"/>
        <w:jc w:val="both"/>
        <w:spacing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2. </w:t>
      </w:r>
      <w:r>
        <w:rPr>
          <w:sz w:val="23"/>
          <w:szCs w:val="23"/>
        </w:rPr>
        <w:t xml:space="preserve">Расчет стоимости услуг по </w:t>
      </w:r>
      <w:r>
        <w:rPr>
          <w:sz w:val="23"/>
          <w:szCs w:val="23"/>
        </w:rPr>
        <w:t xml:space="preserve">оказание образовательных услуг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 профессиональной подготовке и обучению рабочих основных профессий</w:t>
      </w:r>
      <w:r>
        <w:rPr>
          <w:sz w:val="23"/>
          <w:szCs w:val="23"/>
        </w:rPr>
        <w:t xml:space="preserve">, замещающих должности государственной гражданской службы </w:t>
      </w:r>
      <w:r>
        <w:rPr>
          <w:sz w:val="23"/>
          <w:szCs w:val="23"/>
        </w:rPr>
        <w:t xml:space="preserve">старшей</w:t>
      </w:r>
      <w:r>
        <w:rPr>
          <w:sz w:val="23"/>
          <w:szCs w:val="23"/>
        </w:rPr>
        <w:t xml:space="preserve"> группы должностей категории «специалисты»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Style w:val="734"/>
        <w:tblW w:w="9887" w:type="dxa"/>
        <w:tblLayout w:type="fixed"/>
        <w:tblLook w:val="04A0" w:firstRow="1" w:lastRow="0" w:firstColumn="1" w:lastColumn="0" w:noHBand="0" w:noVBand="1"/>
      </w:tblPr>
      <w:tblGrid>
        <w:gridCol w:w="541"/>
        <w:gridCol w:w="2401"/>
        <w:gridCol w:w="1701"/>
        <w:gridCol w:w="2126"/>
        <w:gridCol w:w="1419"/>
        <w:gridCol w:w="1699"/>
      </w:tblGrid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 п/п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Название дополнительной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профессиональной программы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Объем дополнительной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профессиональной программы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(часов)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Количество федеральных государственных гражданских служащих, подлежащих обучению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(человек)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Стоимость 1 человеко/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часа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vertAlign w:val="superscript"/>
              </w:rPr>
              <w:t xml:space="preserve">1</w:t>
            </w:r>
            <w:r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</w:r>
            <w:r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(рублей)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Общая стоимость обучения по дополнительной профессиональной программе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(рублей)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Программа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Ответственный за безопасность эксплуатации сети газораспределения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</w:t>
            </w:r>
            <w:r>
              <w:rPr>
                <w:rFonts w:ascii="PT Astra Serif" w:hAnsi="PT Astra Serif" w:cs="PT Astra Serif"/>
                <w:color w:val="ff0000"/>
                <w:sz w:val="22"/>
                <w:szCs w:val="22"/>
              </w:rPr>
            </w:r>
            <w:r>
              <w:rPr>
                <w:rFonts w:ascii="PT Astra Serif" w:hAnsi="PT Astra Serif" w:cs="PT Astra Serif"/>
                <w:color w:val="ff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ru-RU"/>
              </w:rPr>
              <w:t xml:space="preserve">не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lang w:eastAsia="ru-RU"/>
              </w:rPr>
              <w:t xml:space="preserve">менее 40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6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W w:w="7647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Итого: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</w:tbl>
    <w:p>
      <w:pPr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890"/>
        <w:jc w:val="both"/>
        <w:keepNext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Общая стоимость обучения федеральных государственных гражданских служащих по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обучению ответственных за безопасность эксплуатации сети газораспределения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составляет _________ (__________) рублей ___копеек.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widowControl w:val="off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pStyle w:val="89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yellow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yellow"/>
        </w:rPr>
      </w:r>
      <w:r>
        <w:rPr>
          <w:rFonts w:ascii="PT Astra Serif" w:hAnsi="PT Astra Serif" w:cs="PT Astra Serif"/>
          <w:sz w:val="24"/>
          <w:szCs w:val="24"/>
          <w:highlight w:val="yellow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</w:rPr>
      </w:r>
      <w:r>
        <w:rPr>
          <w:rFonts w:ascii="PT Astra Serif" w:hAnsi="PT Astra Serif" w:cs="PT Astra Serif"/>
          <w:color w:val="ff0000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 /_____________/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_____________ /_____________/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«___»  ____________202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г.</w:t>
        <w:tab/>
        <w:t xml:space="preserve"> 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___»  ____________2026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м.п.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м.п.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3 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 «__»_______ 2026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ОБРАЗЕЦ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0605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4"/>
        </w:trPr>
        <w:tc>
          <w:tcPr>
            <w:tcW w:w="1060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сдачи-приемки оказанных услуг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Государственному контракту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___________№  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ind w:firstLine="57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Мы, нижеподписавшиеся, от лица «</w:t>
            </w:r>
            <w:r>
              <w:rPr>
                <w:rFonts w:ascii="PT Astra Serif" w:hAnsi="PT Astra Serif" w:eastAsia="PT Astra Serif" w:cs="PT Astra Serif"/>
                <w:spacing w:val="4"/>
                <w:sz w:val="24"/>
                <w:szCs w:val="24"/>
              </w:rPr>
              <w:t xml:space="preserve">Исполнителя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 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_______________________________,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 одной стороны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и от лица «Заказчика» ________________________, с другой стороны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составили настоящий Акт о том, что  оказанные услуги удовлетворяют требованиям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 и надлежащим образом исполнены.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ind w:firstLine="719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Описание оказанных услуг (с указанием объема и качества): ____________________________________________________________________________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ind w:firstLine="719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Представлены следующие отчетные документы (в соответствии 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ом):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ind w:firstLine="719"/>
              <w:spacing w:after="0"/>
              <w:widowControl w:val="off"/>
              <w:rPr>
                <w:rFonts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 основании раздела 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 экспертиза оказанных услуг проведена Заказчиком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</w:rPr>
              <w:t xml:space="preserve">(указывается в случае проведения экспертизы силами Заказчика).</w:t>
            </w:r>
            <w:r>
              <w:rPr>
                <w:rFonts w:ascii="PT Astra Serif" w:hAnsi="PT Astra Serif" w:cs="PT Astra Serif"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i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Цена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 составляет ________________  (___________________) рублей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(сумма цифрами)       (сумма прописью)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Следует к перечислению________________  (_____________________) рублей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(сумма цифрами)       (сумма прописью)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tbl>
            <w:tblPr>
              <w:tblW w:w="0" w:type="auto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465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8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410" w:type="dxa"/>
                  <w:vAlign w:val="top"/>
                  <w:textDirection w:val="lrTb"/>
                  <w:noWrap w:val="false"/>
                </w:tcPr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Услуги принял: 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От Заказчика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_______________________________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(подпись)    М.П.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«___» ________   20__ г.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650" w:type="dxa"/>
                  <w:vAlign w:val="top"/>
                  <w:textDirection w:val="lrTb"/>
                  <w:noWrap w:val="false"/>
                </w:tcPr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Услуги сдал: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</w:rPr>
                    <w:t xml:space="preserve">Исполнителя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______________________________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(подпись)    М.П.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90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«___» ________   20__ г.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90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</w:tr>
    </w:tbl>
    <w:p>
      <w:pPr>
        <w:pStyle w:val="907"/>
        <w:spacing w:after="0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9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yellow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yellow"/>
        </w:rPr>
      </w:r>
      <w:r>
        <w:rPr>
          <w:rFonts w:ascii="PT Astra Serif" w:hAnsi="PT Astra Serif" w:cs="PT Astra Serif"/>
          <w:sz w:val="24"/>
          <w:szCs w:val="24"/>
          <w:highlight w:val="yellow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</w:rPr>
      </w:r>
      <w:r>
        <w:rPr>
          <w:rFonts w:ascii="PT Astra Serif" w:hAnsi="PT Astra Serif" w:cs="PT Astra Serif"/>
          <w:color w:val="ff0000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              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м.п.      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Приложение № 4 к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right"/>
        <w:widowControl w:val="off"/>
        <w:rPr>
          <w:rFonts w:ascii="PT Astra Serif" w:hAnsi="PT Astra Serif" w:cs="PT Astra Serif"/>
          <w:sz w:val="24"/>
          <w:szCs w:val="24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 «__»_______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2026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widowControl w:val="off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ОБРАЗЕЦ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W w:w="10141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4"/>
        </w:trPr>
        <w:tc>
          <w:tcPr>
            <w:tcW w:w="10141" w:type="dxa"/>
            <w:vAlign w:val="top"/>
            <w:textDirection w:val="lrTb"/>
            <w:noWrap w:val="false"/>
          </w:tcPr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АКТ СВЕРКИ РАСЧЕТОВ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 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Государственный контракт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_________№  _______)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Сальдо на ________   ____________           Раздел_______________________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(дата)                      (сумма)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tbl>
            <w:tblPr>
              <w:tblW w:w="9602" w:type="dxa"/>
              <w:tblInd w:w="2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gridAfter w:val="2"/>
                <w:trHeight w:val="313"/>
              </w:trPr>
              <w:tc>
                <w:tcPr>
                  <w:tcW w:w="4809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Наименование Заказчика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4793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Наименование </w:t>
                  </w: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</w:rPr>
                    <w:t xml:space="preserve">Исполнителя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641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№ платежных поручений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Сумма, руб.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№ акта, дата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Сумма, руб.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13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28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Итого: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Сальдо на ________________        __________________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      (дата)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                 (сумма)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пользу________________________________________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tbl>
            <w:tblPr>
              <w:tblW w:w="10185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5092"/>
              <w:gridCol w:w="5093"/>
            </w:tblGrid>
            <w:tr>
              <w:tblPrEx/>
              <w:trPr>
                <w:trHeight w:val="2024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092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Заказчик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______________       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 (подпись)            (расшифровка подписи)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093" w:type="dxa"/>
                  <w:vAlign w:val="top"/>
                  <w:textDirection w:val="lrTb"/>
                  <w:noWrap w:val="false"/>
                </w:tcPr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</w:rPr>
                    <w:t xml:space="preserve">Исполнитель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87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______________       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  <w:p>
                  <w:pPr>
                    <w:pStyle w:val="87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(подпись)  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</w:rPr>
                    <w:t xml:space="preserve">(расшифровка подписи)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78"/>
              <w:widowControl w:val="o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9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9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yellow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yellow"/>
        </w:rPr>
      </w:r>
      <w:r>
        <w:rPr>
          <w:rFonts w:ascii="PT Astra Serif" w:hAnsi="PT Astra Serif" w:cs="PT Astra Serif"/>
          <w:sz w:val="24"/>
          <w:szCs w:val="24"/>
          <w:highlight w:val="yellow"/>
        </w:rPr>
      </w:r>
    </w:p>
    <w:p>
      <w:pPr>
        <w:pStyle w:val="878"/>
        <w:jc w:val="center"/>
        <w:widowControl w:val="off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</w:rPr>
      </w:r>
      <w:r>
        <w:rPr>
          <w:rFonts w:ascii="PT Astra Serif" w:hAnsi="PT Astra Serif" w:cs="PT Astra Serif"/>
          <w:color w:val="ff0000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_______________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               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7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м.п.  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5" w:h="16838" w:orient="portrait"/>
      <w:pgMar w:top="567" w:right="567" w:bottom="141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38"/>
      </w:rPr>
      <w:framePr w:wrap="around" w:vAnchor="text" w:hAnchor="margin" w:xAlign="right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separate"/>
    </w:r>
    <w:r>
      <w:rPr>
        <w:rStyle w:val="938"/>
      </w:rPr>
      <w:t xml:space="preserve">1</w: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91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8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288"/>
        <w:tabs>
          <w:tab w:val="num" w:pos="648" w:leader="none"/>
        </w:tabs>
      </w:pPr>
      <w:rPr>
        <w:rFonts w:ascii="Times New Roman" w:hAnsi="Times New Roman"/>
        <w:b w:val="0"/>
        <w:i w:val="0"/>
        <w:sz w:val="28"/>
        <w:szCs w:val="26"/>
      </w:rPr>
    </w:lvl>
    <w:lvl w:ilvl="2">
      <w:start w:val="1"/>
      <w:numFmt w:val="decimal"/>
      <w:pStyle w:val="880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81"/>
      <w:isLgl w:val="false"/>
      <w:suff w:val="tab"/>
      <w:lvlText w:val="%1.%2.%3.%4"/>
      <w:lvlJc w:val="left"/>
      <w:pPr>
        <w:ind w:left="10725" w:hanging="864"/>
        <w:tabs>
          <w:tab w:val="num" w:pos="10725" w:leader="none"/>
        </w:tabs>
      </w:pPr>
    </w:lvl>
    <w:lvl w:ilvl="4">
      <w:start w:val="1"/>
      <w:numFmt w:val="decimal"/>
      <w:pStyle w:val="882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883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884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85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886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pStyle w:val="899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b/>
        <w:i w:val="0"/>
      </w:rPr>
    </w:lvl>
    <w:lvl w:ilvl="1">
      <w:start w:val="1"/>
      <w:numFmt w:val="decimal"/>
      <w:pStyle w:val="900"/>
      <w:isLgl w:val="false"/>
      <w:suff w:val="tab"/>
      <w:lvlText w:val="%1.%2"/>
      <w:lvlJc w:val="left"/>
      <w:pPr>
        <w:ind w:left="0" w:firstLine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901"/>
      <w:isLgl w:val="false"/>
      <w:suff w:val="tab"/>
      <w:lvlText w:val="%1.%2.%3"/>
      <w:lvlJc w:val="left"/>
      <w:pPr>
        <w:ind w:left="0" w:firstLine="567"/>
        <w:tabs>
          <w:tab w:val="num" w:pos="1418" w:leader="none"/>
        </w:tabs>
      </w:pPr>
      <w:rPr>
        <w:b w:val="0"/>
        <w:bCs w:val="0"/>
        <w:i w:val="0"/>
        <w:iCs w:val="0"/>
      </w:rPr>
    </w:lvl>
    <w:lvl w:ilvl="3">
      <w:start w:val="1"/>
      <w:numFmt w:val="thaiNumbers"/>
      <w:pStyle w:val="902"/>
      <w:isLgl w:val="false"/>
      <w:suff w:val="tab"/>
      <w:lvlText w:val="%4)"/>
      <w:lvlJc w:val="left"/>
      <w:pPr>
        <w:ind w:left="0" w:firstLine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2" w:hanging="1032"/>
        <w:tabs>
          <w:tab w:val="num" w:pos="175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987" w:hanging="420"/>
        <w:tabs>
          <w:tab w:val="num" w:pos="987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  <w:tabs>
          <w:tab w:val="num" w:pos="1494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1" w:hanging="720"/>
        <w:tabs>
          <w:tab w:val="num" w:pos="1701" w:leader="none"/>
        </w:tabs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08" w:hanging="720"/>
        <w:tabs>
          <w:tab w:val="num" w:pos="1908" w:leader="none"/>
        </w:tabs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75" w:hanging="1080"/>
        <w:tabs>
          <w:tab w:val="num" w:pos="2475" w:leader="none"/>
        </w:tabs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82" w:hanging="1080"/>
        <w:tabs>
          <w:tab w:val="num" w:pos="2682" w:leader="none"/>
        </w:tabs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9" w:hanging="1080"/>
        <w:tabs>
          <w:tab w:val="num" w:pos="2889" w:leader="none"/>
        </w:tabs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456" w:hanging="1440"/>
        <w:tabs>
          <w:tab w:val="num" w:pos="3456" w:leader="none"/>
        </w:tabs>
      </w:pPr>
      <w:rPr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jc w:val="both"/>
    </w:pPr>
    <w:rPr>
      <w:rFonts w:ascii="Times New Roman" w:hAnsi="Times New Roman"/>
      <w:sz w:val="28"/>
      <w:szCs w:val="28"/>
      <w:lang w:val="ru-RU" w:eastAsia="en-US" w:bidi="ar-SA"/>
    </w:rPr>
  </w:style>
  <w:style w:type="paragraph" w:styleId="879">
    <w:name w:val="Заголовок 2,H2"/>
    <w:basedOn w:val="878"/>
    <w:next w:val="878"/>
    <w:link w:val="891"/>
    <w:qFormat/>
    <w:pPr>
      <w:keepNext/>
      <w:outlineLvl w:val="1"/>
    </w:pPr>
    <w:rPr>
      <w:rFonts w:eastAsia="Times New Roman"/>
      <w:szCs w:val="24"/>
      <w:lang w:eastAsia="ru-RU"/>
    </w:rPr>
  </w:style>
  <w:style w:type="paragraph" w:styleId="880">
    <w:name w:val="Заголовок 3,H3"/>
    <w:basedOn w:val="878"/>
    <w:next w:val="878"/>
    <w:link w:val="920"/>
    <w:qFormat/>
    <w:pPr>
      <w:numPr>
        <w:ilvl w:val="2"/>
        <w:numId w:val="4"/>
      </w:numPr>
      <w:jc w:val="center"/>
      <w:keepNext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881">
    <w:name w:val="Заголовок 4,H4"/>
    <w:basedOn w:val="878"/>
    <w:next w:val="878"/>
    <w:link w:val="921"/>
    <w:qFormat/>
    <w:pPr>
      <w:numPr>
        <w:ilvl w:val="3"/>
        <w:numId w:val="4"/>
      </w:numPr>
      <w:jc w:val="center"/>
      <w:keepNext/>
      <w:outlineLvl w:val="3"/>
    </w:pPr>
    <w:rPr>
      <w:rFonts w:eastAsia="Times New Roman"/>
      <w:b/>
      <w:bCs/>
      <w:lang w:eastAsia="ru-RU"/>
    </w:rPr>
  </w:style>
  <w:style w:type="paragraph" w:styleId="882">
    <w:name w:val="Заголовок 5,H5"/>
    <w:basedOn w:val="878"/>
    <w:next w:val="878"/>
    <w:link w:val="922"/>
    <w:qFormat/>
    <w:pPr>
      <w:numPr>
        <w:ilvl w:val="4"/>
        <w:numId w:val="4"/>
      </w:numPr>
      <w:jc w:val="left"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883">
    <w:name w:val="Заголовок 6"/>
    <w:basedOn w:val="878"/>
    <w:next w:val="878"/>
    <w:link w:val="923"/>
    <w:qFormat/>
    <w:pPr>
      <w:numPr>
        <w:ilvl w:val="5"/>
        <w:numId w:val="4"/>
      </w:numPr>
      <w:jc w:val="left"/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884">
    <w:name w:val="Заголовок 7"/>
    <w:basedOn w:val="878"/>
    <w:next w:val="878"/>
    <w:link w:val="924"/>
    <w:qFormat/>
    <w:pPr>
      <w:numPr>
        <w:ilvl w:val="6"/>
        <w:numId w:val="4"/>
      </w:numPr>
      <w:jc w:val="center"/>
      <w:keepNext/>
      <w:outlineLvl w:val="6"/>
    </w:pPr>
    <w:rPr>
      <w:rFonts w:eastAsia="Times New Roman"/>
      <w:b/>
      <w:bCs/>
      <w:lang w:eastAsia="ru-RU"/>
    </w:rPr>
  </w:style>
  <w:style w:type="paragraph" w:styleId="885">
    <w:name w:val="Заголовок 8"/>
    <w:basedOn w:val="878"/>
    <w:next w:val="878"/>
    <w:link w:val="925"/>
    <w:qFormat/>
    <w:pPr>
      <w:numPr>
        <w:ilvl w:val="7"/>
        <w:numId w:val="4"/>
      </w:numPr>
      <w:keepNext/>
      <w:outlineLvl w:val="7"/>
    </w:pPr>
    <w:rPr>
      <w:rFonts w:eastAsia="Times New Roman"/>
      <w:i/>
      <w:iCs/>
      <w:lang w:eastAsia="ru-RU"/>
    </w:rPr>
  </w:style>
  <w:style w:type="paragraph" w:styleId="886">
    <w:name w:val="Заголовок 9"/>
    <w:basedOn w:val="878"/>
    <w:next w:val="878"/>
    <w:link w:val="926"/>
    <w:qFormat/>
    <w:pPr>
      <w:numPr>
        <w:ilvl w:val="8"/>
        <w:numId w:val="4"/>
      </w:numPr>
      <w:jc w:val="left"/>
      <w:spacing w:before="240" w:after="60"/>
      <w:outlineLvl w:val="8"/>
    </w:pPr>
    <w:rPr>
      <w:rFonts w:ascii="Arial" w:hAnsi="Arial" w:eastAsia="Times New Roman" w:cs="Arial"/>
      <w:sz w:val="22"/>
      <w:szCs w:val="22"/>
      <w:lang w:eastAsia="ru-RU"/>
    </w:rPr>
  </w:style>
  <w:style w:type="character" w:styleId="887">
    <w:name w:val="Основной шрифт абзаца"/>
    <w:next w:val="887"/>
    <w:link w:val="878"/>
    <w:uiPriority w:val="1"/>
    <w:semiHidden/>
    <w:unhideWhenUsed/>
  </w:style>
  <w:style w:type="table" w:styleId="888">
    <w:name w:val="Обычная таблица"/>
    <w:next w:val="888"/>
    <w:link w:val="878"/>
    <w:uiPriority w:val="99"/>
    <w:semiHidden/>
    <w:unhideWhenUsed/>
    <w:tblPr/>
  </w:style>
  <w:style w:type="numbering" w:styleId="889">
    <w:name w:val="Нет списка"/>
    <w:next w:val="889"/>
    <w:link w:val="878"/>
    <w:uiPriority w:val="99"/>
    <w:semiHidden/>
    <w:unhideWhenUsed/>
  </w:style>
  <w:style w:type="paragraph" w:styleId="890">
    <w:name w:val="ConsPlusNonformat"/>
    <w:next w:val="890"/>
    <w:link w:val="878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91">
    <w:name w:val="Заголовок 2 Знак,H2 Знак"/>
    <w:next w:val="891"/>
    <w:link w:val="87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2">
    <w:name w:val="Основной текст с отступом"/>
    <w:basedOn w:val="878"/>
    <w:next w:val="892"/>
    <w:link w:val="893"/>
    <w:pPr>
      <w:ind w:firstLine="1080"/>
    </w:pPr>
    <w:rPr>
      <w:rFonts w:eastAsia="Times New Roman"/>
      <w:szCs w:val="24"/>
      <w:lang w:eastAsia="ru-RU"/>
    </w:rPr>
  </w:style>
  <w:style w:type="character" w:styleId="893">
    <w:name w:val="Основной текст с отступом Знак"/>
    <w:next w:val="893"/>
    <w:link w:val="89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4">
    <w:name w:val="Текст концевой сноски"/>
    <w:basedOn w:val="878"/>
    <w:next w:val="894"/>
    <w:link w:val="895"/>
    <w:uiPriority w:val="99"/>
    <w:semiHidden/>
    <w:unhideWhenUsed/>
    <w:rPr>
      <w:sz w:val="20"/>
      <w:szCs w:val="20"/>
    </w:rPr>
  </w:style>
  <w:style w:type="character" w:styleId="895">
    <w:name w:val="Текст концевой сноски Знак"/>
    <w:next w:val="895"/>
    <w:link w:val="89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896">
    <w:name w:val="Знак концевой сноски"/>
    <w:next w:val="896"/>
    <w:link w:val="878"/>
    <w:uiPriority w:val="99"/>
    <w:semiHidden/>
    <w:unhideWhenUsed/>
    <w:rPr>
      <w:vertAlign w:val="superscript"/>
    </w:rPr>
  </w:style>
  <w:style w:type="paragraph" w:styleId="897">
    <w:name w:val="Основной текст с отступом 3"/>
    <w:basedOn w:val="878"/>
    <w:next w:val="897"/>
    <w:link w:val="898"/>
    <w:pPr>
      <w:ind w:left="283"/>
      <w:jc w:val="left"/>
      <w:spacing w:after="120"/>
    </w:pPr>
    <w:rPr>
      <w:rFonts w:eastAsia="Times New Roman"/>
      <w:sz w:val="16"/>
      <w:szCs w:val="16"/>
      <w:lang w:eastAsia="ru-RU"/>
    </w:rPr>
  </w:style>
  <w:style w:type="character" w:styleId="898">
    <w:name w:val="Основной текст с отступом 3 Знак"/>
    <w:next w:val="898"/>
    <w:link w:val="89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Контракт-раздел"/>
    <w:basedOn w:val="878"/>
    <w:next w:val="900"/>
    <w:link w:val="878"/>
    <w:pPr>
      <w:numPr>
        <w:ilvl w:val="0"/>
        <w:numId w:val="2"/>
      </w:numPr>
      <w:jc w:val="center"/>
      <w:keepNext/>
      <w:spacing w:before="360" w:after="120"/>
      <w:tabs>
        <w:tab w:val="left" w:pos="540" w:leader="none"/>
      </w:tabs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styleId="900">
    <w:name w:val="Контракт-пункт"/>
    <w:basedOn w:val="878"/>
    <w:next w:val="900"/>
    <w:link w:val="878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styleId="901">
    <w:name w:val="Контракт-подпункт"/>
    <w:basedOn w:val="878"/>
    <w:next w:val="901"/>
    <w:link w:val="903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styleId="902">
    <w:name w:val="Контракт-подподпункт"/>
    <w:basedOn w:val="878"/>
    <w:next w:val="902"/>
    <w:link w:val="878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styleId="903">
    <w:name w:val="Контракт-подпункт Знак"/>
    <w:next w:val="903"/>
    <w:link w:val="9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>
    <w:name w:val="Гиперссылка"/>
    <w:next w:val="904"/>
    <w:link w:val="878"/>
    <w:rPr>
      <w:color w:val="0000ff"/>
      <w:u w:val="single"/>
    </w:rPr>
  </w:style>
  <w:style w:type="paragraph" w:styleId="905">
    <w:name w:val="Текст выноски"/>
    <w:basedOn w:val="878"/>
    <w:next w:val="905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>
    <w:name w:val="Текст выноски Знак"/>
    <w:next w:val="906"/>
    <w:link w:val="905"/>
    <w:uiPriority w:val="99"/>
    <w:semiHidden/>
    <w:rPr>
      <w:rFonts w:ascii="Tahoma" w:hAnsi="Tahoma" w:cs="Tahoma"/>
      <w:sz w:val="16"/>
      <w:szCs w:val="16"/>
    </w:rPr>
  </w:style>
  <w:style w:type="paragraph" w:styleId="907">
    <w:name w:val="Основной текст"/>
    <w:basedOn w:val="878"/>
    <w:next w:val="907"/>
    <w:link w:val="908"/>
    <w:uiPriority w:val="99"/>
    <w:semiHidden/>
    <w:unhideWhenUsed/>
    <w:pPr>
      <w:spacing w:after="120"/>
    </w:pPr>
  </w:style>
  <w:style w:type="character" w:styleId="908">
    <w:name w:val="Основной текст Знак"/>
    <w:next w:val="908"/>
    <w:link w:val="907"/>
    <w:uiPriority w:val="99"/>
    <w:semiHidden/>
    <w:rPr>
      <w:rFonts w:ascii="Times New Roman" w:hAnsi="Times New Roman" w:cs="Times New Roman"/>
      <w:sz w:val="28"/>
      <w:szCs w:val="28"/>
    </w:rPr>
  </w:style>
  <w:style w:type="paragraph" w:styleId="909">
    <w:name w:val="ConsPlusCell"/>
    <w:next w:val="909"/>
    <w:link w:val="878"/>
    <w:uiPriority w:val="99"/>
    <w:rPr>
      <w:rFonts w:ascii="Times New Roman" w:hAnsi="Times New Roman"/>
      <w:sz w:val="24"/>
      <w:szCs w:val="24"/>
      <w:lang w:val="ru-RU" w:eastAsia="en-US" w:bidi="ar-SA"/>
    </w:rPr>
  </w:style>
  <w:style w:type="paragraph" w:styleId="910">
    <w:name w:val="Основной текст 2"/>
    <w:basedOn w:val="878"/>
    <w:next w:val="910"/>
    <w:link w:val="911"/>
    <w:uiPriority w:val="99"/>
    <w:semiHidden/>
    <w:unhideWhenUsed/>
    <w:pPr>
      <w:spacing w:after="120" w:line="480" w:lineRule="auto"/>
    </w:pPr>
  </w:style>
  <w:style w:type="character" w:styleId="911">
    <w:name w:val="Основной текст 2 Знак"/>
    <w:next w:val="911"/>
    <w:link w:val="910"/>
    <w:uiPriority w:val="99"/>
    <w:semiHidden/>
    <w:rPr>
      <w:rFonts w:ascii="Times New Roman" w:hAnsi="Times New Roman" w:cs="Times New Roman"/>
      <w:sz w:val="28"/>
      <w:szCs w:val="28"/>
    </w:rPr>
  </w:style>
  <w:style w:type="paragraph" w:styleId="912">
    <w:name w:val="Верхний колонтитул"/>
    <w:basedOn w:val="878"/>
    <w:next w:val="912"/>
    <w:link w:val="913"/>
    <w:unhideWhenUsed/>
    <w:pPr>
      <w:tabs>
        <w:tab w:val="center" w:pos="4677" w:leader="none"/>
        <w:tab w:val="right" w:pos="9355" w:leader="none"/>
      </w:tabs>
    </w:pPr>
  </w:style>
  <w:style w:type="character" w:styleId="913">
    <w:name w:val="Верхний колонтитул Знак"/>
    <w:next w:val="913"/>
    <w:link w:val="912"/>
    <w:uiPriority w:val="99"/>
    <w:rPr>
      <w:rFonts w:ascii="Times New Roman" w:hAnsi="Times New Roman" w:cs="Times New Roman"/>
      <w:sz w:val="28"/>
      <w:szCs w:val="28"/>
    </w:rPr>
  </w:style>
  <w:style w:type="paragraph" w:styleId="914">
    <w:name w:val="Нижний колонтитул"/>
    <w:basedOn w:val="878"/>
    <w:next w:val="914"/>
    <w:link w:val="9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next w:val="915"/>
    <w:link w:val="914"/>
    <w:uiPriority w:val="99"/>
    <w:rPr>
      <w:rFonts w:ascii="Times New Roman" w:hAnsi="Times New Roman" w:cs="Times New Roman"/>
      <w:sz w:val="28"/>
      <w:szCs w:val="28"/>
    </w:rPr>
  </w:style>
  <w:style w:type="paragraph" w:styleId="916">
    <w:name w:val="Текст сноски"/>
    <w:basedOn w:val="878"/>
    <w:next w:val="916"/>
    <w:link w:val="917"/>
    <w:uiPriority w:val="99"/>
    <w:unhideWhenUsed/>
    <w:rPr>
      <w:sz w:val="20"/>
      <w:szCs w:val="20"/>
    </w:rPr>
  </w:style>
  <w:style w:type="character" w:styleId="917">
    <w:name w:val="Текст сноски Знак"/>
    <w:next w:val="917"/>
    <w:link w:val="916"/>
    <w:uiPriority w:val="99"/>
    <w:rPr>
      <w:rFonts w:ascii="Times New Roman" w:hAnsi="Times New Roman" w:cs="Times New Roman"/>
      <w:sz w:val="20"/>
      <w:szCs w:val="20"/>
    </w:rPr>
  </w:style>
  <w:style w:type="character" w:styleId="918">
    <w:name w:val="Знак сноски"/>
    <w:next w:val="918"/>
    <w:link w:val="878"/>
    <w:uiPriority w:val="99"/>
    <w:semiHidden/>
    <w:unhideWhenUsed/>
    <w:rPr>
      <w:vertAlign w:val="superscript"/>
    </w:rPr>
  </w:style>
  <w:style w:type="paragraph" w:styleId="919">
    <w:name w:val="Абзац списка"/>
    <w:basedOn w:val="878"/>
    <w:next w:val="919"/>
    <w:link w:val="878"/>
    <w:uiPriority w:val="34"/>
    <w:qFormat/>
    <w:pPr>
      <w:contextualSpacing/>
      <w:ind w:left="720"/>
      <w:jc w:val="left"/>
      <w:spacing w:after="200" w:line="276" w:lineRule="auto"/>
    </w:pPr>
    <w:rPr>
      <w:rFonts w:ascii="Calibri" w:hAnsi="Calibri" w:cs="Times New Roman"/>
      <w:sz w:val="22"/>
      <w:szCs w:val="22"/>
    </w:rPr>
  </w:style>
  <w:style w:type="character" w:styleId="920">
    <w:name w:val="Заголовок 3 Знак,H3 Знак"/>
    <w:next w:val="920"/>
    <w:link w:val="880"/>
    <w:rPr>
      <w:rFonts w:ascii="Times New Roman" w:hAnsi="Times New Roman" w:eastAsia="Times New Roman" w:cs="Times New Roman"/>
      <w:b/>
      <w:bCs/>
      <w:sz w:val="40"/>
      <w:szCs w:val="40"/>
      <w:lang w:eastAsia="ru-RU"/>
    </w:rPr>
  </w:style>
  <w:style w:type="character" w:styleId="921">
    <w:name w:val="Заголовок 4 Знак,H4 Знак"/>
    <w:next w:val="921"/>
    <w:link w:val="881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22">
    <w:name w:val="Заголовок 5 Знак,H5 Знак"/>
    <w:next w:val="922"/>
    <w:link w:val="882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923">
    <w:name w:val="Заголовок 6 Знак"/>
    <w:next w:val="923"/>
    <w:link w:val="883"/>
    <w:rPr>
      <w:rFonts w:ascii="Times New Roman" w:hAnsi="Times New Roman" w:eastAsia="Times New Roman" w:cs="Times New Roman"/>
      <w:b/>
      <w:bCs/>
      <w:lang w:eastAsia="ru-RU"/>
    </w:rPr>
  </w:style>
  <w:style w:type="character" w:styleId="924">
    <w:name w:val="Заголовок 7 Знак"/>
    <w:next w:val="924"/>
    <w:link w:val="88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25">
    <w:name w:val="Заголовок 8 Знак"/>
    <w:next w:val="925"/>
    <w:link w:val="885"/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character" w:styleId="926">
    <w:name w:val="Заголовок 9 Знак"/>
    <w:next w:val="926"/>
    <w:link w:val="886"/>
    <w:rPr>
      <w:rFonts w:ascii="Arial" w:hAnsi="Arial" w:eastAsia="Times New Roman" w:cs="Arial"/>
      <w:lang w:eastAsia="ru-RU"/>
    </w:rPr>
  </w:style>
  <w:style w:type="paragraph" w:styleId="927">
    <w:name w:val="Подподпункт"/>
    <w:basedOn w:val="878"/>
    <w:next w:val="927"/>
    <w:link w:val="878"/>
    <w:pPr>
      <w:tabs>
        <w:tab w:val="num" w:pos="5585" w:leader="none"/>
      </w:tabs>
    </w:pPr>
    <w:rPr>
      <w:rFonts w:eastAsia="Times New Roman"/>
      <w:sz w:val="24"/>
      <w:lang w:eastAsia="ru-RU"/>
    </w:rPr>
  </w:style>
  <w:style w:type="table" w:styleId="928">
    <w:name w:val="Сетка таблицы"/>
    <w:basedOn w:val="888"/>
    <w:next w:val="928"/>
    <w:link w:val="878"/>
    <w:uiPriority w:val="59"/>
    <w:pPr>
      <w:spacing w:after="0" w:line="240" w:lineRule="auto"/>
    </w:pPr>
    <w:tblPr/>
  </w:style>
  <w:style w:type="character" w:styleId="929">
    <w:name w:val="Знак примечания"/>
    <w:next w:val="929"/>
    <w:link w:val="878"/>
    <w:uiPriority w:val="99"/>
    <w:semiHidden/>
    <w:unhideWhenUsed/>
    <w:rPr>
      <w:sz w:val="16"/>
      <w:szCs w:val="16"/>
    </w:rPr>
  </w:style>
  <w:style w:type="paragraph" w:styleId="930">
    <w:name w:val="Текст примечания"/>
    <w:basedOn w:val="878"/>
    <w:next w:val="930"/>
    <w:link w:val="931"/>
    <w:uiPriority w:val="99"/>
    <w:semiHidden/>
    <w:unhideWhenUsed/>
    <w:rPr>
      <w:sz w:val="20"/>
      <w:szCs w:val="20"/>
    </w:rPr>
  </w:style>
  <w:style w:type="character" w:styleId="931">
    <w:name w:val="Текст примечания Знак"/>
    <w:next w:val="931"/>
    <w:link w:val="93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32">
    <w:name w:val="Тема примечания"/>
    <w:basedOn w:val="930"/>
    <w:next w:val="930"/>
    <w:link w:val="933"/>
    <w:uiPriority w:val="99"/>
    <w:semiHidden/>
    <w:unhideWhenUsed/>
    <w:rPr>
      <w:b/>
      <w:bCs/>
    </w:rPr>
  </w:style>
  <w:style w:type="character" w:styleId="933">
    <w:name w:val="Тема примечания Знак"/>
    <w:next w:val="933"/>
    <w:link w:val="932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934">
    <w:name w:val="Основной текст 3"/>
    <w:basedOn w:val="878"/>
    <w:next w:val="934"/>
    <w:link w:val="935"/>
    <w:uiPriority w:val="99"/>
    <w:unhideWhenUsed/>
    <w:pPr>
      <w:spacing w:after="120"/>
    </w:pPr>
    <w:rPr>
      <w:sz w:val="16"/>
      <w:szCs w:val="16"/>
    </w:rPr>
  </w:style>
  <w:style w:type="character" w:styleId="935">
    <w:name w:val="Основной текст 3 Знак"/>
    <w:next w:val="935"/>
    <w:link w:val="934"/>
    <w:uiPriority w:val="99"/>
    <w:rPr>
      <w:rFonts w:ascii="Times New Roman" w:hAnsi="Times New Roman" w:cs="Times New Roman"/>
      <w:sz w:val="16"/>
      <w:szCs w:val="16"/>
    </w:rPr>
  </w:style>
  <w:style w:type="paragraph" w:styleId="936">
    <w:name w:val="s_1"/>
    <w:basedOn w:val="878"/>
    <w:next w:val="936"/>
    <w:link w:val="878"/>
    <w:pPr>
      <w:jc w:val="left"/>
      <w:spacing w:before="100" w:after="100"/>
    </w:pPr>
    <w:rPr>
      <w:rFonts w:eastAsia="Times New Roman"/>
      <w:sz w:val="24"/>
      <w:szCs w:val="24"/>
      <w:lang w:eastAsia="ar-SA"/>
    </w:rPr>
  </w:style>
  <w:style w:type="character" w:styleId="937">
    <w:name w:val="blk"/>
    <w:basedOn w:val="887"/>
    <w:next w:val="937"/>
    <w:link w:val="878"/>
  </w:style>
  <w:style w:type="character" w:styleId="938">
    <w:name w:val="Номер страницы"/>
    <w:basedOn w:val="887"/>
    <w:next w:val="938"/>
    <w:link w:val="878"/>
    <w:semiHidden/>
  </w:style>
  <w:style w:type="paragraph" w:styleId="939">
    <w:name w:val="Без интервала"/>
    <w:next w:val="939"/>
    <w:link w:val="878"/>
    <w:uiPriority w:val="99"/>
    <w:qFormat/>
    <w:rPr>
      <w:sz w:val="22"/>
      <w:szCs w:val="22"/>
      <w:lang w:val="ru-RU" w:eastAsia="en-US" w:bidi="ar-SA"/>
    </w:rPr>
  </w:style>
  <w:style w:type="paragraph" w:styleId="940">
    <w:name w:val="ConsPlusNormal"/>
    <w:next w:val="940"/>
    <w:link w:val="941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941">
    <w:name w:val="ConsPlusNormal Знак"/>
    <w:next w:val="941"/>
    <w:link w:val="940"/>
    <w:qFormat/>
    <w:rPr>
      <w:rFonts w:eastAsia="Times New Roman" w:cs="Calibri"/>
      <w:sz w:val="22"/>
    </w:rPr>
  </w:style>
  <w:style w:type="character" w:styleId="942" w:default="1">
    <w:name w:val="Default Paragraph Font"/>
    <w:uiPriority w:val="1"/>
    <w:semiHidden/>
    <w:unhideWhenUsed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  <w:style w:type="paragraph" w:styleId="945" w:customStyle="1">
    <w:name w:val="xl123"/>
    <w:basedOn w:val="820"/>
    <w:pPr>
      <w:contextualSpacing w:val="0"/>
      <w:ind w:left="0" w:right="0" w:firstLine="0"/>
      <w:jc w:val="center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65243&amp;dst=1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revision>25</cp:revision>
  <dcterms:created xsi:type="dcterms:W3CDTF">2024-08-22T07:27:00Z</dcterms:created>
  <dcterms:modified xsi:type="dcterms:W3CDTF">2026-07-13T09:44:22Z</dcterms:modified>
  <cp:version>1048576</cp:version>
</cp:coreProperties>
</file>