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1"/>
        <w:widowControl/>
        <w:jc w:val="center"/>
        <w:rPr>
          <w:b/>
          <w:bCs/>
          <w:sz w:val="18"/>
          <w:szCs w:val="18"/>
        </w:rPr>
      </w:pPr>
      <w:r>
        <w:rPr>
          <w:b/>
          <w:bCs/>
          <w:sz w:val="18"/>
          <w:szCs w:val="18"/>
        </w:rPr>
      </w:r>
    </w:p>
    <w:p>
      <w:pPr>
        <w:pStyle w:val="ConsPlusNormal1"/>
        <w:jc w:val="center"/>
        <w:rPr/>
      </w:pPr>
      <w:r>
        <w:rPr>
          <w:sz w:val="18"/>
          <w:szCs w:val="18"/>
        </w:rPr>
        <w:t xml:space="preserve"> </w:t>
      </w:r>
      <w:r>
        <w:rPr>
          <w:sz w:val="18"/>
          <w:szCs w:val="18"/>
        </w:rPr>
        <w:t>КОНТРАКТ  №</w:t>
      </w:r>
    </w:p>
    <w:p>
      <w:pPr>
        <w:pStyle w:val="ConsPlusNormal1"/>
        <w:jc w:val="center"/>
        <w:rPr>
          <w:rFonts w:ascii="Times New Roman" w:hAnsi="Times New Roman"/>
          <w:b w:val="false"/>
          <w:i w:val="false"/>
          <w:caps w:val="false"/>
          <w:smallCaps w:val="false"/>
          <w:color w:val="383838"/>
          <w:spacing w:val="0"/>
          <w:sz w:val="20"/>
          <w:szCs w:val="20"/>
        </w:rPr>
      </w:pPr>
      <w:r>
        <w:rPr>
          <w:b w:val="false"/>
          <w:i w:val="false"/>
          <w:caps w:val="false"/>
          <w:smallCaps w:val="false"/>
          <w:color w:val="383838"/>
          <w:spacing w:val="0"/>
          <w:sz w:val="20"/>
          <w:szCs w:val="20"/>
        </w:rPr>
      </w:r>
    </w:p>
    <w:p>
      <w:pPr>
        <w:pStyle w:val="ConsPlusNormal1"/>
        <w:jc w:val="both"/>
        <w:rPr>
          <w:rFonts w:ascii="PT Astra Serif" w:hAnsi="PT Astra Serif"/>
          <w:sz w:val="20"/>
          <w:szCs w:val="20"/>
        </w:rPr>
      </w:pPr>
      <w:r>
        <w:rPr>
          <w:rFonts w:eastAsia="Times New Roman" w:cs="PT Astra Serif;Times New Roman" w:ascii="PT Astra Serif" w:hAnsi="PT Astra Serif"/>
          <w:b/>
          <w:bCs/>
          <w:i w:val="false"/>
          <w:color w:val="000000"/>
          <w:sz w:val="20"/>
          <w:szCs w:val="20"/>
          <w:lang w:val="ru-RU" w:eastAsia="ru-RU"/>
        </w:rPr>
        <w:t xml:space="preserve">Муниципальное общеобразовательное учреждение Новоникулинская   средняя  школа  муниципального образования «Цильнинский район» </w:t>
      </w:r>
      <w:r>
        <w:rPr>
          <w:rFonts w:eastAsia="Times New Roman" w:cs="PT Astra Serif;Times New Roman" w:ascii="PT Astra Serif" w:hAnsi="PT Astra Serif"/>
          <w:bCs/>
          <w:i w:val="false"/>
          <w:color w:val="000000"/>
          <w:sz w:val="20"/>
          <w:szCs w:val="20"/>
          <w:lang w:val="ru-RU" w:eastAsia="ru-RU"/>
        </w:rPr>
        <w:t xml:space="preserve">Ульяновской области, именуемое в дальнейшем «Заказчик», в лице директора  Потаповой Светланы Александровны </w:t>
      </w:r>
      <w:r>
        <w:rPr>
          <w:rFonts w:ascii="PT Astra Serif" w:hAnsi="PT Astra Serif"/>
          <w:i w:val="false"/>
          <w:sz w:val="20"/>
          <w:szCs w:val="20"/>
          <w:lang w:val="ru-RU"/>
        </w:rPr>
        <w:t>, с одной стороны и _____________________________________, именуемый в дальнейшем «Поставщик», в лице __________________________________________, действующего на основании ___________________</w:t>
      </w:r>
    </w:p>
    <w:p>
      <w:pPr>
        <w:pStyle w:val="BodyTextIndent"/>
        <w:tabs>
          <w:tab w:val="clear" w:pos="708"/>
          <w:tab w:val="left" w:pos="2250" w:leader="none"/>
        </w:tabs>
        <w:spacing w:before="0" w:after="0"/>
        <w:ind w:hanging="0" w:left="0" w:right="0"/>
        <w:jc w:val="both"/>
        <w:rPr/>
      </w:pPr>
      <w:r>
        <w:rPr>
          <w:rStyle w:val="Style26"/>
          <w:rFonts w:eastAsia="Calibri" w:cs="Times New Roman" w:ascii="PT Astra Serif" w:hAnsi="PT Astra Serif"/>
          <w:sz w:val="20"/>
          <w:szCs w:val="20"/>
        </w:rPr>
        <w:t xml:space="preserve"> </w:t>
      </w:r>
      <w:r>
        <w:rPr>
          <w:rStyle w:val="Style26"/>
          <w:rFonts w:eastAsia="Calibri" w:cs="Times New Roman" w:ascii="PT Astra Serif" w:hAnsi="PT Astra Serif"/>
          <w:sz w:val="20"/>
          <w:szCs w:val="20"/>
        </w:rPr>
        <w:t>., с другой стороны, заключили настоящий контракт в соответствии  п.5ч.1 ст. 93 ФЗ от 05.04.2013г. № 44-ФЗ «О контрактной системе в сфере закупок товаров, работ, услуг для обеспечения государственных и муниципальных нужд» (далее контракт) о нижеследующем</w:t>
      </w:r>
      <w:r>
        <w:rPr>
          <w:rFonts w:eastAsia="Times New Roman" w:cs="Times New Roman" w:ascii="PT Astra Serif" w:hAnsi="PT Astra Serif"/>
          <w:sz w:val="20"/>
          <w:szCs w:val="20"/>
        </w:rPr>
        <w:t xml:space="preserve">: </w:t>
      </w:r>
    </w:p>
    <w:p>
      <w:pPr>
        <w:pStyle w:val="ConsPlusNormal1"/>
        <w:jc w:val="both"/>
        <w:rPr>
          <w:rFonts w:ascii="PT Astra Serif" w:hAnsi="PT Astra Serif"/>
          <w:sz w:val="20"/>
          <w:szCs w:val="20"/>
        </w:rPr>
      </w:pPr>
      <w:r>
        <w:rPr>
          <w:rFonts w:eastAsia="Times New Roman" w:cs="PT Astra Serif" w:ascii="PT Astra Serif" w:hAnsi="PT Astra Serif"/>
          <w:sz w:val="20"/>
          <w:szCs w:val="20"/>
          <w:lang w:eastAsia="ru-RU"/>
        </w:rPr>
        <w:t xml:space="preserve">                                                                                                                     </w:t>
      </w:r>
    </w:p>
    <w:p>
      <w:pPr>
        <w:pStyle w:val="ConsPlusNormal1"/>
        <w:widowControl w:val="false"/>
        <w:spacing w:lineRule="atLeast" w:line="240"/>
        <w:ind w:firstLine="567"/>
        <w:jc w:val="both"/>
        <w:textAlignment w:val="baseline"/>
        <w:rPr>
          <w:rStyle w:val="Style26"/>
          <w:rFonts w:ascii="PT Astra Serif" w:hAnsi="PT Astra Serif" w:eastAsia="Times New Roman" w:cs="Times New Roman"/>
          <w:b w:val="false"/>
          <w:bCs w:val="false"/>
          <w:i w:val="false"/>
          <w:color w:val="00000A"/>
          <w:kern w:val="2"/>
          <w:sz w:val="20"/>
          <w:szCs w:val="20"/>
          <w:shd w:fill="FFFFFF" w:val="clear"/>
          <w:lang w:val="ru-RU"/>
        </w:rPr>
      </w:pPr>
      <w:r>
        <w:rPr>
          <w:rFonts w:eastAsia="Times New Roman" w:cs="Times New Roman" w:ascii="PT Astra Serif" w:hAnsi="PT Astra Serif"/>
          <w:b w:val="false"/>
          <w:bCs w:val="false"/>
          <w:i w:val="false"/>
          <w:color w:val="00000A"/>
          <w:kern w:val="2"/>
          <w:sz w:val="20"/>
          <w:szCs w:val="20"/>
          <w:shd w:fill="FFFFFF" w:val="clear"/>
          <w:lang w:val="ru-RU"/>
        </w:rPr>
      </w:r>
    </w:p>
    <w:p>
      <w:pPr>
        <w:pStyle w:val="ConsPlusNormal1"/>
        <w:numPr>
          <w:ilvl w:val="0"/>
          <w:numId w:val="0"/>
        </w:numPr>
        <w:ind w:hanging="0" w:left="0"/>
        <w:jc w:val="center"/>
        <w:outlineLvl w:val="0"/>
        <w:rPr>
          <w:rFonts w:ascii="PT Astra Serif" w:hAnsi="PT Astra Serif"/>
          <w:sz w:val="20"/>
          <w:szCs w:val="20"/>
        </w:rPr>
      </w:pPr>
      <w:r>
        <w:rPr>
          <w:rFonts w:ascii="PT Astra Serif" w:hAnsi="PT Astra Serif"/>
          <w:sz w:val="20"/>
          <w:szCs w:val="20"/>
        </w:rPr>
        <w:t>1. ПРЕДМЕТ КОНТРАКТА</w:t>
      </w:r>
    </w:p>
    <w:p>
      <w:pPr>
        <w:pStyle w:val="ConsPlusNormal1"/>
        <w:ind w:firstLine="540" w:left="0" w:right="0"/>
        <w:jc w:val="both"/>
        <w:rPr/>
      </w:pPr>
      <w:r>
        <w:rPr>
          <w:rFonts w:ascii="PT Astra Serif" w:hAnsi="PT Astra Serif"/>
          <w:sz w:val="20"/>
          <w:szCs w:val="20"/>
        </w:rPr>
        <w:t>1.1. Поставщик обязуется передать в собственность</w:t>
      </w:r>
      <w:r>
        <w:rPr>
          <w:rFonts w:ascii="PT Astra Serif" w:hAnsi="PT Astra Serif"/>
          <w:b/>
          <w:bCs/>
          <w:sz w:val="20"/>
          <w:szCs w:val="20"/>
        </w:rPr>
        <w:t xml:space="preserve"> продукты питания</w:t>
      </w:r>
      <w:r>
        <w:rPr>
          <w:rFonts w:ascii="PT Astra Serif" w:hAnsi="PT Astra Serif"/>
          <w:sz w:val="20"/>
          <w:szCs w:val="20"/>
        </w:rPr>
        <w:t xml:space="preserve"> (далее - Товар) Заказчику в обусловленный настоящим Контрактом срок, согласно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 а Заказчик обязуется принять и оплатить Товар в порядке и на условиях, предусмотренных настоящим Контрактом.</w:t>
      </w:r>
    </w:p>
    <w:p>
      <w:pPr>
        <w:pStyle w:val="ConsPlusNormal1"/>
        <w:ind w:firstLine="540" w:left="0" w:right="0"/>
        <w:jc w:val="both"/>
        <w:rPr/>
      </w:pPr>
      <w:r>
        <w:rPr>
          <w:rFonts w:ascii="PT Astra Serif" w:hAnsi="PT Astra Serif"/>
          <w:sz w:val="20"/>
          <w:szCs w:val="20"/>
        </w:rPr>
        <w:t>1.2. Наименование и количество поставляемого Товара указано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389">
        <w:r>
          <w:rPr>
            <w:rStyle w:val="Style6"/>
            <w:rFonts w:ascii="PT Astra Serif" w:hAnsi="PT Astra Serif"/>
            <w:sz w:val="20"/>
            <w:szCs w:val="20"/>
          </w:rPr>
          <w:t xml:space="preserve">Приложение N </w:t>
        </w:r>
      </w:hyperlink>
      <w:r>
        <w:rPr>
          <w:rFonts w:ascii="PT Astra Serif" w:hAnsi="PT Astra Serif"/>
          <w:sz w:val="20"/>
          <w:szCs w:val="20"/>
        </w:rPr>
        <w:t>1</w:t>
      </w:r>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 Количество поставляемого Товара определяется в соответствии с фактической потребностью Заказчика в пределах  цены Контракта по заявкам Заказчика, подаваемым в порядке, установленном пунктом 3.1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2. ЦЕНА КОНТРАКТА И ПОРЯДОК РАСЧЕТОВ</w:t>
      </w:r>
    </w:p>
    <w:p>
      <w:pPr>
        <w:pStyle w:val="ConsPlusNormal1"/>
        <w:ind w:firstLine="540" w:left="0" w:right="0"/>
        <w:jc w:val="both"/>
        <w:rPr>
          <w:rFonts w:ascii="PT Astra Serif" w:hAnsi="PT Astra Serif"/>
          <w:sz w:val="20"/>
          <w:szCs w:val="20"/>
        </w:rPr>
      </w:pPr>
      <w:r>
        <w:rPr>
          <w:rFonts w:ascii="PT Astra Serif" w:hAnsi="PT Astra Serif"/>
          <w:sz w:val="20"/>
          <w:szCs w:val="20"/>
          <w:shd w:fill="auto" w:val="clear"/>
        </w:rPr>
        <w:t>2.1. Цена настоящего контракта составляет __________</w:t>
      </w:r>
      <w:r>
        <w:rPr>
          <w:rFonts w:ascii="PT Astra Serif" w:hAnsi="PT Astra Serif"/>
          <w:b/>
          <w:bCs/>
          <w:sz w:val="20"/>
          <w:szCs w:val="20"/>
          <w:shd w:fill="auto" w:val="clear"/>
        </w:rPr>
        <w:t xml:space="preserve">(____________) рублей    </w:t>
      </w:r>
      <w:r>
        <w:rPr>
          <w:rFonts w:ascii="PT Astra Serif" w:hAnsi="PT Astra Serif"/>
          <w:sz w:val="20"/>
          <w:szCs w:val="20"/>
          <w:shd w:fill="auto" w:val="clear"/>
        </w:rPr>
        <w:t>коп</w:t>
      </w:r>
      <w:r>
        <w:rPr>
          <w:rStyle w:val="FootnoteReference"/>
          <w:rFonts w:ascii="PT Astra Serif" w:hAnsi="PT Astra Serif"/>
          <w:sz w:val="20"/>
          <w:szCs w:val="20"/>
          <w:shd w:fill="auto" w:val="clear"/>
        </w:rPr>
        <w:footnoteReference w:id="2"/>
      </w:r>
      <w:r>
        <w:rPr>
          <w:rFonts w:ascii="PT Astra Serif" w:hAnsi="PT Astra Serif"/>
          <w:sz w:val="20"/>
          <w:szCs w:val="20"/>
          <w:shd w:fill="auto" w:val="clear"/>
        </w:rPr>
        <w:t xml:space="preserve">в том числе НДС _________ руб. </w:t>
      </w:r>
      <w:r>
        <w:rPr>
          <w:rFonts w:ascii="PT Astra Serif" w:hAnsi="PT Astra Serif"/>
          <w:sz w:val="20"/>
          <w:szCs w:val="20"/>
        </w:rPr>
        <w:t xml:space="preserve">  Цена настоящего контракта включает в себя все расходы Поставщика, в том числе расходы на страхование, уплату пошлин, налогов, сборов и других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а также расходы на упаковку, маркировку, доставку, разгрузку Товара.</w:t>
      </w:r>
    </w:p>
    <w:p>
      <w:pPr>
        <w:pStyle w:val="ConsPlusNormal1"/>
        <w:ind w:firstLine="567" w:left="0" w:right="0"/>
        <w:jc w:val="both"/>
        <w:rPr/>
      </w:pPr>
      <w:r>
        <w:rPr>
          <w:rFonts w:ascii="PT Astra Serif" w:hAnsi="PT Astra Serif"/>
          <w:sz w:val="20"/>
          <w:szCs w:val="20"/>
        </w:rPr>
        <w:t>Цена за единицу Товара установлена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Normal"/>
        <w:widowControl w:val="false"/>
        <w:tabs>
          <w:tab w:val="clear" w:pos="708"/>
          <w:tab w:val="left" w:pos="-851" w:leader="none"/>
          <w:tab w:val="left" w:pos="1134" w:leader="none"/>
        </w:tabs>
        <w:spacing w:before="0" w:after="0"/>
        <w:ind w:firstLine="567" w:left="0" w:right="0"/>
        <w:rPr>
          <w:rFonts w:ascii="PT Astra Serif" w:hAnsi="PT Astra Serif"/>
          <w:sz w:val="20"/>
          <w:szCs w:val="20"/>
        </w:rPr>
      </w:pPr>
      <w:r>
        <w:rPr>
          <w:rFonts w:ascii="PT Astra Serif" w:hAnsi="PT Astra Serif"/>
          <w:sz w:val="20"/>
          <w:szCs w:val="20"/>
        </w:rPr>
        <w:t xml:space="preserve">2.2.Оплата поставленного товара осуществляется по цене единицы товара исходя из объема фактически поставленного товара, но в размере, не превышающею цену  контракта.  </w:t>
      </w:r>
    </w:p>
    <w:p>
      <w:pPr>
        <w:pStyle w:val="ConsPlusNormal1"/>
        <w:ind w:firstLine="540" w:left="0" w:right="0"/>
        <w:jc w:val="both"/>
        <w:rPr/>
      </w:pPr>
      <w:bookmarkStart w:id="0" w:name="P60"/>
      <w:bookmarkStart w:id="1" w:name="P57"/>
      <w:bookmarkEnd w:id="0"/>
      <w:bookmarkEnd w:id="1"/>
      <w:r>
        <w:rPr>
          <w:rFonts w:ascii="PT Astra Serif" w:hAnsi="PT Astra Serif"/>
          <w:sz w:val="20"/>
          <w:szCs w:val="20"/>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2">
        <w:r>
          <w:rPr>
            <w:rStyle w:val="Style6"/>
            <w:rFonts w:ascii="PT Astra Serif" w:hAnsi="PT Astra Serif"/>
            <w:sz w:val="20"/>
            <w:szCs w:val="20"/>
          </w:rPr>
          <w:t>статьями 34</w:t>
        </w:r>
      </w:hyperlink>
      <w:r>
        <w:rPr>
          <w:rFonts w:ascii="PT Astra Serif" w:hAnsi="PT Astra Serif"/>
          <w:sz w:val="20"/>
          <w:szCs w:val="20"/>
        </w:rPr>
        <w:t xml:space="preserve"> и </w:t>
      </w:r>
      <w:hyperlink r:id="rId3">
        <w:r>
          <w:rPr>
            <w:rStyle w:val="Style6"/>
            <w:rFonts w:ascii="PT Astra Serif" w:hAnsi="PT Astra Serif"/>
            <w:sz w:val="20"/>
            <w:szCs w:val="20"/>
          </w:rPr>
          <w:t>95</w:t>
        </w:r>
      </w:hyperlink>
      <w:r>
        <w:rPr>
          <w:rFonts w:ascii="PT Astra Serif" w:hAnsi="PT Astra Serif"/>
          <w:sz w:val="20"/>
          <w:szCs w:val="20"/>
        </w:rPr>
        <w:t xml:space="preserve"> Закона N 44-ФЗ.</w:t>
      </w:r>
    </w:p>
    <w:p>
      <w:pPr>
        <w:pStyle w:val="ConsPlusNormal1"/>
        <w:ind w:firstLine="540" w:left="0" w:right="0"/>
        <w:jc w:val="both"/>
        <w:rPr>
          <w:rFonts w:ascii="PT Astra Serif" w:hAnsi="PT Astra Serif"/>
          <w:sz w:val="20"/>
          <w:szCs w:val="20"/>
        </w:rPr>
      </w:pPr>
      <w:bookmarkStart w:id="2" w:name="P64"/>
      <w:bookmarkEnd w:id="2"/>
      <w:r>
        <w:rPr>
          <w:rFonts w:ascii="PT Astra Serif" w:hAnsi="PT Astra Serif"/>
          <w:sz w:val="20"/>
          <w:szCs w:val="20"/>
        </w:rPr>
        <w:t xml:space="preserve">2.3.   Источник финансирования Контракта бюджет МО «Цильнинский район» </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2.4.  Оплата поставленного Товара производится в течение 10 (десять) рабочих дней с даты подписания Заказчиком  документа о приемке. </w:t>
      </w:r>
    </w:p>
    <w:p>
      <w:pPr>
        <w:pStyle w:val="ConsPlusNormal1"/>
        <w:ind w:firstLine="540" w:left="0" w:right="0"/>
        <w:jc w:val="both"/>
        <w:rPr/>
      </w:pPr>
      <w:bookmarkStart w:id="3" w:name="P79"/>
      <w:bookmarkEnd w:id="3"/>
      <w:r>
        <w:rPr>
          <w:rFonts w:ascii="PT Astra Serif" w:hAnsi="PT Astra Serif"/>
          <w:sz w:val="20"/>
          <w:szCs w:val="20"/>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hyperlink w:anchor="P661">
        <w:r>
          <w:rPr>
            <w:rStyle w:val="Style6"/>
            <w:rFonts w:ascii="PT Astra Serif" w:hAnsi="PT Astra Serif"/>
            <w:sz w:val="20"/>
            <w:szCs w:val="20"/>
          </w:rPr>
          <w:t xml:space="preserve">, в соответствии с разделом </w:t>
        </w:r>
      </w:hyperlink>
      <w:r>
        <w:rPr>
          <w:rFonts w:ascii="PT Astra Serif" w:hAnsi="PT Astra Serif"/>
          <w:sz w:val="20"/>
          <w:szCs w:val="20"/>
        </w:rPr>
        <w:t>15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2.6. Датой оплаты считается дата списания денежных средств со счета Заказчика, указанного в настоящем Контракте.</w:t>
      </w:r>
    </w:p>
    <w:p>
      <w:pPr>
        <w:pStyle w:val="ConsPlusNormal1"/>
        <w:ind w:firstLine="540" w:left="0" w:right="0"/>
        <w:jc w:val="both"/>
        <w:rPr>
          <w:rFonts w:ascii="PT Astra Serif" w:hAnsi="PT Astra Serif"/>
          <w:sz w:val="20"/>
          <w:szCs w:val="20"/>
        </w:rPr>
      </w:pPr>
      <w:r>
        <w:rPr>
          <w:rFonts w:ascii="PT Astra Serif" w:hAnsi="PT Astra Serif"/>
          <w:sz w:val="20"/>
          <w:szCs w:val="20"/>
        </w:rPr>
        <w:t>2.7.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tabs>
          <w:tab w:val="clear" w:pos="708"/>
          <w:tab w:val="left" w:pos="567" w:leader="none"/>
          <w:tab w:val="left" w:pos="851" w:leader="none"/>
          <w:tab w:val="left" w:pos="993" w:leader="none"/>
          <w:tab w:val="left" w:pos="1080" w:leader="none"/>
          <w:tab w:val="left" w:pos="1134" w:leader="none"/>
          <w:tab w:val="left" w:pos="1276" w:leader="none"/>
        </w:tabs>
        <w:spacing w:lineRule="auto" w:line="240" w:before="0" w:after="0"/>
        <w:ind w:firstLine="567" w:left="0" w:right="0"/>
        <w:jc w:val="both"/>
        <w:rPr>
          <w:rFonts w:ascii="PT Astra Serif" w:hAnsi="PT Astra Serif"/>
          <w:sz w:val="20"/>
          <w:szCs w:val="20"/>
        </w:rPr>
      </w:pPr>
      <w:bookmarkStart w:id="4" w:name="P81"/>
      <w:bookmarkEnd w:id="4"/>
      <w:r>
        <w:rPr>
          <w:rFonts w:ascii="PT Astra Serif" w:hAnsi="PT Astra Serif"/>
          <w:sz w:val="20"/>
          <w:szCs w:val="20"/>
        </w:rPr>
        <w:t>2.8. 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объема поставляемого товара</w:t>
      </w:r>
      <w:r>
        <w:rPr>
          <w:rStyle w:val="FootnoteReference"/>
          <w:rFonts w:ascii="PT Astra Serif" w:hAnsi="PT Astra Serif"/>
          <w:sz w:val="20"/>
          <w:szCs w:val="20"/>
        </w:rPr>
        <w:footnoteReference w:id="3"/>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3. ПОРЯДОК, СРОКИ И УСЛОВИЯ ПОСТАВКИ И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3.1. Товар Заказчику/Получателю</w:t>
      </w:r>
      <w:r>
        <w:rPr>
          <w:rStyle w:val="FootnoteReference"/>
          <w:rFonts w:ascii="PT Astra Serif" w:hAnsi="PT Astra Serif"/>
          <w:sz w:val="20"/>
          <w:szCs w:val="20"/>
        </w:rPr>
        <w:footnoteReference w:id="4"/>
      </w:r>
      <w:r>
        <w:rPr>
          <w:rFonts w:ascii="PT Astra Serif" w:hAnsi="PT Astra Serif"/>
          <w:sz w:val="20"/>
          <w:szCs w:val="20"/>
        </w:rPr>
        <w:t xml:space="preserve">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pPr>
        <w:pStyle w:val="Normal"/>
        <w:spacing w:lineRule="auto" w:line="240"/>
        <w:ind w:firstLine="540" w:left="0" w:right="0"/>
        <w:jc w:val="both"/>
        <w:textAlignment w:val="baseline"/>
        <w:rPr>
          <w:rFonts w:ascii="PT Astra Serif" w:hAnsi="PT Astra Serif"/>
          <w:sz w:val="20"/>
          <w:szCs w:val="20"/>
        </w:rPr>
      </w:pPr>
      <w:r>
        <w:rPr>
          <w:rFonts w:ascii="PT Astra Serif" w:hAnsi="PT Astra Serif"/>
          <w:b/>
          <w:bCs/>
          <w:sz w:val="20"/>
          <w:szCs w:val="20"/>
        </w:rPr>
        <w:t>Поставка Товара по Заявкам осуществляется в течение 2 (двух) рабочих дней со дня отправки Заявки Заказчиком, с 7:00 до 11:00 ч.,</w:t>
      </w:r>
    </w:p>
    <w:p>
      <w:pPr>
        <w:pStyle w:val="Normal"/>
        <w:spacing w:lineRule="auto" w:line="240"/>
        <w:ind w:firstLine="540" w:left="0" w:right="0"/>
        <w:jc w:val="both"/>
        <w:textAlignment w:val="baseline"/>
        <w:rPr>
          <w:rFonts w:ascii="PT Astra Serif" w:hAnsi="PT Astra Serif"/>
          <w:sz w:val="20"/>
          <w:szCs w:val="20"/>
        </w:rPr>
      </w:pPr>
      <w:r>
        <w:rPr>
          <w:rFonts w:ascii="PT Astra Serif" w:hAnsi="PT Astra Serif"/>
          <w:b/>
          <w:bCs/>
          <w:sz w:val="20"/>
          <w:szCs w:val="20"/>
        </w:rPr>
        <w:t xml:space="preserve">Срок поставки товара:   с 1 сентября  2026 г  по 31 декабря    2026 года </w:t>
      </w:r>
    </w:p>
    <w:p>
      <w:pPr>
        <w:pStyle w:val="16"/>
        <w:shd w:val="clear" w:fill="FFFFFF"/>
        <w:spacing w:before="0" w:after="0"/>
        <w:ind w:firstLine="540" w:left="0" w:right="0"/>
        <w:contextualSpacing/>
        <w:jc w:val="both"/>
        <w:textAlignment w:val="baseline"/>
        <w:rPr/>
      </w:pPr>
      <w:r>
        <w:rPr>
          <w:rStyle w:val="31"/>
          <w:rFonts w:eastAsia="PT Astra Serif" w:cs="PT Astra Serif" w:ascii="PT Astra Serif" w:hAnsi="PT Astra Serif"/>
          <w:color w:val="000000"/>
          <w:sz w:val="20"/>
          <w:szCs w:val="20"/>
        </w:rPr>
        <w:t>Информация о сроках исполнения контракта (определены с учетом положений ст. 94 Закона №44-ФЗ и письма Минфина России от 12.05.2022 № 24-06-07/43394):</w:t>
      </w:r>
    </w:p>
    <w:p>
      <w:pPr>
        <w:pStyle w:val="ConsPlusNormal1"/>
        <w:ind w:firstLine="540" w:left="0" w:right="0"/>
        <w:jc w:val="both"/>
        <w:rPr>
          <w:rFonts w:ascii="PT Astra Serif" w:hAnsi="PT Astra Serif"/>
          <w:sz w:val="20"/>
          <w:szCs w:val="20"/>
        </w:rPr>
      </w:pPr>
      <w:r>
        <w:rPr>
          <w:rFonts w:ascii="PT Astra Serif" w:hAnsi="PT Astra Serif"/>
          <w:sz w:val="20"/>
          <w:szCs w:val="20"/>
        </w:rPr>
        <w:t>3.2. Поставка Товара по Заявке Поставщиком осуществляется по адресу:</w:t>
      </w:r>
    </w:p>
    <w:p>
      <w:pPr>
        <w:pStyle w:val="Normal"/>
        <w:widowControl w:val="false"/>
        <w:tabs>
          <w:tab w:val="clear" w:pos="708"/>
          <w:tab w:val="left" w:pos="1440" w:leader="none"/>
          <w:tab w:val="left" w:pos="5228" w:leader="none"/>
        </w:tabs>
        <w:spacing w:lineRule="auto" w:line="240" w:before="0" w:after="0"/>
        <w:jc w:val="both"/>
        <w:rPr>
          <w:rFonts w:ascii="Times New Roman" w:hAnsi="Times New Roman"/>
          <w:sz w:val="18"/>
          <w:szCs w:val="18"/>
        </w:rPr>
      </w:pPr>
      <w:r>
        <w:rPr>
          <w:rFonts w:ascii="Times New Roman" w:hAnsi="Times New Roman"/>
          <w:bCs/>
          <w:sz w:val="18"/>
          <w:szCs w:val="18"/>
          <w:shd w:fill="FFFFFF" w:val="clear"/>
        </w:rPr>
        <w:t>У</w:t>
      </w:r>
      <w:r>
        <w:rPr>
          <w:rFonts w:ascii="Times New Roman" w:hAnsi="Times New Roman"/>
          <w:b/>
          <w:bCs/>
          <w:sz w:val="18"/>
          <w:szCs w:val="18"/>
          <w:shd w:fill="FFFFFF" w:val="clear"/>
        </w:rPr>
        <w:t>льяновская область, Цильнинский район, село  Новое Никулино,  улица  Школьная, дом 1А</w:t>
      </w:r>
    </w:p>
    <w:p>
      <w:pPr>
        <w:pStyle w:val="Normal"/>
        <w:widowControl w:val="false"/>
        <w:tabs>
          <w:tab w:val="clear" w:pos="708"/>
          <w:tab w:val="left" w:pos="1440" w:leader="none"/>
          <w:tab w:val="left" w:pos="5228" w:leader="none"/>
        </w:tabs>
        <w:overflowPunct w:val="false"/>
        <w:spacing w:lineRule="auto" w:line="240" w:before="0" w:after="0"/>
        <w:contextualSpacing/>
        <w:jc w:val="both"/>
        <w:textAlignment w:val="baseline"/>
        <w:rPr>
          <w:rFonts w:ascii="Times New Roman" w:hAnsi="Times New Roman"/>
          <w:sz w:val="18"/>
          <w:szCs w:val="18"/>
        </w:rPr>
      </w:pPr>
      <w:r>
        <w:rPr>
          <w:rFonts w:eastAsia="Times New Roman" w:cs="Times New Roman" w:ascii="Times New Roman" w:hAnsi="Times New Roman"/>
          <w:b/>
          <w:bCs/>
          <w:kern w:val="2"/>
          <w:sz w:val="18"/>
          <w:szCs w:val="18"/>
          <w:highlight w:val="white"/>
          <w:shd w:fill="FFFFFF" w:val="clear"/>
          <w:lang w:val="ru-RU" w:eastAsia="ru-RU"/>
        </w:rPr>
        <w:t>Ульяновская область, Цильнинский район, село  Новое Никулино, улица  Школьная, дом 3</w:t>
      </w:r>
    </w:p>
    <w:p>
      <w:pPr>
        <w:pStyle w:val="ConsPlusNormal1"/>
        <w:ind w:firstLine="539" w:left="0" w:right="0"/>
        <w:jc w:val="both"/>
        <w:rPr/>
      </w:pPr>
      <w:r>
        <w:rPr>
          <w:rFonts w:ascii="PT Astra Serif" w:hAnsi="PT Astra Serif"/>
          <w:sz w:val="20"/>
          <w:szCs w:val="20"/>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4">
        <w:r>
          <w:rPr>
            <w:rStyle w:val="Style6"/>
            <w:rFonts w:ascii="PT Astra Serif" w:hAnsi="PT Astra Serif"/>
            <w:sz w:val="20"/>
            <w:szCs w:val="20"/>
          </w:rPr>
          <w:t>форме N ТОРГ-12</w:t>
        </w:r>
      </w:hyperlink>
      <w:r>
        <w:rPr>
          <w:rFonts w:ascii="PT Astra Serif" w:hAnsi="PT Astra Serif"/>
          <w:sz w:val="20"/>
          <w:szCs w:val="20"/>
        </w:rPr>
        <w:t xml:space="preserve">  (УПД) в 2 (двух) экземплярах (по 1 (одному) экземпляру для каждой из Сторон) и счет.</w:t>
      </w:r>
    </w:p>
    <w:p>
      <w:pPr>
        <w:pStyle w:val="ConsPlusNormal1"/>
        <w:ind w:firstLine="540" w:left="0" w:right="0"/>
        <w:jc w:val="both"/>
        <w:rPr/>
      </w:pPr>
      <w:r>
        <w:rPr>
          <w:rFonts w:ascii="PT Astra Serif" w:hAnsi="PT Astra Serif"/>
          <w:sz w:val="20"/>
          <w:szCs w:val="20"/>
        </w:rPr>
        <w:t xml:space="preserve">Вместе с товарной накладной по </w:t>
      </w:r>
      <w:hyperlink r:id="rId5">
        <w:r>
          <w:rPr>
            <w:rStyle w:val="Style6"/>
            <w:rFonts w:ascii="PT Astra Serif" w:hAnsi="PT Astra Serif"/>
            <w:sz w:val="20"/>
            <w:szCs w:val="20"/>
          </w:rPr>
          <w:t>форме N ТОРГ-12</w:t>
        </w:r>
      </w:hyperlink>
      <w:r>
        <w:rPr>
          <w:rFonts w:ascii="PT Astra Serif" w:hAnsi="PT Astra Serif"/>
          <w:sz w:val="20"/>
          <w:szCs w:val="20"/>
        </w:rPr>
        <w:t xml:space="preserve"> Поставщик предоставляет счет-фактуру в соответствии с налоговым законодательством Российской Федерации.</w:t>
      </w:r>
    </w:p>
    <w:p>
      <w:pPr>
        <w:pStyle w:val="ConsPlusNormal1"/>
        <w:ind w:firstLine="539" w:left="0" w:right="0"/>
        <w:jc w:val="both"/>
        <w:rPr>
          <w:rFonts w:ascii="PT Astra Serif" w:hAnsi="PT Astra Serif"/>
          <w:sz w:val="20"/>
          <w:szCs w:val="20"/>
        </w:rPr>
      </w:pPr>
      <w:r>
        <w:rPr>
          <w:rFonts w:ascii="PT Astra Serif" w:hAnsi="PT Astra Serif"/>
          <w:sz w:val="20"/>
          <w:szCs w:val="20"/>
        </w:rPr>
        <w:t>В день доставки Заказчик осуществляет приемку Товара по количеству упаковок Товара, комплекту, явным видимым повреждениям упаковки и качеству Товара.</w:t>
      </w:r>
    </w:p>
    <w:p>
      <w:pPr>
        <w:pStyle w:val="ConsPlusNormal1"/>
        <w:ind w:firstLine="540" w:left="0" w:right="0"/>
        <w:jc w:val="both"/>
        <w:rPr/>
      </w:pPr>
      <w:r>
        <w:rPr>
          <w:rFonts w:ascii="PT Astra Serif" w:hAnsi="PT Astra Serif"/>
          <w:bCs/>
          <w:sz w:val="20"/>
          <w:szCs w:val="20"/>
        </w:rPr>
        <w:t>К документу о приемке могут прилагаться документы, которые считаются его неотъемлемой частью (</w:t>
      </w:r>
      <w:r>
        <w:rPr>
          <w:rFonts w:ascii="PT Astra Serif" w:hAnsi="PT Astra Serif"/>
          <w:sz w:val="20"/>
          <w:szCs w:val="20"/>
        </w:rPr>
        <w:t xml:space="preserve">товарная накладная по </w:t>
      </w:r>
      <w:hyperlink r:id="rId6">
        <w:r>
          <w:rPr>
            <w:rStyle w:val="Style6"/>
            <w:rFonts w:ascii="PT Astra Serif" w:hAnsi="PT Astra Serif"/>
            <w:sz w:val="20"/>
            <w:szCs w:val="20"/>
          </w:rPr>
          <w:t>форме N ТОРГ-12</w:t>
        </w:r>
      </w:hyperlink>
      <w:r>
        <w:rPr>
          <w:rFonts w:ascii="PT Astra Serif" w:hAnsi="PT Astra Serif"/>
          <w:sz w:val="20"/>
          <w:szCs w:val="20"/>
        </w:rPr>
        <w:t xml:space="preserve"> счет-фактура/Акта сдачи-приемки Товара </w:t>
      </w:r>
      <w:r>
        <w:rPr>
          <w:rFonts w:ascii="PT Astra Serif" w:hAnsi="PT Astra Serif"/>
          <w:bCs/>
          <w:sz w:val="20"/>
          <w:szCs w:val="20"/>
        </w:rPr>
        <w:t>.</w:t>
      </w:r>
    </w:p>
    <w:p>
      <w:pPr>
        <w:pStyle w:val="ConsPlusNormal1"/>
        <w:ind w:firstLine="540" w:left="0" w:right="0"/>
        <w:jc w:val="both"/>
        <w:rPr/>
      </w:pPr>
      <w:r>
        <w:rPr>
          <w:rFonts w:ascii="PT Astra Serif" w:hAnsi="PT Astra Serif"/>
          <w:sz w:val="20"/>
          <w:szCs w:val="20"/>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7">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ind w:firstLine="540" w:left="0" w:right="0"/>
        <w:jc w:val="both"/>
        <w:rPr/>
      </w:pPr>
      <w:r>
        <w:rPr>
          <w:rFonts w:ascii="PT Astra Serif" w:hAnsi="PT Astra Serif"/>
          <w:sz w:val="20"/>
          <w:szCs w:val="20"/>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8">
        <w:r>
          <w:rPr>
            <w:rStyle w:val="Style6"/>
            <w:rFonts w:ascii="PT Astra Serif" w:hAnsi="PT Astra Serif"/>
            <w:sz w:val="20"/>
            <w:szCs w:val="20"/>
          </w:rPr>
          <w:t>Законом</w:t>
        </w:r>
      </w:hyperlink>
      <w:r>
        <w:rPr>
          <w:rFonts w:ascii="PT Astra Serif" w:hAnsi="PT Astra Serif"/>
          <w:sz w:val="20"/>
          <w:szCs w:val="20"/>
        </w:rPr>
        <w:t xml:space="preserve"> N 44-ФЗ, не реже 3 раз в течение срока действия Контракта, указанного в </w:t>
      </w:r>
      <w:hyperlink w:anchor="P275">
        <w:r>
          <w:rPr>
            <w:rStyle w:val="Style6"/>
            <w:rFonts w:ascii="PT Astra Serif" w:hAnsi="PT Astra Serif"/>
            <w:sz w:val="20"/>
            <w:szCs w:val="20"/>
          </w:rPr>
          <w:t>пункте 12.1</w:t>
        </w:r>
      </w:hyperlink>
      <w:r>
        <w:rPr>
          <w:rFonts w:ascii="PT Astra Serif" w:hAnsi="PT Astra Serif"/>
          <w:sz w:val="20"/>
          <w:szCs w:val="20"/>
        </w:rPr>
        <w:t xml:space="preserve"> настоящего Контракта проводятся исследования Товара на предмет качества и безопасности, в том числе фальсификации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 вправе для проведения экспертизы Товара осуществлять выборочную проверку качества и безопасности Товара до 0,3процентов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Заказчику/Получателю.</w:t>
      </w:r>
    </w:p>
    <w:p>
      <w:pPr>
        <w:pStyle w:val="ConsPlusNormal1"/>
        <w:ind w:firstLine="540" w:left="0" w:right="0"/>
        <w:jc w:val="both"/>
        <w:rPr>
          <w:rFonts w:ascii="PT Astra Serif" w:hAnsi="PT Astra Serif"/>
          <w:sz w:val="20"/>
          <w:szCs w:val="20"/>
        </w:rPr>
      </w:pPr>
      <w:r>
        <w:rPr>
          <w:rFonts w:ascii="PT Astra Serif" w:hAnsi="PT Astra Serif"/>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на период проведения экспертизы находится у Заказчика/Получателя на ответственном хранении.</w:t>
      </w:r>
    </w:p>
    <w:p>
      <w:pPr>
        <w:pStyle w:val="ConsPlusNormal1"/>
        <w:ind w:firstLine="540" w:left="0" w:right="0"/>
        <w:jc w:val="both"/>
        <w:rPr>
          <w:rFonts w:ascii="PT Astra Serif" w:hAnsi="PT Astra Serif"/>
          <w:sz w:val="20"/>
          <w:szCs w:val="20"/>
        </w:rPr>
      </w:pPr>
      <w:r>
        <w:rPr>
          <w:rFonts w:ascii="PT Astra Serif" w:hAnsi="PT Astra Serif"/>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pPr>
        <w:pStyle w:val="ConsPlusNormal1"/>
        <w:ind w:firstLine="539" w:left="0" w:right="0"/>
        <w:jc w:val="both"/>
        <w:rPr>
          <w:rFonts w:ascii="PT Astra Serif" w:hAnsi="PT Astra Serif"/>
          <w:sz w:val="20"/>
          <w:szCs w:val="20"/>
        </w:rPr>
      </w:pP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39" w:left="0" w:right="0"/>
        <w:jc w:val="both"/>
        <w:rPr>
          <w:rFonts w:ascii="PT Astra Serif" w:hAnsi="PT Astra Serif"/>
          <w:sz w:val="20"/>
          <w:szCs w:val="20"/>
        </w:rPr>
      </w:pPr>
      <w:r>
        <w:rPr>
          <w:rFonts w:ascii="PT Astra Serif" w:hAnsi="PT Astra Serif"/>
          <w:sz w:val="20"/>
          <w:szCs w:val="20"/>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электронный документ о приемке.</w:t>
      </w:r>
    </w:p>
    <w:p>
      <w:pPr>
        <w:pStyle w:val="Normal"/>
        <w:widowControl w:val="false"/>
        <w:tabs>
          <w:tab w:val="clear" w:pos="708"/>
          <w:tab w:val="left" w:pos="2013" w:leader="none"/>
          <w:tab w:val="left" w:pos="4980" w:leader="none"/>
        </w:tabs>
        <w:spacing w:lineRule="auto" w:line="240" w:before="0" w:after="0"/>
        <w:rPr>
          <w:rFonts w:ascii="PT Astra Serif" w:hAnsi="PT Astra Serif"/>
          <w:sz w:val="20"/>
          <w:szCs w:val="20"/>
        </w:rPr>
      </w:pPr>
      <w:r>
        <w:rPr>
          <w:rFonts w:eastAsia="Calibri" w:ascii="PT Astra Serif" w:hAnsi="PT Astra Serif"/>
          <w:sz w:val="20"/>
          <w:szCs w:val="20"/>
          <w:lang w:eastAsia="en-US"/>
        </w:rPr>
        <w:t xml:space="preserve">   </w:t>
      </w: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ConsPlusNormal1"/>
        <w:ind w:firstLine="540" w:left="0" w:right="0"/>
        <w:jc w:val="both"/>
        <w:rPr/>
      </w:pPr>
      <w:r>
        <w:rPr>
          <w:rFonts w:ascii="PT Astra Serif" w:hAnsi="PT Astra Serif"/>
          <w:sz w:val="20"/>
          <w:szCs w:val="20"/>
        </w:rPr>
        <w:t xml:space="preserve">В день доставки, при обнаружении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обнаружения указанных нарушений Заказчиком. Допоставка недопоставленного, доукомплектование или замена некачественного Товара оформляется соответствующей товарной накладной по </w:t>
      </w:r>
      <w:hyperlink r:id="rId9">
        <w:r>
          <w:rPr>
            <w:rStyle w:val="Style6"/>
            <w:rFonts w:ascii="PT Astra Serif" w:hAnsi="PT Astra Serif"/>
            <w:sz w:val="20"/>
            <w:szCs w:val="20"/>
          </w:rPr>
          <w:t>форме N ТОРГ-12</w:t>
        </w:r>
      </w:hyperlink>
      <w:r>
        <w:rPr>
          <w:rFonts w:ascii="PT Astra Serif" w:hAnsi="PT Astra Serif"/>
          <w:sz w:val="20"/>
          <w:szCs w:val="20"/>
        </w:rPr>
        <w:t xml:space="preserve">. </w:t>
      </w:r>
    </w:p>
    <w:p>
      <w:pPr>
        <w:pStyle w:val="Normal"/>
        <w:widowControl w:val="false"/>
        <w:tabs>
          <w:tab w:val="clear" w:pos="708"/>
          <w:tab w:val="left" w:pos="2013" w:leader="none"/>
          <w:tab w:val="left" w:pos="498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В случае получения Поставщиком мотивированного отказа от  подписания  документа о приемке  Поставщик вправе устранить причины, указанные в мотивированном отказе и направить Заказчику   документ о приемке. При этом все расходы, связанные с устранением таких причин, возлагаются на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bCs/>
          <w:color w:val="000000"/>
          <w:sz w:val="20"/>
          <w:szCs w:val="20"/>
        </w:rPr>
        <w:t>Датой приемки поставленного товара считается дата подписания  документа о приемки  Заказчиком.</w:t>
      </w:r>
    </w:p>
    <w:p>
      <w:pPr>
        <w:pStyle w:val="ConsPlusNormal1"/>
        <w:ind w:firstLine="540" w:left="0" w:right="0"/>
        <w:jc w:val="both"/>
        <w:rPr>
          <w:rFonts w:ascii="PT Astra Serif" w:hAnsi="PT Astra Serif"/>
          <w:sz w:val="20"/>
          <w:szCs w:val="20"/>
        </w:rPr>
      </w:pPr>
      <w:bookmarkStart w:id="5" w:name="P126"/>
      <w:bookmarkEnd w:id="5"/>
      <w:r>
        <w:rPr>
          <w:rFonts w:ascii="PT Astra Serif" w:hAnsi="PT Astra Serif"/>
          <w:sz w:val="20"/>
          <w:szCs w:val="20"/>
        </w:rPr>
        <w:t xml:space="preserve">3.4. </w:t>
      </w:r>
      <w:r>
        <w:rPr>
          <w:rFonts w:ascii="PT Astra Serif" w:hAnsi="PT Astra Serif"/>
          <w:color w:val="000000"/>
          <w:sz w:val="20"/>
          <w:szCs w:val="20"/>
        </w:rPr>
        <w:t>Право собственности на Товар, риск утраты, случайной гибели или повреждения Товара переходят от Поставщика к Заказчику/Получателю с даты подписания Заказчиком электронного документа о приемке.</w:t>
      </w:r>
    </w:p>
    <w:p>
      <w:pPr>
        <w:pStyle w:val="ConsPlusNormal1"/>
        <w:ind w:firstLine="540" w:left="0" w:right="0"/>
        <w:jc w:val="both"/>
        <w:rPr>
          <w:rFonts w:ascii="PT Astra Serif" w:hAnsi="PT Astra Serif"/>
          <w:sz w:val="20"/>
          <w:szCs w:val="20"/>
        </w:rPr>
      </w:pPr>
      <w:r>
        <w:rPr>
          <w:rFonts w:ascii="PT Astra Serif" w:hAnsi="PT Astra Serif"/>
          <w:sz w:val="20"/>
          <w:szCs w:val="20"/>
        </w:rPr>
        <w:t>3.5. Поставщик обязан одновременно с передачей Товара передать Заказчику/Получателю относящиеся к нему документы, предусмотренные законодательством Российской Федерации, производителем Товара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3.6. Сдача и приемка Товара осуществляются уполномоченными представителями Сторон.</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4. ВЗАИМОДЕЙСТВИЕ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4.1. Поставщик обязан: </w:t>
      </w:r>
    </w:p>
    <w:p>
      <w:pPr>
        <w:pStyle w:val="ConsPlusNormal1"/>
        <w:ind w:firstLine="540" w:left="0" w:right="0"/>
        <w:jc w:val="both"/>
        <w:rPr>
          <w:rFonts w:ascii="PT Astra Serif" w:hAnsi="PT Astra Serif"/>
          <w:sz w:val="20"/>
          <w:szCs w:val="20"/>
        </w:rPr>
      </w:pPr>
      <w:r>
        <w:rPr>
          <w:rFonts w:ascii="PT Astra Serif" w:hAnsi="PT Astra Serif"/>
          <w:sz w:val="20"/>
          <w:szCs w:val="20"/>
        </w:rPr>
        <w:t>4.1.1. Поставить Товар в порядке, количестве, в срок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4.1.4.</w:t>
      </w:r>
      <w:r>
        <w:rPr>
          <w:rFonts w:ascii="PT Astra Serif" w:hAnsi="PT Astra Serif"/>
          <w:color w:val="000000"/>
          <w:sz w:val="20"/>
          <w:szCs w:val="20"/>
        </w:rPr>
        <w:t xml:space="preserve"> В случае принятия решения об одностороннем отказе от исполнения настоящего Контракта, Поставщик формирует решение об одностороннем отказе от исполнения контракта и направляет его Поставщику .</w:t>
      </w:r>
    </w:p>
    <w:p>
      <w:pPr>
        <w:pStyle w:val="Normal"/>
        <w:spacing w:lineRule="auto" w:line="240" w:before="0" w:after="0"/>
        <w:ind w:firstLine="540" w:left="0" w:right="0"/>
        <w:rPr/>
      </w:pPr>
      <w:r>
        <w:rPr>
          <w:rFonts w:eastAsia="Calibri" w:ascii="PT Astra Serif" w:hAnsi="PT Astra Serif"/>
          <w:color w:val="000000"/>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color w:val="000000"/>
            <w:sz w:val="20"/>
            <w:szCs w:val="20"/>
            <w:lang w:eastAsia="en-US"/>
          </w:rPr>
          <w:t>пунктом 2</w:t>
        </w:r>
      </w:hyperlink>
      <w:r>
        <w:rPr>
          <w:rFonts w:eastAsia="Calibri" w:ascii="PT Astra Serif" w:hAnsi="PT Astra Serif"/>
          <w:color w:val="000000"/>
          <w:sz w:val="20"/>
          <w:szCs w:val="20"/>
          <w:lang w:eastAsia="en-US"/>
        </w:rPr>
        <w:t xml:space="preserve"> части 20.1 статьи 95 Закона № 44-ФЗ считается  надлежащим уведомлением Заказчика об одностороннем отказе от исполнения контракта.</w:t>
      </w:r>
    </w:p>
    <w:p>
      <w:pPr>
        <w:pStyle w:val="ConsPlusNormal1"/>
        <w:ind w:firstLine="540" w:left="0" w:right="0"/>
        <w:jc w:val="both"/>
        <w:rPr>
          <w:rFonts w:ascii="PT Astra Serif" w:hAnsi="PT Astra Serif"/>
          <w:sz w:val="20"/>
          <w:szCs w:val="20"/>
        </w:rPr>
      </w:pPr>
      <w:r>
        <w:rPr>
          <w:rFonts w:ascii="PT Astra Serif" w:hAnsi="PT Astra Serif"/>
          <w:color w:val="000000"/>
          <w:sz w:val="20"/>
          <w:szCs w:val="20"/>
        </w:rPr>
        <w:t>4.1.</w:t>
      </w:r>
      <w:r>
        <w:rPr>
          <w:rFonts w:ascii="PT Astra Serif" w:hAnsi="PT Astra Serif"/>
          <w:sz w:val="20"/>
          <w:szCs w:val="20"/>
        </w:rPr>
        <w:t>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pPr>
        <w:pStyle w:val="ConsPlusNormal1"/>
        <w:ind w:firstLine="540" w:left="0" w:right="0"/>
        <w:jc w:val="both"/>
        <w:rPr/>
      </w:pPr>
      <w:bookmarkStart w:id="6" w:name="P146"/>
      <w:bookmarkEnd w:id="6"/>
      <w:r>
        <w:rPr>
          <w:rFonts w:ascii="PT Astra Serif" w:hAnsi="PT Astra Serif"/>
          <w:sz w:val="20"/>
          <w:szCs w:val="20"/>
        </w:rPr>
        <w:t xml:space="preserve">4.1.6. Поставщик обязан оформлять электронные документы, товарные накладные по </w:t>
      </w:r>
      <w:hyperlink r:id="rId10">
        <w:r>
          <w:rPr>
            <w:rStyle w:val="Style6"/>
            <w:rFonts w:ascii="PT Astra Serif" w:hAnsi="PT Astra Serif"/>
            <w:sz w:val="20"/>
            <w:szCs w:val="20"/>
          </w:rPr>
          <w:t>форме N ТОРГ-12</w:t>
        </w:r>
      </w:hyperlink>
      <w:r>
        <w:rPr>
          <w:rFonts w:ascii="PT Astra Serif" w:hAnsi="PT Astra Serif"/>
          <w:sz w:val="20"/>
          <w:szCs w:val="20"/>
        </w:rPr>
        <w:t>, счет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4.2. Поставщик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4.2.1. Требовать от Заказчика произвести приемку Товара в порядке и в сроки, предусмотренные настоящим Контрактом.</w:t>
      </w:r>
    </w:p>
    <w:p>
      <w:pPr>
        <w:pStyle w:val="ConsPlusNormal1"/>
        <w:ind w:firstLine="540" w:left="0" w:right="0"/>
        <w:jc w:val="both"/>
        <w:rPr>
          <w:rFonts w:ascii="PT Astra Serif" w:hAnsi="PT Astra Serif"/>
          <w:sz w:val="20"/>
          <w:szCs w:val="20"/>
        </w:rPr>
      </w:pPr>
      <w:bookmarkStart w:id="7" w:name="P163"/>
      <w:bookmarkEnd w:id="7"/>
      <w:r>
        <w:rPr>
          <w:rFonts w:ascii="PT Astra Serif" w:hAnsi="PT Astra Serif"/>
          <w:sz w:val="20"/>
          <w:szCs w:val="20"/>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pPr>
        <w:pStyle w:val="ConsPlusNormal1"/>
        <w:ind w:firstLine="540" w:left="0" w:right="0"/>
        <w:jc w:val="both"/>
        <w:rPr>
          <w:rFonts w:ascii="PT Astra Serif" w:hAnsi="PT Astra Serif"/>
          <w:sz w:val="20"/>
          <w:szCs w:val="20"/>
        </w:rPr>
      </w:pPr>
      <w:bookmarkStart w:id="8" w:name="P164"/>
      <w:bookmarkEnd w:id="8"/>
      <w:r>
        <w:rPr>
          <w:rFonts w:ascii="PT Astra Serif" w:hAnsi="PT Astra Serif"/>
          <w:sz w:val="20"/>
          <w:szCs w:val="20"/>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4.2.4. Требовать возмещения убытков, уплаты неустоек (штрафов, пеней)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4.3. Заказчик обязуется:</w:t>
      </w:r>
    </w:p>
    <w:p>
      <w:pPr>
        <w:pStyle w:val="ConsPlusNormal1"/>
        <w:ind w:firstLine="540" w:left="0" w:right="0"/>
        <w:jc w:val="both"/>
        <w:rPr>
          <w:rFonts w:ascii="PT Astra Serif" w:hAnsi="PT Astra Serif"/>
          <w:sz w:val="20"/>
          <w:szCs w:val="20"/>
        </w:rPr>
      </w:pPr>
      <w:bookmarkStart w:id="9" w:name="P168"/>
      <w:bookmarkEnd w:id="9"/>
      <w:r>
        <w:rPr>
          <w:rFonts w:ascii="PT Astra Serif" w:hAnsi="PT Astra Serif"/>
          <w:sz w:val="20"/>
          <w:szCs w:val="20"/>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pPr>
        <w:pStyle w:val="Normal"/>
        <w:widowControl w:val="false"/>
        <w:tabs>
          <w:tab w:val="clear" w:pos="708"/>
          <w:tab w:val="left" w:pos="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(или) поставляемый товар не соответствуют установленным извещением об осуществлении закупки требованиям к участникам закупки (за исключением требования об отсутствии в реестре недобросовестных поставщиков (подрядчиков, исполнителей) информации о поставщике)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4.3.3. В случае принятия решения об одностороннем отказе от исполнения настоящего Контракта, Заказчик уведомляет  о своем решение Поставщика </w:t>
      </w:r>
    </w:p>
    <w:p>
      <w:pPr>
        <w:pStyle w:val="Normal"/>
        <w:spacing w:lineRule="auto" w:line="240" w:before="0" w:after="0"/>
        <w:ind w:firstLine="540" w:left="0" w:right="0"/>
        <w:jc w:val="both"/>
        <w:rPr>
          <w:rFonts w:ascii="PT Astra Serif" w:hAnsi="PT Astra Serif"/>
          <w:sz w:val="20"/>
          <w:szCs w:val="20"/>
        </w:rPr>
      </w:pPr>
      <w:r>
        <w:rPr>
          <w:rFonts w:ascii="PT Astra Serif" w:hAnsi="PT Astra Serif"/>
          <w:sz w:val="20"/>
          <w:szCs w:val="20"/>
        </w:rPr>
        <w:t>Д</w:t>
      </w:r>
      <w:bookmarkStart w:id="10" w:name="Par0"/>
      <w:bookmarkEnd w:id="10"/>
      <w:r>
        <w:rPr>
          <w:rFonts w:eastAsia="Calibri" w:ascii="PT Astra Serif" w:hAnsi="PT Astra Serif"/>
          <w:sz w:val="20"/>
          <w:szCs w:val="20"/>
          <w:lang w:eastAsia="en-US"/>
        </w:rPr>
        <w:t xml:space="preserve">атой поступления Поставщику  решения об одностороннем отказе от исполнения контракта считается дата получения Поставщиком уведомления </w:t>
      </w:r>
    </w:p>
    <w:p>
      <w:pPr>
        <w:pStyle w:val="Normal"/>
        <w:spacing w:lineRule="auto" w:line="240" w:before="0" w:after="0"/>
        <w:ind w:firstLine="540" w:left="0" w:right="0"/>
        <w:jc w:val="both"/>
        <w:rPr/>
      </w:pPr>
      <w:r>
        <w:rPr>
          <w:rFonts w:eastAsia="Calibri" w:ascii="PT Astra Serif" w:hAnsi="PT Astra Serif"/>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sz w:val="20"/>
            <w:szCs w:val="20"/>
            <w:lang w:eastAsia="en-US"/>
          </w:rPr>
          <w:t>пунктом 2</w:t>
        </w:r>
      </w:hyperlink>
      <w:r>
        <w:rPr>
          <w:rFonts w:eastAsia="Calibri" w:ascii="PT Astra Serif" w:hAnsi="PT Astra Serif"/>
          <w:sz w:val="20"/>
          <w:szCs w:val="20"/>
          <w:lang w:eastAsia="en-US"/>
        </w:rPr>
        <w:t xml:space="preserve"> части 12.1 статьи 95 Закона № 44-ФЗ считается  надлежащим уведомлением Поставщика об одностороннем отказе от исполнения контракта.</w:t>
      </w:r>
    </w:p>
    <w:p>
      <w:pPr>
        <w:pStyle w:val="ConsPlusNormal1"/>
        <w:ind w:firstLine="540" w:left="0" w:right="0"/>
        <w:jc w:val="both"/>
        <w:rPr/>
      </w:pPr>
      <w:r>
        <w:rPr>
          <w:rFonts w:ascii="PT Astra Serif" w:hAnsi="PT Astra Serif"/>
          <w:sz w:val="20"/>
          <w:szCs w:val="20"/>
        </w:rPr>
        <w:t xml:space="preserve">4.3.4. Требовать уплаты неустоек (штрафов, пеней) в соответствии с </w:t>
      </w:r>
      <w:hyperlink w:anchor="P211">
        <w:r>
          <w:rPr>
            <w:rStyle w:val="Style6"/>
            <w:rFonts w:ascii="PT Astra Serif" w:hAnsi="PT Astra Serif"/>
            <w:sz w:val="20"/>
            <w:szCs w:val="20"/>
          </w:rPr>
          <w:t>разделом VII</w:t>
        </w:r>
      </w:hyperlink>
      <w:r>
        <w:rPr>
          <w:rFonts w:ascii="PT Astra Serif" w:hAnsi="PT Astra Serif"/>
          <w:sz w:val="20"/>
          <w:szCs w:val="20"/>
        </w:rPr>
        <w:t xml:space="preserve"> настоящего Контракта.</w:t>
      </w:r>
    </w:p>
    <w:p>
      <w:pPr>
        <w:pStyle w:val="ConsPlusNormal1"/>
        <w:ind w:firstLine="540" w:left="0" w:right="0"/>
        <w:jc w:val="both"/>
        <w:rPr/>
      </w:pPr>
      <w:r>
        <w:rPr>
          <w:rFonts w:ascii="PT Astra Serif" w:hAnsi="PT Astra Serif"/>
          <w:sz w:val="20"/>
          <w:szCs w:val="20"/>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r>
          <w:rPr>
            <w:rStyle w:val="Style6"/>
            <w:rFonts w:ascii="PT Astra Serif" w:hAnsi="PT Astra Serif"/>
            <w:sz w:val="20"/>
            <w:szCs w:val="20"/>
          </w:rPr>
          <w:t>Законом</w:t>
        </w:r>
      </w:hyperlink>
      <w:r>
        <w:rPr>
          <w:rFonts w:ascii="PT Astra Serif" w:hAnsi="PT Astra Serif"/>
          <w:sz w:val="20"/>
          <w:szCs w:val="20"/>
        </w:rPr>
        <w:t xml:space="preserve"> N 44-ФЗ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4.4. Заказчик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4.4.1. Требовать от Поставщика надлежащего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4.4.2. Требовать от Поставщика своевременного устранения нарушений, выявленных как в ходе приемки, так и в течение срока годности.</w:t>
      </w:r>
    </w:p>
    <w:p>
      <w:pPr>
        <w:pStyle w:val="ConsPlusNormal1"/>
        <w:ind w:firstLine="540" w:left="0" w:right="0"/>
        <w:jc w:val="both"/>
        <w:rPr>
          <w:rFonts w:ascii="PT Astra Serif" w:hAnsi="PT Astra Serif"/>
          <w:sz w:val="20"/>
          <w:szCs w:val="20"/>
        </w:rPr>
      </w:pPr>
      <w:r>
        <w:rPr>
          <w:rFonts w:ascii="PT Astra Serif" w:hAnsi="PT Astra Serif"/>
          <w:sz w:val="20"/>
          <w:szCs w:val="20"/>
        </w:rPr>
        <w:t>4.4.3. Проверять ход и качество выполнения Поставщиком условий настоящего Контракта.</w:t>
      </w:r>
    </w:p>
    <w:p>
      <w:pPr>
        <w:pStyle w:val="ConsPlusNormal1"/>
        <w:ind w:firstLine="540" w:left="0" w:right="0"/>
        <w:jc w:val="both"/>
        <w:rPr/>
      </w:pPr>
      <w:r>
        <w:rPr>
          <w:rFonts w:ascii="PT Astra Serif" w:hAnsi="PT Astra Serif"/>
          <w:sz w:val="20"/>
          <w:szCs w:val="20"/>
        </w:rPr>
        <w:t xml:space="preserve">4.4.4. Требовать возмещения убытков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 причиненных по вине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4.4.5. Отказаться от приемки и оплаты Товара, не соответствующего условиям настоящего Контракта.</w:t>
      </w:r>
    </w:p>
    <w:p>
      <w:pPr>
        <w:pStyle w:val="ConsPlusNormal1"/>
        <w:ind w:firstLine="540" w:left="0" w:right="0"/>
        <w:jc w:val="both"/>
        <w:rPr>
          <w:rFonts w:ascii="PT Astra Serif" w:hAnsi="PT Astra Serif"/>
          <w:sz w:val="20"/>
          <w:szCs w:val="20"/>
        </w:rPr>
      </w:pPr>
      <w:bookmarkStart w:id="11" w:name="P180"/>
      <w:bookmarkEnd w:id="11"/>
      <w:r>
        <w:rPr>
          <w:rFonts w:ascii="PT Astra Serif" w:hAnsi="PT Astra Serif"/>
          <w:sz w:val="20"/>
          <w:szCs w:val="20"/>
        </w:rPr>
        <w:t>4.4.6.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5. УПАКОВКА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ConsPlusNormal1"/>
        <w:ind w:firstLine="540" w:left="0" w:right="0"/>
        <w:jc w:val="both"/>
        <w:rPr/>
      </w:pPr>
      <w:r>
        <w:rPr>
          <w:rFonts w:ascii="PT Astra Serif" w:hAnsi="PT Astra Serif"/>
          <w:sz w:val="20"/>
          <w:szCs w:val="20"/>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r>
          <w:rPr>
            <w:rStyle w:val="Style6"/>
            <w:rFonts w:ascii="PT Astra Serif" w:hAnsi="PT Astra Serif"/>
            <w:sz w:val="20"/>
            <w:szCs w:val="20"/>
          </w:rPr>
          <w:t xml:space="preserve">пунктом 3.3 раздела </w:t>
        </w:r>
      </w:hyperlink>
      <w:r>
        <w:rPr>
          <w:rFonts w:ascii="PT Astra Serif" w:hAnsi="PT Astra Serif"/>
          <w:sz w:val="20"/>
          <w:szCs w:val="20"/>
        </w:rPr>
        <w:t>3 настоящего Контракта. Такой Товар не засчитывается в счет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5.3. Поставщик несет ответственность перед Заказчиком за повреждение Товара вследствие его ненадлежащей упаковки.</w:t>
      </w:r>
    </w:p>
    <w:p>
      <w:pPr>
        <w:pStyle w:val="ConsPlusNormal1"/>
        <w:ind w:firstLine="540" w:left="0" w:right="0"/>
        <w:jc w:val="both"/>
        <w:rPr/>
      </w:pPr>
      <w:r>
        <w:rPr>
          <w:rFonts w:ascii="PT Astra Serif" w:hAnsi="PT Astra Serif"/>
          <w:sz w:val="20"/>
          <w:szCs w:val="20"/>
        </w:rPr>
        <w:t xml:space="preserve">5.4. На упаковке должна быть маркировка, содержащая информацию согласно </w:t>
      </w:r>
      <w:hyperlink r:id="rId13">
        <w:r>
          <w:rPr>
            <w:rStyle w:val="Style6"/>
            <w:rFonts w:ascii="PT Astra Serif" w:hAnsi="PT Astra Serif"/>
            <w:sz w:val="20"/>
            <w:szCs w:val="20"/>
          </w:rPr>
          <w:t>части 4.1 статьи 4</w:t>
        </w:r>
      </w:hyperlink>
      <w:r>
        <w:rPr>
          <w:rFonts w:ascii="PT Astra Serif" w:hAnsi="PT Astra Serif"/>
          <w:sz w:val="20"/>
          <w:szCs w:val="20"/>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w:t>
      </w:r>
      <w:hyperlink w:anchor="P704">
        <w:r>
          <w:rPr>
            <w:rStyle w:val="Style6"/>
            <w:rFonts w:ascii="PT Astra Serif" w:hAnsi="PT Astra Serif"/>
            <w:sz w:val="20"/>
            <w:szCs w:val="20"/>
          </w:rPr>
          <w:t>, а также информацию согласно иным техническим регламентам на отдельные виды Товара.</w:t>
        </w:r>
      </w:hyperlink>
    </w:p>
    <w:p>
      <w:pPr>
        <w:pStyle w:val="ConsPlusNormal1"/>
        <w:ind w:firstLine="540" w:left="0" w:right="0"/>
        <w:jc w:val="both"/>
        <w:rPr>
          <w:rFonts w:ascii="PT Astra Serif" w:hAnsi="PT Astra Serif"/>
          <w:sz w:val="20"/>
          <w:szCs w:val="20"/>
        </w:rPr>
      </w:pPr>
      <w:r>
        <w:rPr>
          <w:rFonts w:ascii="PT Astra Serif" w:hAnsi="PT Astra Serif"/>
          <w:sz w:val="20"/>
          <w:szCs w:val="20"/>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6. КАЧЕСТВО ТОВАРА, СРОК ГОДНОСТИ </w:t>
      </w:r>
    </w:p>
    <w:p>
      <w:pPr>
        <w:pStyle w:val="ConsPlusNormal1"/>
        <w:ind w:firstLine="540" w:left="0" w:right="0"/>
        <w:jc w:val="both"/>
        <w:rPr>
          <w:rFonts w:ascii="PT Astra Serif" w:hAnsi="PT Astra Serif"/>
          <w:sz w:val="20"/>
          <w:szCs w:val="20"/>
        </w:rPr>
      </w:pPr>
      <w:r>
        <w:rPr>
          <w:rFonts w:ascii="PT Astra Serif" w:hAnsi="PT Astra Serif"/>
          <w:sz w:val="20"/>
          <w:szCs w:val="20"/>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6.2. Товар не должен представлять опасности для жизни и здоровья граждан.</w:t>
      </w:r>
    </w:p>
    <w:p>
      <w:pPr>
        <w:pStyle w:val="ConsPlusNormal1"/>
        <w:ind w:firstLine="540" w:left="0" w:right="0"/>
        <w:jc w:val="both"/>
        <w:rPr>
          <w:rFonts w:ascii="PT Astra Serif" w:hAnsi="PT Astra Serif"/>
          <w:sz w:val="20"/>
          <w:szCs w:val="20"/>
        </w:rPr>
      </w:pPr>
      <w:r>
        <w:rPr>
          <w:rFonts w:ascii="PT Astra Serif" w:hAnsi="PT Astra Serif"/>
          <w:sz w:val="20"/>
          <w:szCs w:val="20"/>
        </w:rPr>
        <w:t>6.3. Товар должен быть пригодным для целей, для которых Товар такого рода обычно используется, и соответствовать условиям настоящего Контракта.</w:t>
      </w:r>
    </w:p>
    <w:p>
      <w:pPr>
        <w:pStyle w:val="ConsPlusNormal1"/>
        <w:ind w:firstLine="540" w:left="0" w:right="0"/>
        <w:jc w:val="both"/>
        <w:rPr/>
      </w:pPr>
      <w:r>
        <w:rPr>
          <w:rFonts w:ascii="PT Astra Serif" w:hAnsi="PT Astra Serif"/>
          <w:sz w:val="20"/>
          <w:szCs w:val="20"/>
        </w:rPr>
        <w:t>6.4. Остаточный срок годности Товара устанавливается Заказчиком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Заказчик/Получатель предъявляет претензии по качеству Товара в течение остаточного срока годности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дняс момента уведомления Заказчиком/Получателем Поставщика.</w:t>
      </w:r>
    </w:p>
    <w:p>
      <w:pPr>
        <w:pStyle w:val="ConsPlusNormal1"/>
        <w:ind w:firstLine="540" w:left="0" w:right="0"/>
        <w:jc w:val="both"/>
        <w:rPr/>
      </w:pPr>
      <w:r>
        <w:rPr>
          <w:rFonts w:ascii="PT Astra Serif" w:hAnsi="PT Astra Serif"/>
          <w:sz w:val="20"/>
          <w:szCs w:val="20"/>
        </w:rPr>
        <w:t xml:space="preserve">В случае если по результатам экспертизы, указанной в </w:t>
      </w:r>
      <w:hyperlink w:anchor="P110">
        <w:r>
          <w:rPr>
            <w:rStyle w:val="Style6"/>
            <w:rFonts w:ascii="PT Astra Serif" w:hAnsi="PT Astra Serif"/>
            <w:sz w:val="20"/>
            <w:szCs w:val="20"/>
          </w:rPr>
          <w:t xml:space="preserve">пункте 3.3 раздела </w:t>
        </w:r>
      </w:hyperlink>
      <w:r>
        <w:rPr>
          <w:rFonts w:ascii="PT Astra Serif" w:hAnsi="PT Astra Serif"/>
          <w:sz w:val="20"/>
          <w:szCs w:val="20"/>
        </w:rPr>
        <w:t>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pPr>
        <w:pStyle w:val="ConsPlusNormal1"/>
        <w:numPr>
          <w:ilvl w:val="0"/>
          <w:numId w:val="0"/>
        </w:numPr>
        <w:ind w:hanging="0" w:left="0"/>
        <w:jc w:val="center"/>
        <w:outlineLvl w:val="1"/>
        <w:rPr>
          <w:rFonts w:ascii="PT Astra Serif" w:hAnsi="PT Astra Serif"/>
          <w:sz w:val="20"/>
          <w:szCs w:val="20"/>
        </w:rPr>
      </w:pPr>
      <w:bookmarkStart w:id="12" w:name="P211"/>
      <w:bookmarkEnd w:id="12"/>
      <w:r>
        <w:rPr>
          <w:rFonts w:ascii="PT Astra Serif" w:hAnsi="PT Astra Serif"/>
          <w:sz w:val="20"/>
          <w:szCs w:val="20"/>
        </w:rPr>
        <w:t>7. ОТВЕТСТВЕННОСТЬ СТОРОН</w:t>
      </w:r>
    </w:p>
    <w:p>
      <w:pPr>
        <w:pStyle w:val="ConsPlusNormal1"/>
        <w:jc w:val="both"/>
        <w:rPr>
          <w:rFonts w:ascii="PT Astra Serif" w:hAnsi="PT Astra Serif"/>
          <w:sz w:val="20"/>
          <w:szCs w:val="20"/>
        </w:rPr>
      </w:pPr>
      <w:r>
        <w:rPr>
          <w:rFonts w:ascii="PT Astra Serif" w:hAnsi="PT Astra Serif"/>
          <w:sz w:val="20"/>
          <w:szCs w:val="20"/>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pPr>
        <w:pStyle w:val="ConsPlusNormal1"/>
        <w:jc w:val="both"/>
        <w:rPr>
          <w:rFonts w:ascii="PT Astra Serif" w:hAnsi="PT Astra Serif"/>
          <w:sz w:val="20"/>
          <w:szCs w:val="20"/>
        </w:rPr>
      </w:pPr>
      <w:r>
        <w:rPr>
          <w:rFonts w:ascii="PT Astra Serif" w:hAnsi="PT Astra Serif"/>
          <w:sz w:val="20"/>
          <w:szCs w:val="20"/>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pPr>
        <w:pStyle w:val="ConsPlusNormal1"/>
        <w:jc w:val="both"/>
        <w:rPr>
          <w:rFonts w:ascii="PT Astra Serif" w:hAnsi="PT Astra Serif"/>
          <w:sz w:val="20"/>
          <w:szCs w:val="20"/>
        </w:rPr>
      </w:pPr>
      <w:r>
        <w:rPr>
          <w:rFonts w:ascii="PT Astra Serif" w:hAnsi="PT Astra Serif"/>
          <w:sz w:val="20"/>
          <w:szCs w:val="20"/>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ConsPlusNormal1"/>
        <w:jc w:val="both"/>
        <w:rPr>
          <w:rFonts w:ascii="PT Astra Serif" w:hAnsi="PT Astra Serif"/>
          <w:sz w:val="20"/>
          <w:szCs w:val="20"/>
        </w:rPr>
      </w:pPr>
      <w:r>
        <w:rPr>
          <w:rFonts w:ascii="PT Astra Serif" w:hAnsi="PT Astra Serif"/>
          <w:sz w:val="20"/>
          <w:szCs w:val="20"/>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ConsPlusNormal1"/>
        <w:jc w:val="both"/>
        <w:rPr>
          <w:rFonts w:ascii="PT Astra Serif" w:hAnsi="PT Astra Serif"/>
          <w:sz w:val="20"/>
          <w:szCs w:val="20"/>
        </w:rPr>
      </w:pPr>
      <w:r>
        <w:rPr>
          <w:rFonts w:ascii="PT Astra Serif" w:hAnsi="PT Astra Serif"/>
          <w:sz w:val="20"/>
          <w:szCs w:val="20"/>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ConsPlusNormal1"/>
        <w:jc w:val="both"/>
        <w:rPr>
          <w:rFonts w:ascii="PT Astra Serif" w:hAnsi="PT Astra Serif"/>
          <w:sz w:val="20"/>
          <w:szCs w:val="20"/>
        </w:rPr>
      </w:pPr>
      <w:r>
        <w:rPr>
          <w:rFonts w:ascii="PT Astra Serif" w:hAnsi="PT Astra Serif"/>
          <w:sz w:val="20"/>
          <w:szCs w:val="20"/>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pPr>
        <w:pStyle w:val="ConsPlusNormal1"/>
        <w:jc w:val="both"/>
        <w:rPr>
          <w:rFonts w:ascii="PT Astra Serif" w:hAnsi="PT Astra Serif"/>
          <w:sz w:val="20"/>
          <w:szCs w:val="20"/>
        </w:rPr>
      </w:pPr>
      <w:r>
        <w:rPr>
          <w:rFonts w:ascii="PT Astra Serif" w:hAnsi="PT Astra Serif"/>
          <w:sz w:val="20"/>
          <w:szCs w:val="20"/>
        </w:rPr>
        <w:t>7.3.3.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в случае, если цена контракта не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начальной (максимальной)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начальной (максимальной)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начальной (максимальной)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в случае, если цена контракта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Pr>
          <w:rFonts w:ascii="PT Astra Serif" w:hAnsi="PT Astra Serif"/>
          <w:i/>
          <w:sz w:val="20"/>
          <w:szCs w:val="20"/>
        </w:rPr>
        <w:t>(при наличии в контракте таких обязательств)</w:t>
      </w:r>
      <w:r>
        <w:rPr>
          <w:rFonts w:ascii="PT Astra Serif" w:hAnsi="PT Astra Serif"/>
          <w:sz w:val="20"/>
          <w:szCs w:val="20"/>
        </w:rPr>
        <w:t xml:space="preserve">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7.4. Применение неустойки (штрафа, пени) не освобождает Стороны от исполнения обязательств по настоящему Контракту.</w:t>
      </w:r>
    </w:p>
    <w:p>
      <w:pPr>
        <w:pStyle w:val="ConsPlusNormal1"/>
        <w:jc w:val="both"/>
        <w:rPr>
          <w:rFonts w:ascii="PT Astra Serif" w:hAnsi="PT Astra Serif"/>
          <w:sz w:val="20"/>
          <w:szCs w:val="20"/>
        </w:rPr>
      </w:pPr>
      <w:r>
        <w:rPr>
          <w:rFonts w:ascii="PT Astra Serif" w:hAnsi="PT Astra Serif"/>
          <w:sz w:val="20"/>
          <w:szCs w:val="20"/>
        </w:rPr>
        <w:t>7.5.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3" w:name="P231"/>
      <w:bookmarkEnd w:id="13"/>
      <w:r>
        <w:rPr>
          <w:rFonts w:ascii="PT Astra Serif" w:hAnsi="PT Astra Serif"/>
          <w:sz w:val="20"/>
          <w:szCs w:val="20"/>
        </w:rPr>
        <w:t xml:space="preserve">8. ОБЕСПЕЧЕНИЕ ИСПОЛНЕНИЯ КОНТРАКТА </w:t>
      </w:r>
    </w:p>
    <w:p>
      <w:pPr>
        <w:pStyle w:val="ConsPlusNormal1"/>
        <w:ind w:firstLine="540" w:left="0" w:right="0"/>
        <w:jc w:val="both"/>
        <w:rPr>
          <w:rFonts w:ascii="PT Astra Serif" w:hAnsi="PT Astra Serif"/>
          <w:sz w:val="20"/>
          <w:szCs w:val="20"/>
        </w:rPr>
      </w:pPr>
      <w:r>
        <w:rPr>
          <w:rFonts w:ascii="PT Astra Serif" w:hAnsi="PT Astra Serif"/>
          <w:sz w:val="20"/>
          <w:szCs w:val="20"/>
        </w:rPr>
        <w:t>8.1. Обеспечение исполнения настоящего Контракта не установлено</w:t>
      </w:r>
    </w:p>
    <w:p>
      <w:pPr>
        <w:pStyle w:val="ListParagraph"/>
        <w:widowControl w:val="false"/>
        <w:spacing w:before="0" w:after="0"/>
        <w:ind w:hanging="0" w:left="0" w:right="0"/>
        <w:contextualSpacing/>
        <w:jc w:val="center"/>
        <w:rPr>
          <w:rFonts w:ascii="PT Astra Serif" w:hAnsi="PT Astra Serif"/>
          <w:sz w:val="20"/>
          <w:szCs w:val="20"/>
        </w:rPr>
      </w:pPr>
      <w:r>
        <w:rPr>
          <w:rFonts w:ascii="PT Astra Serif" w:hAnsi="PT Astra Serif"/>
          <w:bCs/>
          <w:sz w:val="20"/>
          <w:szCs w:val="20"/>
          <w:lang w:val="ru-RU"/>
        </w:rPr>
        <w:t>9.ОСОБЫЕ УСЛОВИЯ</w:t>
      </w:r>
    </w:p>
    <w:p>
      <w:pPr>
        <w:pStyle w:val="ListParagraph"/>
        <w:widowControl w:val="false"/>
        <w:tabs>
          <w:tab w:val="clear" w:pos="708"/>
          <w:tab w:val="left" w:pos="567" w:leader="none"/>
        </w:tabs>
        <w:spacing w:before="0" w:after="0"/>
        <w:ind w:firstLine="567" w:left="0" w:right="0"/>
        <w:contextualSpacing/>
        <w:rPr>
          <w:rFonts w:ascii="PT Astra Serif" w:hAnsi="PT Astra Serif"/>
          <w:sz w:val="20"/>
          <w:szCs w:val="20"/>
        </w:rPr>
      </w:pPr>
      <w:r>
        <w:rPr>
          <w:rFonts w:ascii="PT Astra Serif" w:hAnsi="PT Astra Serif"/>
          <w:sz w:val="20"/>
          <w:szCs w:val="20"/>
          <w:lang w:val="ru-RU"/>
        </w:rPr>
        <w:t>9.1. В рамках исполнения обязательств по контракту стороны договорились:</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9.1.1. Оформлять первичные учетные документы и иные сопутствующие документы в форме электронных документов, подписанных усиленной квалифицированной электронной подписью (далее – электронные документы), включая, но не ограничиваясь следующими: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поставку товара, а также отдельных этапов поставки товара (далее - отдельный этап исполнения контракта), включая все документы, предоставление которых предусмотрено в целях осуществления приемки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результаты такой приемки;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оплату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заключение дополнительных соглашений;</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направление требования об уплате неустоек (штрафов, пеней).</w:t>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10. ОБСТОЯТЕЛЬСТВА НЕПРЕОДОЛИМОЙ СИЛЫ</w:t>
      </w:r>
    </w:p>
    <w:p>
      <w:pPr>
        <w:pStyle w:val="ConsPlusNormal1"/>
        <w:ind w:firstLine="540" w:left="0" w:right="0"/>
        <w:jc w:val="both"/>
        <w:rPr>
          <w:rFonts w:ascii="PT Astra Serif" w:hAnsi="PT Astra Serif"/>
          <w:sz w:val="20"/>
          <w:szCs w:val="20"/>
        </w:rPr>
      </w:pPr>
      <w:r>
        <w:rPr>
          <w:rFonts w:ascii="PT Astra Serif" w:hAnsi="PT Astra Serif"/>
          <w:sz w:val="20"/>
          <w:szCs w:val="20"/>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pStyle w:val="ConsPlusNormal1"/>
        <w:ind w:firstLine="540" w:left="0" w:right="0"/>
        <w:jc w:val="both"/>
        <w:rPr>
          <w:rFonts w:ascii="PT Astra Serif" w:hAnsi="PT Astra Serif"/>
          <w:sz w:val="20"/>
          <w:szCs w:val="20"/>
        </w:rPr>
      </w:pPr>
      <w:bookmarkStart w:id="14" w:name="P254"/>
      <w:bookmarkEnd w:id="14"/>
      <w:r>
        <w:rPr>
          <w:rFonts w:ascii="PT Astra Serif" w:hAnsi="PT Astra Serif"/>
          <w:sz w:val="20"/>
          <w:szCs w:val="20"/>
        </w:rPr>
        <w:t>10.2. О возникновении и прекращении обстоятельства непреодолимой силы Стороны уведомляют друг друга письменно в течение 7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pPr>
        <w:pStyle w:val="ConsPlusNormal1"/>
        <w:ind w:firstLine="540" w:left="0" w:right="0"/>
        <w:jc w:val="both"/>
        <w:rPr>
          <w:rFonts w:ascii="PT Astra Serif" w:hAnsi="PT Astra Serif"/>
          <w:sz w:val="20"/>
          <w:szCs w:val="20"/>
        </w:rPr>
      </w:pPr>
      <w:bookmarkStart w:id="15" w:name="P255"/>
      <w:bookmarkEnd w:id="15"/>
      <w:r>
        <w:rPr>
          <w:rFonts w:ascii="PT Astra Serif" w:hAnsi="PT Astra Serif"/>
          <w:sz w:val="20"/>
          <w:szCs w:val="20"/>
        </w:rPr>
        <w:t>10.3.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pPr>
        <w:pStyle w:val="ConsPlusNormal1"/>
        <w:ind w:firstLine="540" w:left="0" w:right="0"/>
        <w:jc w:val="both"/>
        <w:rPr/>
      </w:pPr>
      <w:r>
        <w:rPr>
          <w:rFonts w:ascii="PT Astra Serif" w:hAnsi="PT Astra Serif"/>
          <w:sz w:val="20"/>
          <w:szCs w:val="20"/>
        </w:rPr>
        <w:t xml:space="preserve">10.4. Если одна из Сторон не направит или несвоевременно направит документы, указанные в </w:t>
      </w:r>
      <w:hyperlink w:anchor="P254">
        <w:r>
          <w:rPr>
            <w:rStyle w:val="Style6"/>
            <w:rFonts w:ascii="PT Astra Serif" w:hAnsi="PT Astra Serif"/>
            <w:sz w:val="20"/>
            <w:szCs w:val="20"/>
          </w:rPr>
          <w:t>пунктах 10.2</w:t>
        </w:r>
      </w:hyperlink>
      <w:r>
        <w:rPr>
          <w:rFonts w:ascii="PT Astra Serif" w:hAnsi="PT Astra Serif"/>
          <w:sz w:val="20"/>
          <w:szCs w:val="20"/>
        </w:rPr>
        <w:t xml:space="preserve"> - </w:t>
      </w:r>
      <w:hyperlink w:anchor="P255">
        <w:r>
          <w:rPr>
            <w:rStyle w:val="Style6"/>
            <w:rFonts w:ascii="PT Astra Serif" w:hAnsi="PT Astra Serif"/>
            <w:sz w:val="20"/>
            <w:szCs w:val="20"/>
          </w:rPr>
          <w:t>10.3</w:t>
        </w:r>
      </w:hyperlink>
      <w:r>
        <w:rPr>
          <w:rFonts w:ascii="PT Astra Serif" w:hAnsi="PT Astra Serif"/>
          <w:sz w:val="20"/>
          <w:szCs w:val="20"/>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10.5. В случае, если обстоятельства непреодолимой силы будут сохраняться более 30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11. РАССМОТРЕНИЕ И РАЗРЕШЕНИЕ СПОРОВ</w:t>
      </w:r>
    </w:p>
    <w:p>
      <w:pPr>
        <w:pStyle w:val="Normal"/>
        <w:widowControl w:val="false"/>
        <w:spacing w:lineRule="auto" w:line="240" w:before="0" w:after="0"/>
        <w:ind w:firstLine="540" w:left="0" w:right="0"/>
        <w:jc w:val="both"/>
        <w:rPr>
          <w:rFonts w:ascii="PT Astra Serif" w:hAnsi="PT Astra Serif"/>
          <w:sz w:val="20"/>
          <w:szCs w:val="20"/>
        </w:rPr>
      </w:pPr>
      <w:r>
        <w:rPr>
          <w:rFonts w:ascii="PT Astra Serif" w:hAnsi="PT Astra Serif"/>
          <w:sz w:val="20"/>
          <w:szCs w:val="20"/>
        </w:rPr>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pPr>
        <w:pStyle w:val="Normal"/>
        <w:widowControl w:val="false"/>
        <w:spacing w:lineRule="auto" w:line="240" w:before="0" w:after="0"/>
        <w:ind w:firstLine="540" w:left="0" w:right="0"/>
        <w:rPr>
          <w:rFonts w:ascii="PT Astra Serif" w:hAnsi="PT Astra Serif"/>
          <w:sz w:val="20"/>
          <w:szCs w:val="20"/>
        </w:rPr>
      </w:pPr>
      <w:r>
        <w:rPr>
          <w:rFonts w:ascii="PT Astra Serif" w:hAnsi="PT Astra Serif"/>
          <w:color w:val="2C2D2E"/>
          <w:sz w:val="20"/>
          <w:szCs w:val="20"/>
        </w:rPr>
        <w:t>11.2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настоящего контракта, такой обмен осуществляется с использованием единой информационной системы путем направления</w:t>
      </w:r>
      <w:r>
        <w:rPr>
          <w:rFonts w:ascii="PT Astra Serif" w:hAnsi="PT Astra Serif"/>
          <w:sz w:val="20"/>
          <w:szCs w:val="20"/>
        </w:rPr>
        <w:br/>
      </w:r>
      <w:r>
        <w:rPr>
          <w:rFonts w:ascii="PT Astra Serif" w:hAnsi="PT Astra Serif"/>
          <w:color w:val="2C2D2E"/>
          <w:sz w:val="20"/>
          <w:szCs w:val="20"/>
        </w:rPr>
        <w:t>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r>
        <w:rPr>
          <w:rFonts w:ascii="PT Astra Serif" w:hAnsi="PT Astra Serif"/>
          <w:sz w:val="20"/>
          <w:szCs w:val="20"/>
        </w:rPr>
        <w:br/>
        <w:t xml:space="preserve">            11.3</w:t>
      </w:r>
      <w:r>
        <w:rPr>
          <w:rFonts w:ascii="PT Astra Serif" w:hAnsi="PT Astra Serif"/>
          <w:color w:val="2C2D2E"/>
          <w:sz w:val="20"/>
          <w:szCs w:val="20"/>
        </w:rPr>
        <w:t>. Срок рассмотрения писем, уведомлений или претензий не может превышать 10 дней со дня их получения.</w:t>
      </w:r>
    </w:p>
    <w:p>
      <w:pPr>
        <w:pStyle w:val="Normal"/>
        <w:widowControl w:val="false"/>
        <w:spacing w:lineRule="auto" w:line="240" w:before="0" w:after="0"/>
        <w:jc w:val="both"/>
        <w:rPr>
          <w:rFonts w:ascii="PT Astra Serif" w:hAnsi="PT Astra Serif"/>
          <w:sz w:val="20"/>
          <w:szCs w:val="20"/>
        </w:rPr>
      </w:pPr>
      <w:r>
        <w:rPr>
          <w:rFonts w:ascii="PT Astra Serif" w:hAnsi="PT Astra Serif"/>
          <w:sz w:val="20"/>
          <w:szCs w:val="20"/>
        </w:rPr>
        <w:t>11.4. При неурегулировании Сторонами спора в досудебном порядке, спор разрешается в судебном порядке, в Арбитражном суде Ульяновской области.</w:t>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12. СРОК ДЕЙСТВИЯ И ПОРЯДОК ИЗМЕНЕНИЯ,РАСТОРЖЕНИЯ КОНТРАКТА</w:t>
      </w:r>
    </w:p>
    <w:p>
      <w:pPr>
        <w:pStyle w:val="ConsPlusNormal1"/>
        <w:ind w:firstLine="540" w:left="0" w:right="0"/>
        <w:jc w:val="both"/>
        <w:rPr>
          <w:rFonts w:ascii="PT Astra Serif" w:hAnsi="PT Astra Serif"/>
          <w:sz w:val="20"/>
          <w:szCs w:val="20"/>
        </w:rPr>
      </w:pPr>
      <w:bookmarkStart w:id="16" w:name="P275"/>
      <w:bookmarkEnd w:id="16"/>
      <w:r>
        <w:rPr>
          <w:rFonts w:ascii="PT Astra Serif" w:hAnsi="PT Astra Serif"/>
          <w:sz w:val="20"/>
          <w:szCs w:val="20"/>
        </w:rPr>
        <w:t>12.1. Настоящий Контракт вступает в силу с даты его заключения обеими Сторонами и действует по 31.12.2026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12.2.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ConsPlusNormal1"/>
        <w:ind w:firstLine="540" w:left="0" w:right="0"/>
        <w:jc w:val="both"/>
        <w:rPr/>
      </w:pPr>
      <w:r>
        <w:rPr>
          <w:rFonts w:ascii="PT Astra Serif" w:hAnsi="PT Astra Serif"/>
          <w:sz w:val="20"/>
          <w:szCs w:val="20"/>
        </w:rPr>
        <w:t xml:space="preserve">12.3.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4">
        <w:r>
          <w:rPr>
            <w:rStyle w:val="Style6"/>
            <w:rFonts w:ascii="PT Astra Serif" w:hAnsi="PT Astra Serif"/>
            <w:sz w:val="20"/>
            <w:szCs w:val="20"/>
          </w:rPr>
          <w:t>Законом</w:t>
        </w:r>
      </w:hyperlink>
      <w:r>
        <w:rPr>
          <w:rFonts w:ascii="PT Astra Serif" w:hAnsi="PT Astra Serif"/>
          <w:sz w:val="20"/>
          <w:szCs w:val="20"/>
        </w:rPr>
        <w:t xml:space="preserve"> N 44-ФЗ порядке в реестр недобросовестных поставщиков (подрядчиков, исполнителей).</w:t>
      </w:r>
    </w:p>
    <w:p>
      <w:pPr>
        <w:pStyle w:val="ConsPlusNormal1"/>
        <w:ind w:firstLine="540" w:left="0" w:right="0"/>
        <w:jc w:val="both"/>
        <w:rPr>
          <w:rFonts w:ascii="PT Astra Serif" w:hAnsi="PT Astra Serif"/>
          <w:sz w:val="20"/>
          <w:szCs w:val="20"/>
        </w:rPr>
      </w:pPr>
      <w:r>
        <w:rPr>
          <w:rFonts w:ascii="PT Astra Serif" w:hAnsi="PT Astra Serif"/>
          <w:sz w:val="20"/>
          <w:szCs w:val="20"/>
        </w:rPr>
        <w:t>12.4.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pPr>
        <w:pStyle w:val="ConsPlusNormal1"/>
        <w:ind w:firstLine="540" w:left="0" w:right="0"/>
        <w:jc w:val="both"/>
        <w:rPr/>
      </w:pPr>
      <w:r>
        <w:rPr>
          <w:rFonts w:ascii="PT Astra Serif" w:hAnsi="PT Astra Serif"/>
          <w:sz w:val="20"/>
          <w:szCs w:val="20"/>
        </w:rPr>
        <w:t xml:space="preserve">12.5. Изменение условий настоящего Контракта при его исполнении не допускается, за исключением случаев, предусмотренных </w:t>
      </w:r>
      <w:hyperlink r:id="rId15">
        <w:r>
          <w:rPr>
            <w:rStyle w:val="Style6"/>
            <w:rFonts w:ascii="PT Astra Serif" w:hAnsi="PT Astra Serif"/>
            <w:sz w:val="20"/>
            <w:szCs w:val="20"/>
          </w:rPr>
          <w:t>статьей 95</w:t>
        </w:r>
      </w:hyperlink>
      <w:r>
        <w:rPr>
          <w:rFonts w:ascii="PT Astra Serif" w:hAnsi="PT Astra Serif"/>
          <w:sz w:val="20"/>
          <w:szCs w:val="20"/>
        </w:rPr>
        <w:t xml:space="preserve"> Закона N 44-ФЗ.</w:t>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13. ПРОЧИЕ ПОЛОЖЕНИЯ </w:t>
      </w:r>
    </w:p>
    <w:p>
      <w:pPr>
        <w:pStyle w:val="ConsPlusNormal1"/>
        <w:ind w:firstLine="540" w:left="0" w:right="0"/>
        <w:jc w:val="both"/>
        <w:rPr>
          <w:rFonts w:ascii="PT Astra Serif" w:hAnsi="PT Astra Serif"/>
          <w:sz w:val="20"/>
          <w:szCs w:val="20"/>
        </w:rPr>
      </w:pPr>
      <w:r>
        <w:rPr>
          <w:rFonts w:ascii="PT Astra Serif" w:hAnsi="PT Astra Serif"/>
          <w:sz w:val="20"/>
          <w:szCs w:val="20"/>
        </w:rPr>
        <w:t>13.1. Во всем, что не оговорено в настоящем Контракте, Стороны руководствуются действующим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13.2.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pPr>
        <w:pStyle w:val="ConsPlusNormal1"/>
        <w:ind w:firstLine="540" w:left="0" w:right="0"/>
        <w:jc w:val="both"/>
        <w:rPr/>
      </w:pPr>
      <w:r>
        <w:rPr>
          <w:rFonts w:ascii="PT Astra Serif" w:hAnsi="PT Astra Serif"/>
          <w:sz w:val="20"/>
          <w:szCs w:val="20"/>
        </w:rPr>
        <w:t xml:space="preserve">13.3.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 xml:space="preserve">15 настоящего Контракта, либо с использованием электронной почты на электронные адреса, указанные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либо с использованием факсимильной связи.</w:t>
      </w:r>
    </w:p>
    <w:p>
      <w:pPr>
        <w:pStyle w:val="ConsPlusNormal1"/>
        <w:ind w:firstLine="540" w:left="0" w:right="0"/>
        <w:jc w:val="both"/>
        <w:rPr/>
      </w:pPr>
      <w:r>
        <w:rPr>
          <w:rFonts w:ascii="PT Astra Serif" w:hAnsi="PT Astra Serif"/>
          <w:sz w:val="20"/>
          <w:szCs w:val="20"/>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считается надлежащим уведомлением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13.4.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t>13.6. Контракт  подписан  в 2(двух) экземплярах, по одному для каждой из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14. ПЕРЕЧЕНЬ ПРИЛОЖЕНИЙ </w:t>
      </w:r>
    </w:p>
    <w:p>
      <w:pPr>
        <w:pStyle w:val="ConsPlusNormal1"/>
        <w:ind w:firstLine="540" w:left="0" w:right="0"/>
        <w:jc w:val="both"/>
        <w:rPr>
          <w:rFonts w:ascii="PT Astra Serif" w:hAnsi="PT Astra Serif"/>
          <w:sz w:val="20"/>
          <w:szCs w:val="20"/>
        </w:rPr>
      </w:pPr>
      <w:r>
        <w:rPr>
          <w:rFonts w:ascii="PT Astra Serif" w:hAnsi="PT Astra Serif"/>
          <w:sz w:val="20"/>
          <w:szCs w:val="20"/>
        </w:rPr>
        <w:t>Неотъемлемой частью настоящего Контракта является следующее:</w:t>
      </w:r>
    </w:p>
    <w:p>
      <w:pPr>
        <w:pStyle w:val="ConsPlusNormal1"/>
        <w:ind w:firstLine="540" w:left="0" w:right="0"/>
        <w:jc w:val="both"/>
        <w:rPr>
          <w:rFonts w:ascii="PT Astra Serif" w:hAnsi="PT Astra Serif"/>
          <w:sz w:val="20"/>
          <w:szCs w:val="20"/>
        </w:rPr>
      </w:pP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 Спецификация </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7" w:name="P306"/>
      <w:bookmarkEnd w:id="17"/>
      <w:r>
        <w:rPr>
          <w:rFonts w:ascii="PT Astra Serif" w:hAnsi="PT Astra Serif"/>
          <w:sz w:val="20"/>
          <w:szCs w:val="20"/>
        </w:rPr>
        <w:t>15. АДРЕСА. БАНКОВСКИЕ РЕКВИЗИТЫ И ПОДПИСИ СТОРОН:</w:t>
      </w:r>
    </w:p>
    <w:p>
      <w:pPr>
        <w:pStyle w:val="ConsPlusNormal1"/>
        <w:jc w:val="both"/>
        <w:rPr>
          <w:rFonts w:ascii="PT Astra Serif" w:hAnsi="PT Astra Serif"/>
          <w:sz w:val="20"/>
          <w:szCs w:val="20"/>
        </w:rPr>
      </w:pPr>
      <w:r>
        <w:rPr>
          <w:rFonts w:ascii="PT Astra Serif" w:hAnsi="PT Astra Serif"/>
          <w:sz w:val="20"/>
          <w:szCs w:val="20"/>
        </w:rPr>
      </w:r>
    </w:p>
    <w:tbl>
      <w:tblPr>
        <w:tblW w:w="9977" w:type="dxa"/>
        <w:jc w:val="left"/>
        <w:tblInd w:w="-343" w:type="dxa"/>
        <w:tblLayout w:type="fixed"/>
        <w:tblCellMar>
          <w:top w:w="0" w:type="dxa"/>
          <w:left w:w="10" w:type="dxa"/>
          <w:bottom w:w="0" w:type="dxa"/>
          <w:right w:w="10" w:type="dxa"/>
        </w:tblCellMar>
      </w:tblPr>
      <w:tblGrid>
        <w:gridCol w:w="5344"/>
        <w:gridCol w:w="4633"/>
      </w:tblGrid>
      <w:tr>
        <w:trPr/>
        <w:tc>
          <w:tcPr>
            <w:tcW w:w="5344" w:type="dxa"/>
            <w:tcBorders/>
          </w:tcPr>
          <w:p>
            <w:pPr>
              <w:pStyle w:val="Normal"/>
              <w:widowControl w:val="false"/>
              <w:snapToGrid w:val="false"/>
              <w:spacing w:lineRule="auto" w:line="240" w:before="0" w:after="0"/>
              <w:jc w:val="center"/>
              <w:rPr>
                <w:rFonts w:ascii="PT Astra Serif" w:hAnsi="PT Astra Serif"/>
                <w:sz w:val="20"/>
                <w:szCs w:val="20"/>
              </w:rPr>
            </w:pPr>
            <w:r>
              <w:rPr>
                <w:rFonts w:eastAsia="Times New Roman" w:cs="PT Astra Serif" w:ascii="PT Astra Serif" w:hAnsi="PT Astra Serif"/>
                <w:b/>
                <w:bCs/>
                <w:kern w:val="2"/>
                <w:sz w:val="20"/>
                <w:szCs w:val="20"/>
                <w:lang w:eastAsia="ru-RU"/>
              </w:rPr>
              <w:t>Заказчик:</w:t>
            </w:r>
          </w:p>
          <w:p>
            <w:pPr>
              <w:pStyle w:val="Normal"/>
              <w:widowControl w:val="false"/>
              <w:overflowPunct w:val="true"/>
              <w:jc w:val="left"/>
              <w:textAlignment w:val="baseline"/>
              <w:rPr>
                <w:rFonts w:ascii="Times New Roman" w:hAnsi="Times New Roman"/>
                <w:sz w:val="18"/>
                <w:szCs w:val="18"/>
              </w:rPr>
            </w:pPr>
            <w:r>
              <w:rPr>
                <w:rFonts w:cs="Times New Roman" w:ascii="Times New Roman" w:hAnsi="Times New Roman"/>
                <w:sz w:val="18"/>
                <w:szCs w:val="18"/>
                <w:lang w:val="ru-RU" w:eastAsia="ru-RU"/>
              </w:rPr>
              <w:t>М</w:t>
            </w:r>
            <w:r>
              <w:rPr>
                <w:rFonts w:cs="Times New Roman" w:ascii="Times New Roman" w:hAnsi="Times New Roman"/>
                <w:sz w:val="18"/>
                <w:szCs w:val="18"/>
                <w:lang w:eastAsia="ru-RU"/>
              </w:rPr>
              <w:t xml:space="preserve">униципальное </w:t>
            </w:r>
            <w:r>
              <w:rPr>
                <w:rFonts w:cs="Times New Roman" w:ascii="Times New Roman" w:hAnsi="Times New Roman"/>
                <w:sz w:val="18"/>
                <w:szCs w:val="18"/>
                <w:lang w:val="ru-RU" w:eastAsia="ru-RU"/>
              </w:rPr>
              <w:t>обще</w:t>
            </w:r>
            <w:r>
              <w:rPr>
                <w:rFonts w:cs="Times New Roman" w:ascii="Times New Roman" w:hAnsi="Times New Roman"/>
                <w:sz w:val="18"/>
                <w:szCs w:val="18"/>
                <w:lang w:eastAsia="ru-RU"/>
              </w:rPr>
              <w:t>образовательное учреждение Новоникулинская средняя  школа муниципального образования «Цильнинский район» Ульяновской области</w:t>
            </w:r>
          </w:p>
          <w:p>
            <w:pPr>
              <w:pStyle w:val="Normal"/>
              <w:widowControl w:val="false"/>
              <w:overflowPunct w:val="true"/>
              <w:jc w:val="left"/>
              <w:textAlignment w:val="baseline"/>
              <w:rPr>
                <w:rFonts w:ascii="Times New Roman" w:hAnsi="Times New Roman"/>
                <w:sz w:val="18"/>
                <w:szCs w:val="18"/>
              </w:rPr>
            </w:pPr>
            <w:r>
              <w:rPr>
                <w:rFonts w:ascii="Times New Roman" w:hAnsi="Times New Roman"/>
                <w:sz w:val="18"/>
                <w:szCs w:val="18"/>
                <w:lang w:eastAsia="ru-RU"/>
              </w:rPr>
              <w:t xml:space="preserve">Место нахождения: </w:t>
            </w:r>
            <w:r>
              <w:rPr>
                <w:rFonts w:ascii="Times New Roman" w:hAnsi="Times New Roman"/>
                <w:sz w:val="18"/>
                <w:szCs w:val="18"/>
                <w:lang w:val="ru-RU" w:eastAsia="ru-RU"/>
              </w:rPr>
              <w:t>Российская Федерация,</w:t>
            </w:r>
            <w:r>
              <w:rPr>
                <w:rFonts w:ascii="Times New Roman" w:hAnsi="Times New Roman"/>
                <w:sz w:val="18"/>
                <w:szCs w:val="18"/>
                <w:lang w:eastAsia="ru-RU"/>
              </w:rPr>
              <w:t>433642, Ульяновская область, Цильнинский район, с</w:t>
            </w:r>
            <w:r>
              <w:rPr>
                <w:rFonts w:ascii="Times New Roman" w:hAnsi="Times New Roman"/>
                <w:sz w:val="18"/>
                <w:szCs w:val="18"/>
                <w:lang w:val="ru-RU" w:eastAsia="ru-RU"/>
              </w:rPr>
              <w:t xml:space="preserve">ело </w:t>
            </w:r>
            <w:r>
              <w:rPr>
                <w:rFonts w:ascii="Times New Roman" w:hAnsi="Times New Roman"/>
                <w:sz w:val="18"/>
                <w:szCs w:val="18"/>
                <w:lang w:eastAsia="ru-RU"/>
              </w:rPr>
              <w:t xml:space="preserve"> Новое Никулино,  ул</w:t>
            </w:r>
            <w:r>
              <w:rPr>
                <w:rFonts w:ascii="Times New Roman" w:hAnsi="Times New Roman"/>
                <w:sz w:val="18"/>
                <w:szCs w:val="18"/>
                <w:lang w:val="ru-RU" w:eastAsia="ru-RU"/>
              </w:rPr>
              <w:t xml:space="preserve">ица </w:t>
            </w:r>
            <w:r>
              <w:rPr>
                <w:rFonts w:ascii="Times New Roman" w:hAnsi="Times New Roman"/>
                <w:sz w:val="18"/>
                <w:szCs w:val="18"/>
                <w:lang w:eastAsia="ru-RU"/>
              </w:rPr>
              <w:t xml:space="preserve"> Школьная, </w:t>
            </w:r>
            <w:r>
              <w:rPr>
                <w:rFonts w:ascii="Times New Roman" w:hAnsi="Times New Roman"/>
                <w:sz w:val="18"/>
                <w:szCs w:val="18"/>
                <w:lang w:val="ru-RU" w:eastAsia="ru-RU"/>
              </w:rPr>
              <w:t>дом 1А</w:t>
            </w:r>
          </w:p>
          <w:p>
            <w:pPr>
              <w:pStyle w:val="Normal"/>
              <w:widowControl w:val="false"/>
              <w:overflowPunct w:val="true"/>
              <w:jc w:val="left"/>
              <w:textAlignment w:val="baseline"/>
              <w:rPr>
                <w:rFonts w:ascii="Times New Roman" w:hAnsi="Times New Roman"/>
                <w:sz w:val="18"/>
                <w:szCs w:val="18"/>
              </w:rPr>
            </w:pPr>
            <w:r>
              <w:rPr>
                <w:rFonts w:ascii="Times New Roman" w:hAnsi="Times New Roman"/>
                <w:sz w:val="18"/>
                <w:szCs w:val="18"/>
                <w:lang w:eastAsia="ru-RU"/>
              </w:rPr>
              <w:t xml:space="preserve">Почтовый адрес: </w:t>
            </w:r>
            <w:r>
              <w:rPr>
                <w:rFonts w:ascii="Times New Roman" w:hAnsi="Times New Roman"/>
                <w:sz w:val="18"/>
                <w:szCs w:val="18"/>
                <w:lang w:val="ru-RU" w:eastAsia="ru-RU"/>
              </w:rPr>
              <w:t>Российская Федерация,</w:t>
            </w:r>
            <w:r>
              <w:rPr>
                <w:rFonts w:ascii="Times New Roman" w:hAnsi="Times New Roman"/>
                <w:sz w:val="18"/>
                <w:szCs w:val="18"/>
                <w:lang w:eastAsia="ru-RU"/>
              </w:rPr>
              <w:t>433642, Ульяновская область, Цильнинский район, с</w:t>
            </w:r>
            <w:r>
              <w:rPr>
                <w:rFonts w:ascii="Times New Roman" w:hAnsi="Times New Roman"/>
                <w:sz w:val="18"/>
                <w:szCs w:val="18"/>
                <w:lang w:val="ru-RU" w:eastAsia="ru-RU"/>
              </w:rPr>
              <w:t xml:space="preserve">ело </w:t>
            </w:r>
            <w:r>
              <w:rPr>
                <w:rFonts w:ascii="Times New Roman" w:hAnsi="Times New Roman"/>
                <w:sz w:val="18"/>
                <w:szCs w:val="18"/>
                <w:lang w:eastAsia="ru-RU"/>
              </w:rPr>
              <w:t xml:space="preserve"> Новое Никулино, ул</w:t>
            </w:r>
            <w:r>
              <w:rPr>
                <w:rFonts w:ascii="Times New Roman" w:hAnsi="Times New Roman"/>
                <w:sz w:val="18"/>
                <w:szCs w:val="18"/>
                <w:lang w:val="ru-RU" w:eastAsia="ru-RU"/>
              </w:rPr>
              <w:t xml:space="preserve">ица </w:t>
            </w:r>
            <w:r>
              <w:rPr>
                <w:rFonts w:ascii="Times New Roman" w:hAnsi="Times New Roman"/>
                <w:sz w:val="18"/>
                <w:szCs w:val="18"/>
                <w:lang w:eastAsia="ru-RU"/>
              </w:rPr>
              <w:t xml:space="preserve"> Школьная, </w:t>
            </w:r>
            <w:r>
              <w:rPr>
                <w:rFonts w:ascii="Times New Roman" w:hAnsi="Times New Roman"/>
                <w:sz w:val="18"/>
                <w:szCs w:val="18"/>
                <w:lang w:val="ru-RU" w:eastAsia="ru-RU"/>
              </w:rPr>
              <w:t>дом 1А</w:t>
            </w:r>
          </w:p>
          <w:p>
            <w:pPr>
              <w:pStyle w:val="Normal"/>
              <w:widowControl w:val="false"/>
              <w:overflowPunct w:val="true"/>
              <w:jc w:val="left"/>
              <w:textAlignment w:val="baseline"/>
              <w:rPr/>
            </w:pPr>
            <w:r>
              <w:rPr>
                <w:rFonts w:ascii="Times New Roman" w:hAnsi="Times New Roman"/>
                <w:sz w:val="18"/>
                <w:szCs w:val="18"/>
                <w:lang w:eastAsia="ru-RU"/>
              </w:rPr>
              <w:t xml:space="preserve">Адрес электронной почты: </w:t>
            </w:r>
            <w:hyperlink r:id="rId16">
              <w:r>
                <w:rPr>
                  <w:rStyle w:val="Style6"/>
                  <w:rFonts w:ascii="Times New Roman" w:hAnsi="Times New Roman"/>
                  <w:sz w:val="18"/>
                  <w:szCs w:val="18"/>
                  <w:lang w:val="en-US" w:eastAsia="ru-RU"/>
                </w:rPr>
                <w:t>novnik</w:t>
              </w:r>
              <w:r>
                <w:rPr>
                  <w:rStyle w:val="Style6"/>
                  <w:rFonts w:ascii="Times New Roman" w:hAnsi="Times New Roman"/>
                  <w:sz w:val="18"/>
                  <w:szCs w:val="18"/>
                  <w:lang w:eastAsia="ru-RU"/>
                </w:rPr>
                <w:t>_</w:t>
              </w:r>
              <w:r>
                <w:rPr>
                  <w:rStyle w:val="Style6"/>
                  <w:rFonts w:ascii="Times New Roman" w:hAnsi="Times New Roman"/>
                  <w:sz w:val="18"/>
                  <w:szCs w:val="18"/>
                  <w:lang w:val="en-US" w:eastAsia="ru-RU"/>
                </w:rPr>
                <w:t>shk</w:t>
              </w:r>
              <w:r>
                <w:rPr>
                  <w:rStyle w:val="Style6"/>
                  <w:rFonts w:ascii="Times New Roman" w:hAnsi="Times New Roman"/>
                  <w:sz w:val="18"/>
                  <w:szCs w:val="18"/>
                  <w:lang w:eastAsia="ru-RU"/>
                </w:rPr>
                <w:t>@mail.ru</w:t>
              </w:r>
            </w:hyperlink>
            <w:r>
              <w:rPr>
                <w:rFonts w:ascii="Times New Roman" w:hAnsi="Times New Roman"/>
                <w:sz w:val="18"/>
                <w:szCs w:val="18"/>
                <w:lang w:eastAsia="ru-RU"/>
              </w:rPr>
              <w:t xml:space="preserve">  </w:t>
            </w:r>
            <w:r>
              <w:rPr>
                <w:rStyle w:val="Hyperlink"/>
                <w:rFonts w:eastAsia="Times New Roman" w:cs="Times New Roman" w:ascii="Times New Roman" w:hAnsi="Times New Roman"/>
                <w:b w:val="false"/>
                <w:bCs w:val="false"/>
                <w:kern w:val="2"/>
                <w:sz w:val="18"/>
                <w:szCs w:val="18"/>
                <w:u w:val="none"/>
                <w:lang w:val="ru-RU" w:eastAsia="ru-RU"/>
              </w:rPr>
              <w:t>Номер контактного телефона: +7(84245)44180</w:t>
            </w:r>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ИНН 7322003513/КПП 732201001</w:t>
            </w:r>
          </w:p>
          <w:p>
            <w:pPr>
              <w:pStyle w:val="BodyText"/>
              <w:widowControl w:val="false"/>
              <w:rPr>
                <w:rFonts w:ascii="Times New Roman" w:hAnsi="Times New Roman"/>
                <w:sz w:val="18"/>
                <w:szCs w:val="18"/>
              </w:rPr>
            </w:pPr>
            <w:r>
              <w:rPr>
                <w:rFonts w:cs="Times New Roman"/>
                <w:b/>
                <w:bCs/>
                <w:i w:val="false"/>
                <w:caps w:val="false"/>
                <w:smallCaps w:val="false"/>
                <w:color w:val="000000"/>
                <w:spacing w:val="0"/>
                <w:sz w:val="18"/>
                <w:szCs w:val="18"/>
                <w:lang w:val="ru-RU"/>
              </w:rPr>
              <w:t>Ксч 03231643736540006800  ЕКСч 40102810645370000061</w:t>
            </w:r>
          </w:p>
          <w:p>
            <w:pPr>
              <w:pStyle w:val="BodyText"/>
              <w:widowControl w:val="false"/>
              <w:rPr>
                <w:rFonts w:ascii="Times New Roman" w:hAnsi="Times New Roman"/>
                <w:sz w:val="18"/>
                <w:szCs w:val="18"/>
              </w:rPr>
            </w:pPr>
            <w:r>
              <w:rPr>
                <w:rFonts w:eastAsia="Times New Roman" w:cs="PT Astra Serif" w:ascii="PT Astra Serif" w:hAnsi="PT Astra Serif"/>
                <w:b w:val="false"/>
                <w:bCs w:val="false"/>
                <w:sz w:val="20"/>
                <w:szCs w:val="20"/>
                <w:shd w:fill="FFFFFF" w:val="clear"/>
                <w:lang w:val="ru-RU"/>
              </w:rPr>
              <w:t>ОКЦ № 5 ВВГУ Банка России</w:t>
            </w:r>
            <w:r>
              <w:rPr>
                <w:rFonts w:eastAsia="Times New Roman" w:cs="Times New Roman"/>
                <w:b/>
                <w:bCs/>
                <w:sz w:val="18"/>
                <w:szCs w:val="18"/>
                <w:lang w:val="ru-RU"/>
              </w:rPr>
              <w:t xml:space="preserve"> </w:t>
            </w:r>
            <w:r>
              <w:rPr>
                <w:rFonts w:eastAsia="Times New Roman" w:cs="Times New Roman"/>
                <w:b/>
                <w:bCs/>
                <w:sz w:val="18"/>
                <w:szCs w:val="18"/>
              </w:rPr>
              <w:t>//</w:t>
            </w:r>
            <w:r>
              <w:rPr>
                <w:rFonts w:eastAsia="Times New Roman" w:cs="Times New Roman"/>
                <w:b/>
                <w:bCs/>
                <w:sz w:val="18"/>
                <w:szCs w:val="18"/>
                <w:lang w:val="ru-RU"/>
              </w:rPr>
              <w:t xml:space="preserve">УФК по Ульяновской области г.Ульяновск </w:t>
            </w:r>
            <w:r>
              <w:rPr>
                <w:rFonts w:cs="Times New Roman"/>
                <w:b/>
                <w:bCs/>
                <w:sz w:val="18"/>
                <w:szCs w:val="18"/>
              </w:rPr>
              <w:t xml:space="preserve">БИК </w:t>
            </w:r>
            <w:r>
              <w:rPr>
                <w:rFonts w:cs="Times New Roman"/>
                <w:b/>
                <w:bCs/>
                <w:sz w:val="18"/>
                <w:szCs w:val="18"/>
                <w:lang w:val="ru-RU"/>
              </w:rPr>
              <w:t xml:space="preserve">ТОФК </w:t>
            </w:r>
            <w:r>
              <w:rPr>
                <w:rFonts w:cs="Times New Roman"/>
                <w:b/>
                <w:bCs/>
                <w:sz w:val="18"/>
                <w:szCs w:val="18"/>
              </w:rPr>
              <w:t>017308101</w:t>
            </w:r>
          </w:p>
          <w:p>
            <w:pPr>
              <w:pStyle w:val="BodyText"/>
              <w:widowControl w:val="false"/>
              <w:rPr>
                <w:rFonts w:ascii="Times New Roman" w:hAnsi="Times New Roman"/>
                <w:sz w:val="18"/>
                <w:szCs w:val="18"/>
              </w:rPr>
            </w:pPr>
            <w:r>
              <w:rPr>
                <w:sz w:val="18"/>
                <w:szCs w:val="18"/>
              </w:rPr>
              <w:t>л/сч 03573223024 в финансовом управлении администрации МО «Цильнинский район»</w:t>
            </w:r>
          </w:p>
          <w:p>
            <w:pPr>
              <w:pStyle w:val="BodyText"/>
              <w:widowControl w:val="false"/>
              <w:overflowPunct w:val="true"/>
              <w:spacing w:before="0" w:after="120"/>
              <w:textAlignment w:val="baseline"/>
              <w:rPr/>
            </w:pPr>
            <w:r>
              <w:rPr>
                <w:rStyle w:val="Hyperlink"/>
                <w:rFonts w:eastAsia="Times New Roman" w:cs="Times New Roman"/>
                <w:b w:val="false"/>
                <w:bCs w:val="false"/>
                <w:kern w:val="2"/>
                <w:sz w:val="18"/>
                <w:szCs w:val="18"/>
                <w:u w:val="none"/>
                <w:lang w:val="ru-RU" w:eastAsia="ru-RU"/>
              </w:rPr>
              <w:t>ОКВЭД 80.21.2 ОКПО 25333145 ОГРН 1027301060324</w:t>
            </w:r>
          </w:p>
          <w:p>
            <w:pPr>
              <w:pStyle w:val="Normal"/>
              <w:widowControl w:val="false"/>
              <w:suppressAutoHyphens w:val="true"/>
              <w:overflowPunct w:val="false"/>
              <w:spacing w:lineRule="auto" w:line="240" w:before="0" w:after="0"/>
              <w:ind w:hanging="0"/>
              <w:jc w:val="both"/>
              <w:textAlignment w:val="baseline"/>
              <w:rPr>
                <w:rFonts w:ascii="Times New Roman" w:hAnsi="Times New Roman"/>
                <w:sz w:val="18"/>
                <w:szCs w:val="18"/>
              </w:rPr>
            </w:pPr>
            <w:r>
              <w:rPr>
                <w:rStyle w:val="31"/>
                <w:rFonts w:eastAsia="Times New Roman" w:cs="PT Astra Serif" w:ascii="Times New Roman" w:hAnsi="Times New Roman"/>
                <w:b w:val="false"/>
                <w:bCs w:val="false"/>
                <w:color w:val="000000"/>
                <w:kern w:val="2"/>
                <w:sz w:val="18"/>
                <w:szCs w:val="18"/>
                <w:u w:val="none"/>
                <w:shd w:fill="FFFFFF" w:val="clear"/>
                <w:lang w:val="ru-RU" w:eastAsia="ru-RU"/>
              </w:rPr>
              <w:t>Директор                                             Потапова С.А,</w:t>
            </w:r>
          </w:p>
        </w:tc>
        <w:tc>
          <w:tcPr>
            <w:tcW w:w="4633" w:type="dxa"/>
            <w:tcBorders/>
          </w:tcPr>
          <w:p>
            <w:pPr>
              <w:pStyle w:val="Normal"/>
              <w:widowControl w:val="false"/>
              <w:snapToGrid w:val="false"/>
              <w:spacing w:lineRule="auto" w:line="240" w:before="0" w:after="0"/>
              <w:jc w:val="center"/>
              <w:rPr>
                <w:rFonts w:ascii="PT Astra Serif" w:hAnsi="PT Astra Serif"/>
                <w:sz w:val="20"/>
                <w:szCs w:val="20"/>
              </w:rPr>
            </w:pPr>
            <w:r>
              <w:rPr>
                <w:rFonts w:eastAsia="Times New Roman" w:cs="PT Astra Serif" w:ascii="PT Astra Serif" w:hAnsi="PT Astra Serif"/>
                <w:kern w:val="2"/>
                <w:sz w:val="20"/>
                <w:szCs w:val="20"/>
                <w:lang w:eastAsia="ru-RU"/>
              </w:rPr>
              <w:t>Поставщик :</w:t>
            </w:r>
          </w:p>
          <w:p>
            <w:pPr>
              <w:pStyle w:val="Normal"/>
              <w:widowControl w:val="false"/>
              <w:snapToGrid w:val="false"/>
              <w:spacing w:lineRule="auto" w:line="240" w:before="0" w:after="0"/>
              <w:jc w:val="left"/>
              <w:rPr>
                <w:rFonts w:ascii="PT Astra Serif" w:hAnsi="PT Astra Serif" w:eastAsia="Times New Roman" w:cs="PT Astra Serif"/>
                <w:kern w:val="2"/>
                <w:sz w:val="20"/>
                <w:szCs w:val="20"/>
                <w:lang w:eastAsia="ru-RU"/>
              </w:rPr>
            </w:pPr>
            <w:r>
              <w:rPr>
                <w:rFonts w:eastAsia="Times New Roman" w:cs="PT Astra Serif" w:ascii="PT Astra Serif" w:hAnsi="PT Astra Serif"/>
                <w:kern w:val="2"/>
                <w:sz w:val="20"/>
                <w:szCs w:val="20"/>
                <w:lang w:eastAsia="ru-RU"/>
              </w:rPr>
            </w:r>
          </w:p>
        </w:tc>
      </w:tr>
    </w:tbl>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t>Приложение N 1к Контракту</w:t>
      </w:r>
    </w:p>
    <w:p>
      <w:pPr>
        <w:pStyle w:val="ConsPlusNormal1"/>
        <w:jc w:val="right"/>
        <w:rPr>
          <w:rFonts w:ascii="PT Astra Serif" w:hAnsi="PT Astra Serif"/>
          <w:sz w:val="20"/>
          <w:szCs w:val="20"/>
        </w:rPr>
      </w:pPr>
      <w:r>
        <w:rPr>
          <w:rFonts w:ascii="PT Astra Serif" w:hAnsi="PT Astra Serif"/>
          <w:sz w:val="20"/>
          <w:szCs w:val="20"/>
        </w:rPr>
        <w:t xml:space="preserve">От                      2026  г. N  </w:t>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center"/>
        <w:rPr>
          <w:rFonts w:ascii="PT Astra Serif" w:hAnsi="PT Astra Serif"/>
          <w:sz w:val="20"/>
          <w:szCs w:val="20"/>
        </w:rPr>
      </w:pPr>
      <w:bookmarkStart w:id="18" w:name="P326"/>
      <w:bookmarkEnd w:id="18"/>
      <w:r>
        <w:rPr>
          <w:rFonts w:ascii="PT Astra Serif" w:hAnsi="PT Astra Serif"/>
          <w:sz w:val="20"/>
          <w:szCs w:val="20"/>
        </w:rPr>
        <w:t>СПЕЦИФИКАЦИЯ</w:t>
      </w:r>
    </w:p>
    <w:p>
      <w:pPr>
        <w:pStyle w:val="ConsPlusNormal1"/>
        <w:jc w:val="both"/>
        <w:rPr>
          <w:rFonts w:ascii="PT Astra Serif" w:hAnsi="PT Astra Serif"/>
          <w:sz w:val="20"/>
          <w:szCs w:val="20"/>
        </w:rPr>
      </w:pPr>
      <w:r>
        <w:rPr>
          <w:rFonts w:ascii="PT Astra Serif" w:hAnsi="PT Astra Serif"/>
          <w:sz w:val="20"/>
          <w:szCs w:val="20"/>
        </w:rPr>
      </w:r>
    </w:p>
    <w:tbl>
      <w:tblPr>
        <w:tblW w:w="9843" w:type="dxa"/>
        <w:jc w:val="left"/>
        <w:tblInd w:w="0" w:type="dxa"/>
        <w:tblLayout w:type="fixed"/>
        <w:tblCellMar>
          <w:top w:w="102" w:type="dxa"/>
          <w:left w:w="62" w:type="dxa"/>
          <w:bottom w:w="102" w:type="dxa"/>
          <w:right w:w="62" w:type="dxa"/>
        </w:tblCellMar>
      </w:tblPr>
      <w:tblGrid>
        <w:gridCol w:w="358"/>
        <w:gridCol w:w="2106"/>
        <w:gridCol w:w="4286"/>
        <w:gridCol w:w="728"/>
        <w:gridCol w:w="630"/>
        <w:gridCol w:w="847"/>
        <w:gridCol w:w="888"/>
      </w:tblGrid>
      <w:tr>
        <w:trPr/>
        <w:tc>
          <w:tcPr>
            <w:tcW w:w="35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N п/п</w:t>
            </w:r>
          </w:p>
        </w:tc>
        <w:tc>
          <w:tcPr>
            <w:tcW w:w="2106"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Наименование Товара</w:t>
            </w:r>
          </w:p>
        </w:tc>
        <w:tc>
          <w:tcPr>
            <w:tcW w:w="4286" w:type="dxa"/>
            <w:tcBorders>
              <w:top w:val="single" w:sz="4" w:space="0" w:color="000000"/>
              <w:left w:val="single" w:sz="4" w:space="0" w:color="000000"/>
              <w:bottom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Остаточный срок годности</w:t>
            </w:r>
          </w:p>
        </w:tc>
        <w:tc>
          <w:tcPr>
            <w:tcW w:w="728" w:type="dxa"/>
            <w:tcBorders>
              <w:top w:val="single" w:sz="4" w:space="0" w:color="000000"/>
              <w:left w:val="single" w:sz="4" w:space="0" w:color="000000"/>
              <w:bottom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Единицы измерения</w:t>
            </w:r>
          </w:p>
        </w:tc>
        <w:tc>
          <w:tcPr>
            <w:tcW w:w="63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Кол-во</w:t>
            </w:r>
          </w:p>
        </w:tc>
        <w:tc>
          <w:tcPr>
            <w:tcW w:w="84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Цена за единицу измерения (товара), руб.</w:t>
            </w:r>
          </w:p>
          <w:p>
            <w:pPr>
              <w:pStyle w:val="ConsPlusNormal1"/>
              <w:widowControl w:val="false"/>
              <w:jc w:val="center"/>
              <w:rPr>
                <w:rFonts w:ascii="PT Astra Serif" w:hAnsi="PT Astra Serif"/>
                <w:sz w:val="20"/>
                <w:szCs w:val="20"/>
              </w:rPr>
            </w:pPr>
            <w:r>
              <w:rPr>
                <w:rFonts w:ascii="PT Astra Serif" w:hAnsi="PT Astra Serif"/>
                <w:sz w:val="20"/>
                <w:szCs w:val="20"/>
              </w:rPr>
            </w:r>
          </w:p>
        </w:tc>
        <w:tc>
          <w:tcPr>
            <w:tcW w:w="88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eastAsia="Calibri" w:ascii="PT Astra Serif" w:hAnsi="PT Astra Serif"/>
                <w:sz w:val="20"/>
                <w:szCs w:val="20"/>
                <w:lang w:eastAsia="en-US"/>
              </w:rPr>
              <w:t>Максимальная цена позиции Товара</w:t>
            </w:r>
          </w:p>
        </w:tc>
      </w:tr>
      <w:tr>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rFonts w:ascii="PT Astra Serif" w:hAnsi="PT Astra Serif"/>
                <w:color w:val="auto"/>
                <w:sz w:val="20"/>
                <w:szCs w:val="20"/>
              </w:rPr>
              <w:t>1</w:t>
            </w:r>
          </w:p>
        </w:tc>
        <w:tc>
          <w:tcPr>
            <w:tcW w:w="2106" w:type="dxa"/>
            <w:tcBorders>
              <w:left w:val="single" w:sz="4" w:space="0" w:color="000000"/>
              <w:bottom w:val="single" w:sz="4" w:space="0" w:color="000000"/>
              <w:right w:val="single" w:sz="4" w:space="0" w:color="000000"/>
            </w:tcBorders>
          </w:tcPr>
          <w:p>
            <w:pPr>
              <w:pStyle w:val="Style43"/>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вермишель</w:t>
            </w:r>
          </w:p>
        </w:tc>
        <w:tc>
          <w:tcPr>
            <w:tcW w:w="4286"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 xml:space="preserve">Вид изделия макаронного: Вермишель, Вид сырья :Пшеничная мука, Группа макаронных изделий из пшеничной муки: А, Сорт макаронных изделий из пшеничной муки: Высший Соответствие нормативной документации ГОСТ 31743-2017 Фасовка по согласованию с Заказчиком </w:t>
            </w:r>
          </w:p>
        </w:tc>
        <w:tc>
          <w:tcPr>
            <w:tcW w:w="728"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color w:val="000000"/>
              </w:rPr>
            </w:pPr>
            <w:r>
              <w:rPr>
                <w:rFonts w:ascii="PT Astra Serif" w:hAnsi="PT Astra Serif"/>
                <w:color w:val="000000"/>
              </w:rPr>
              <w:t>кг</w:t>
            </w:r>
          </w:p>
        </w:tc>
        <w:tc>
          <w:tcPr>
            <w:tcW w:w="630" w:type="dxa"/>
            <w:tcBorders>
              <w:left w:val="single" w:sz="4" w:space="0" w:color="000000"/>
              <w:bottom w:val="single" w:sz="4" w:space="0" w:color="000000"/>
              <w:right w:val="single" w:sz="4" w:space="0" w:color="000000"/>
            </w:tcBorders>
          </w:tcPr>
          <w:p>
            <w:pPr>
              <w:pStyle w:val="Style43"/>
              <w:spacing w:before="0" w:after="200"/>
              <w:ind w:hanging="0" w:left="0" w:right="0"/>
              <w:jc w:val="left"/>
              <w:rPr>
                <w:rFonts w:ascii="PT Astra Serif" w:hAnsi="PT Astra Serif"/>
                <w:color w:val="000000"/>
              </w:rPr>
            </w:pPr>
            <w:r>
              <w:rPr>
                <w:rFonts w:ascii="PT Astra Serif" w:hAnsi="PT Astra Serif"/>
                <w:color w:val="000000"/>
              </w:rPr>
              <w:t>5</w:t>
            </w:r>
          </w:p>
        </w:tc>
        <w:tc>
          <w:tcPr>
            <w:tcW w:w="847"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rHeight w:val="1151" w:hRule="atLeast"/>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sz w:val="20"/>
                <w:szCs w:val="20"/>
              </w:rPr>
              <w:t>2</w:t>
            </w:r>
          </w:p>
        </w:tc>
        <w:tc>
          <w:tcPr>
            <w:tcW w:w="2106" w:type="dxa"/>
            <w:tcBorders>
              <w:left w:val="single" w:sz="4" w:space="0" w:color="000000"/>
              <w:bottom w:val="single" w:sz="4" w:space="0" w:color="000000"/>
              <w:right w:val="single" w:sz="4" w:space="0" w:color="000000"/>
            </w:tcBorders>
          </w:tcPr>
          <w:p>
            <w:pPr>
              <w:pStyle w:val="Style43"/>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горошек консервированный</w:t>
            </w:r>
          </w:p>
        </w:tc>
        <w:tc>
          <w:tcPr>
            <w:tcW w:w="4286"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 xml:space="preserve">Горох, консервированный без уксуса или уксусной кислоты Товарный сорт: Первый Фасовка : банка вес 0,420кг </w:t>
            </w:r>
          </w:p>
        </w:tc>
        <w:tc>
          <w:tcPr>
            <w:tcW w:w="728"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color w:val="000000"/>
              </w:rPr>
            </w:pPr>
            <w:r>
              <w:rPr>
                <w:rFonts w:ascii="PT Astra Serif" w:hAnsi="PT Astra Serif"/>
                <w:color w:val="000000"/>
              </w:rPr>
              <w:t>кг</w:t>
            </w:r>
          </w:p>
        </w:tc>
        <w:tc>
          <w:tcPr>
            <w:tcW w:w="630" w:type="dxa"/>
            <w:tcBorders>
              <w:left w:val="single" w:sz="4" w:space="0" w:color="000000"/>
              <w:bottom w:val="single" w:sz="4" w:space="0" w:color="000000"/>
              <w:right w:val="single" w:sz="4" w:space="0" w:color="000000"/>
            </w:tcBorders>
          </w:tcPr>
          <w:p>
            <w:pPr>
              <w:pStyle w:val="Style43"/>
              <w:spacing w:before="0" w:after="200"/>
              <w:ind w:hanging="0" w:left="0" w:right="0"/>
              <w:jc w:val="left"/>
              <w:rPr>
                <w:rFonts w:ascii="PT Astra Serif" w:hAnsi="PT Astra Serif"/>
                <w:color w:val="000000"/>
              </w:rPr>
            </w:pPr>
            <w:r>
              <w:rPr>
                <w:rFonts w:ascii="PT Astra Serif" w:hAnsi="PT Astra Serif"/>
                <w:color w:val="000000"/>
              </w:rPr>
              <w:t>10</w:t>
            </w:r>
          </w:p>
        </w:tc>
        <w:tc>
          <w:tcPr>
            <w:tcW w:w="847"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rHeight w:val="1151" w:hRule="atLeast"/>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sz w:val="20"/>
                <w:szCs w:val="20"/>
              </w:rPr>
              <w:t>3</w:t>
            </w:r>
          </w:p>
        </w:tc>
        <w:tc>
          <w:tcPr>
            <w:tcW w:w="2106" w:type="dxa"/>
            <w:tcBorders>
              <w:left w:val="single" w:sz="4" w:space="0" w:color="000000"/>
              <w:bottom w:val="single" w:sz="4" w:space="0" w:color="000000"/>
              <w:right w:val="single" w:sz="4" w:space="0" w:color="000000"/>
            </w:tcBorders>
          </w:tcPr>
          <w:p>
            <w:pPr>
              <w:pStyle w:val="Style43"/>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 xml:space="preserve">горох шлифованный </w:t>
            </w:r>
          </w:p>
        </w:tc>
        <w:tc>
          <w:tcPr>
            <w:tcW w:w="4286"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Вид зерна: Колотое, Сорт :Не ниже первого Фасовка:по согласованию с Заказчиком</w:t>
            </w:r>
          </w:p>
        </w:tc>
        <w:tc>
          <w:tcPr>
            <w:tcW w:w="728"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color w:val="000000"/>
              </w:rPr>
            </w:pPr>
            <w:r>
              <w:rPr>
                <w:rFonts w:ascii="PT Astra Serif" w:hAnsi="PT Astra Serif"/>
                <w:color w:val="000000"/>
              </w:rPr>
              <w:t>кг</w:t>
            </w:r>
          </w:p>
        </w:tc>
        <w:tc>
          <w:tcPr>
            <w:tcW w:w="630" w:type="dxa"/>
            <w:tcBorders>
              <w:left w:val="single" w:sz="4" w:space="0" w:color="000000"/>
              <w:bottom w:val="single" w:sz="4" w:space="0" w:color="000000"/>
              <w:right w:val="single" w:sz="4" w:space="0" w:color="000000"/>
            </w:tcBorders>
          </w:tcPr>
          <w:p>
            <w:pPr>
              <w:pStyle w:val="Style43"/>
              <w:spacing w:before="0" w:after="200"/>
              <w:ind w:hanging="0" w:left="0" w:right="0"/>
              <w:jc w:val="left"/>
              <w:rPr>
                <w:rFonts w:ascii="PT Astra Serif" w:hAnsi="PT Astra Serif"/>
                <w:color w:val="000000"/>
              </w:rPr>
            </w:pPr>
            <w:r>
              <w:rPr>
                <w:rFonts w:ascii="PT Astra Serif" w:hAnsi="PT Astra Serif"/>
                <w:color w:val="000000"/>
              </w:rPr>
              <w:t>10</w:t>
            </w:r>
          </w:p>
        </w:tc>
        <w:tc>
          <w:tcPr>
            <w:tcW w:w="847"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rHeight w:val="1151" w:hRule="atLeast"/>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sz w:val="20"/>
                <w:szCs w:val="20"/>
              </w:rPr>
              <w:t>4</w:t>
            </w:r>
          </w:p>
        </w:tc>
        <w:tc>
          <w:tcPr>
            <w:tcW w:w="2106" w:type="dxa"/>
            <w:tcBorders>
              <w:left w:val="single" w:sz="4" w:space="0" w:color="000000"/>
              <w:bottom w:val="single" w:sz="4" w:space="0" w:color="000000"/>
              <w:right w:val="single" w:sz="4" w:space="0" w:color="000000"/>
            </w:tcBorders>
          </w:tcPr>
          <w:p>
            <w:pPr>
              <w:pStyle w:val="Style43"/>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 xml:space="preserve">крупа гречневая </w:t>
            </w:r>
          </w:p>
        </w:tc>
        <w:tc>
          <w:tcPr>
            <w:tcW w:w="4286"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Сорт:не ниже первого,Вид крупы:ядрица Фасовка: по согласованию с Заказчиком</w:t>
            </w:r>
          </w:p>
        </w:tc>
        <w:tc>
          <w:tcPr>
            <w:tcW w:w="728"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color w:val="000000"/>
              </w:rPr>
            </w:pPr>
            <w:r>
              <w:rPr>
                <w:rFonts w:ascii="PT Astra Serif" w:hAnsi="PT Astra Serif"/>
                <w:color w:val="000000"/>
              </w:rPr>
              <w:t>кг</w:t>
            </w:r>
          </w:p>
        </w:tc>
        <w:tc>
          <w:tcPr>
            <w:tcW w:w="630" w:type="dxa"/>
            <w:tcBorders>
              <w:left w:val="single" w:sz="4" w:space="0" w:color="000000"/>
              <w:bottom w:val="single" w:sz="4" w:space="0" w:color="000000"/>
              <w:right w:val="single" w:sz="4" w:space="0" w:color="000000"/>
            </w:tcBorders>
          </w:tcPr>
          <w:p>
            <w:pPr>
              <w:pStyle w:val="Style43"/>
              <w:spacing w:before="0" w:after="200"/>
              <w:ind w:hanging="0" w:left="0" w:right="0"/>
              <w:jc w:val="left"/>
              <w:rPr>
                <w:rFonts w:ascii="PT Astra Serif" w:hAnsi="PT Astra Serif"/>
                <w:color w:val="000000"/>
              </w:rPr>
            </w:pPr>
            <w:r>
              <w:rPr>
                <w:rFonts w:ascii="PT Astra Serif" w:hAnsi="PT Astra Serif"/>
                <w:color w:val="000000"/>
              </w:rPr>
              <w:t>30</w:t>
            </w:r>
          </w:p>
        </w:tc>
        <w:tc>
          <w:tcPr>
            <w:tcW w:w="847"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rHeight w:val="1151" w:hRule="atLeast"/>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sz w:val="20"/>
                <w:szCs w:val="20"/>
              </w:rPr>
              <w:t>5</w:t>
            </w:r>
          </w:p>
        </w:tc>
        <w:tc>
          <w:tcPr>
            <w:tcW w:w="2106" w:type="dxa"/>
            <w:tcBorders>
              <w:left w:val="single" w:sz="4" w:space="0" w:color="000000"/>
              <w:bottom w:val="single" w:sz="4" w:space="0" w:color="000000"/>
              <w:right w:val="single" w:sz="4" w:space="0" w:color="000000"/>
            </w:tcBorders>
          </w:tcPr>
          <w:p>
            <w:pPr>
              <w:pStyle w:val="Style43"/>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крупа манная</w:t>
            </w:r>
          </w:p>
        </w:tc>
        <w:tc>
          <w:tcPr>
            <w:tcW w:w="4286"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Марка крупы:МТ фасовка:по согласованию с Заказчиком</w:t>
            </w:r>
          </w:p>
        </w:tc>
        <w:tc>
          <w:tcPr>
            <w:tcW w:w="728"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color w:val="000000"/>
              </w:rPr>
            </w:pPr>
            <w:r>
              <w:rPr>
                <w:rFonts w:ascii="PT Astra Serif" w:hAnsi="PT Astra Serif"/>
                <w:color w:val="000000"/>
              </w:rPr>
              <w:t>кг</w:t>
            </w:r>
          </w:p>
        </w:tc>
        <w:tc>
          <w:tcPr>
            <w:tcW w:w="630" w:type="dxa"/>
            <w:tcBorders>
              <w:left w:val="single" w:sz="4" w:space="0" w:color="000000"/>
              <w:bottom w:val="single" w:sz="4" w:space="0" w:color="000000"/>
              <w:right w:val="single" w:sz="4" w:space="0" w:color="000000"/>
            </w:tcBorders>
          </w:tcPr>
          <w:p>
            <w:pPr>
              <w:pStyle w:val="Style43"/>
              <w:spacing w:before="0" w:after="200"/>
              <w:ind w:hanging="0" w:left="0" w:right="0"/>
              <w:jc w:val="left"/>
              <w:rPr>
                <w:rFonts w:ascii="PT Astra Serif" w:hAnsi="PT Astra Serif"/>
                <w:color w:val="000000"/>
              </w:rPr>
            </w:pPr>
            <w:r>
              <w:rPr>
                <w:rFonts w:ascii="PT Astra Serif" w:hAnsi="PT Astra Serif"/>
                <w:color w:val="000000"/>
              </w:rPr>
              <w:t>6</w:t>
            </w:r>
          </w:p>
        </w:tc>
        <w:tc>
          <w:tcPr>
            <w:tcW w:w="847"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rHeight w:val="1151" w:hRule="atLeast"/>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sz w:val="20"/>
                <w:szCs w:val="20"/>
              </w:rPr>
              <w:t>6</w:t>
            </w:r>
          </w:p>
        </w:tc>
        <w:tc>
          <w:tcPr>
            <w:tcW w:w="2106" w:type="dxa"/>
            <w:tcBorders>
              <w:left w:val="single" w:sz="4" w:space="0" w:color="000000"/>
              <w:bottom w:val="single" w:sz="4" w:space="0" w:color="000000"/>
              <w:right w:val="single" w:sz="4" w:space="0" w:color="000000"/>
            </w:tcBorders>
          </w:tcPr>
          <w:p>
            <w:pPr>
              <w:pStyle w:val="Style43"/>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крупа пшено шлифованное</w:t>
            </w:r>
          </w:p>
        </w:tc>
        <w:tc>
          <w:tcPr>
            <w:tcW w:w="4286"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 xml:space="preserve">Сорт :высший , Фасовка:по согласованию с Заказчиком </w:t>
            </w:r>
          </w:p>
        </w:tc>
        <w:tc>
          <w:tcPr>
            <w:tcW w:w="728"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color w:val="000000"/>
              </w:rPr>
            </w:pPr>
            <w:r>
              <w:rPr>
                <w:rFonts w:ascii="PT Astra Serif" w:hAnsi="PT Astra Serif"/>
                <w:color w:val="000000"/>
              </w:rPr>
              <w:t>кг</w:t>
            </w:r>
          </w:p>
        </w:tc>
        <w:tc>
          <w:tcPr>
            <w:tcW w:w="630" w:type="dxa"/>
            <w:tcBorders>
              <w:left w:val="single" w:sz="4" w:space="0" w:color="000000"/>
              <w:bottom w:val="single" w:sz="4" w:space="0" w:color="000000"/>
              <w:right w:val="single" w:sz="4" w:space="0" w:color="000000"/>
            </w:tcBorders>
          </w:tcPr>
          <w:p>
            <w:pPr>
              <w:pStyle w:val="Style43"/>
              <w:spacing w:before="0" w:after="200"/>
              <w:ind w:hanging="0" w:left="0" w:right="0"/>
              <w:jc w:val="left"/>
              <w:rPr>
                <w:rFonts w:ascii="PT Astra Serif" w:hAnsi="PT Astra Serif"/>
                <w:color w:val="000000"/>
              </w:rPr>
            </w:pPr>
            <w:r>
              <w:rPr>
                <w:rFonts w:ascii="PT Astra Serif" w:hAnsi="PT Astra Serif"/>
                <w:color w:val="000000"/>
              </w:rPr>
              <w:t>10</w:t>
            </w:r>
          </w:p>
        </w:tc>
        <w:tc>
          <w:tcPr>
            <w:tcW w:w="847"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rHeight w:val="1151" w:hRule="atLeast"/>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sz w:val="20"/>
                <w:szCs w:val="20"/>
              </w:rPr>
              <w:t>7</w:t>
            </w:r>
          </w:p>
        </w:tc>
        <w:tc>
          <w:tcPr>
            <w:tcW w:w="2106" w:type="dxa"/>
            <w:tcBorders>
              <w:left w:val="single" w:sz="4" w:space="0" w:color="000000"/>
              <w:bottom w:val="single" w:sz="4" w:space="0" w:color="000000"/>
              <w:right w:val="single" w:sz="4" w:space="0" w:color="000000"/>
            </w:tcBorders>
          </w:tcPr>
          <w:p>
            <w:pPr>
              <w:pStyle w:val="Style43"/>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какао порошок</w:t>
            </w:r>
          </w:p>
        </w:tc>
        <w:tc>
          <w:tcPr>
            <w:tcW w:w="4286"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Тип какао-порошка: Какао-порошок, Наличие в составе сахара или других подслащивающих веществ: Нет, Соответствие нормативной документации ГОСТ 108-2014 Фасовка: по согласованию с Заказчиком</w:t>
            </w:r>
          </w:p>
        </w:tc>
        <w:tc>
          <w:tcPr>
            <w:tcW w:w="728"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color w:val="000000"/>
              </w:rPr>
            </w:pPr>
            <w:r>
              <w:rPr>
                <w:rFonts w:ascii="PT Astra Serif" w:hAnsi="PT Astra Serif"/>
                <w:color w:val="000000"/>
              </w:rPr>
              <w:t>кг</w:t>
            </w:r>
          </w:p>
        </w:tc>
        <w:tc>
          <w:tcPr>
            <w:tcW w:w="630" w:type="dxa"/>
            <w:tcBorders>
              <w:left w:val="single" w:sz="4" w:space="0" w:color="000000"/>
              <w:bottom w:val="single" w:sz="4" w:space="0" w:color="000000"/>
              <w:right w:val="single" w:sz="4" w:space="0" w:color="000000"/>
            </w:tcBorders>
          </w:tcPr>
          <w:p>
            <w:pPr>
              <w:pStyle w:val="Style43"/>
              <w:spacing w:before="0" w:after="200"/>
              <w:ind w:hanging="0" w:left="0" w:right="0"/>
              <w:jc w:val="left"/>
              <w:rPr>
                <w:rFonts w:ascii="PT Astra Serif" w:hAnsi="PT Astra Serif"/>
                <w:color w:val="000000"/>
              </w:rPr>
            </w:pPr>
            <w:r>
              <w:rPr>
                <w:rFonts w:ascii="PT Astra Serif" w:hAnsi="PT Astra Serif"/>
                <w:color w:val="000000"/>
              </w:rPr>
              <w:t>1.2</w:t>
            </w:r>
          </w:p>
        </w:tc>
        <w:tc>
          <w:tcPr>
            <w:tcW w:w="847"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rHeight w:val="1151" w:hRule="atLeast"/>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sz w:val="20"/>
                <w:szCs w:val="20"/>
              </w:rPr>
              <w:t>8</w:t>
            </w:r>
          </w:p>
        </w:tc>
        <w:tc>
          <w:tcPr>
            <w:tcW w:w="2106" w:type="dxa"/>
            <w:tcBorders>
              <w:left w:val="single" w:sz="4" w:space="0" w:color="000000"/>
              <w:bottom w:val="single" w:sz="4" w:space="0" w:color="000000"/>
              <w:right w:val="single" w:sz="4" w:space="0" w:color="000000"/>
            </w:tcBorders>
          </w:tcPr>
          <w:p>
            <w:pPr>
              <w:pStyle w:val="Style43"/>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макароны</w:t>
            </w:r>
          </w:p>
        </w:tc>
        <w:tc>
          <w:tcPr>
            <w:tcW w:w="4286"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 xml:space="preserve">Вид изделия макаронного: Изделие макаронное фигурное, Группа макаронных изделий: из пшеничной муки А Вид сырья: Пшеничная мука, Сорт макаронных изделий из пшеничной муки: Высший Соответствие нормативной документации ГОСТ 31743-2017 Фасовка : по согласованию с Заказчиком </w:t>
            </w:r>
          </w:p>
        </w:tc>
        <w:tc>
          <w:tcPr>
            <w:tcW w:w="728"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color w:val="000000"/>
              </w:rPr>
            </w:pPr>
            <w:r>
              <w:rPr>
                <w:rFonts w:ascii="PT Astra Serif" w:hAnsi="PT Astra Serif"/>
                <w:color w:val="000000"/>
              </w:rPr>
              <w:t>кг</w:t>
            </w:r>
          </w:p>
        </w:tc>
        <w:tc>
          <w:tcPr>
            <w:tcW w:w="630" w:type="dxa"/>
            <w:tcBorders>
              <w:left w:val="single" w:sz="4" w:space="0" w:color="000000"/>
              <w:bottom w:val="single" w:sz="4" w:space="0" w:color="000000"/>
              <w:right w:val="single" w:sz="4" w:space="0" w:color="000000"/>
            </w:tcBorders>
          </w:tcPr>
          <w:p>
            <w:pPr>
              <w:pStyle w:val="Style43"/>
              <w:spacing w:before="0" w:after="200"/>
              <w:ind w:hanging="0" w:left="0" w:right="0"/>
              <w:jc w:val="left"/>
              <w:rPr>
                <w:color w:val="000000"/>
              </w:rPr>
            </w:pPr>
            <w:r>
              <w:rPr>
                <w:color w:val="000000"/>
              </w:rPr>
              <w:t>40</w:t>
            </w:r>
          </w:p>
        </w:tc>
        <w:tc>
          <w:tcPr>
            <w:tcW w:w="847"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rHeight w:val="1151" w:hRule="atLeast"/>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sz w:val="20"/>
                <w:szCs w:val="20"/>
              </w:rPr>
              <w:t>9</w:t>
            </w:r>
          </w:p>
        </w:tc>
        <w:tc>
          <w:tcPr>
            <w:tcW w:w="2106" w:type="dxa"/>
            <w:tcBorders>
              <w:left w:val="single" w:sz="4" w:space="0" w:color="000000"/>
              <w:bottom w:val="single" w:sz="4" w:space="0" w:color="000000"/>
              <w:right w:val="single" w:sz="4" w:space="0" w:color="000000"/>
            </w:tcBorders>
          </w:tcPr>
          <w:p>
            <w:pPr>
              <w:pStyle w:val="Style43"/>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 xml:space="preserve">мука пшеничная хлебопекарская </w:t>
            </w:r>
          </w:p>
        </w:tc>
        <w:tc>
          <w:tcPr>
            <w:tcW w:w="4286"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Сорт муки: Не ниже высшего, Вид муки :Хлебопекарная Фасовка: по 2-5 кг</w:t>
            </w:r>
          </w:p>
        </w:tc>
        <w:tc>
          <w:tcPr>
            <w:tcW w:w="728"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color w:val="000000"/>
              </w:rPr>
            </w:pPr>
            <w:r>
              <w:rPr>
                <w:rFonts w:ascii="PT Astra Serif" w:hAnsi="PT Astra Serif"/>
                <w:color w:val="000000"/>
              </w:rPr>
              <w:t>кг</w:t>
            </w:r>
          </w:p>
        </w:tc>
        <w:tc>
          <w:tcPr>
            <w:tcW w:w="630" w:type="dxa"/>
            <w:tcBorders>
              <w:left w:val="single" w:sz="4" w:space="0" w:color="000000"/>
              <w:bottom w:val="single" w:sz="4" w:space="0" w:color="000000"/>
              <w:right w:val="single" w:sz="4" w:space="0" w:color="000000"/>
            </w:tcBorders>
          </w:tcPr>
          <w:p>
            <w:pPr>
              <w:pStyle w:val="Style43"/>
              <w:spacing w:before="0" w:after="200"/>
              <w:ind w:hanging="0" w:left="0" w:right="0"/>
              <w:jc w:val="left"/>
              <w:rPr>
                <w:color w:val="000000"/>
              </w:rPr>
            </w:pPr>
            <w:r>
              <w:rPr>
                <w:color w:val="000000"/>
              </w:rPr>
              <w:t>25</w:t>
            </w:r>
          </w:p>
        </w:tc>
        <w:tc>
          <w:tcPr>
            <w:tcW w:w="847"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rHeight w:val="1151" w:hRule="atLeast"/>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sz w:val="20"/>
                <w:szCs w:val="20"/>
              </w:rPr>
              <w:t>10</w:t>
            </w:r>
          </w:p>
        </w:tc>
        <w:tc>
          <w:tcPr>
            <w:tcW w:w="2106" w:type="dxa"/>
            <w:tcBorders>
              <w:left w:val="single" w:sz="4" w:space="0" w:color="000000"/>
              <w:bottom w:val="single" w:sz="4" w:space="0" w:color="000000"/>
              <w:right w:val="single" w:sz="4" w:space="0" w:color="000000"/>
            </w:tcBorders>
          </w:tcPr>
          <w:p>
            <w:pPr>
              <w:pStyle w:val="Style43"/>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 xml:space="preserve">масло растительное </w:t>
            </w:r>
          </w:p>
        </w:tc>
        <w:tc>
          <w:tcPr>
            <w:tcW w:w="4286"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Вид масла подсолнечного рафинированного : Дезодорированное Марка масла подсолнечного рафинированного дезодорированного: Первый сорт Фасовка : 0,9л-1,9 л</w:t>
            </w:r>
          </w:p>
        </w:tc>
        <w:tc>
          <w:tcPr>
            <w:tcW w:w="728"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color w:val="000000"/>
              </w:rPr>
            </w:pPr>
            <w:r>
              <w:rPr>
                <w:rFonts w:ascii="PT Astra Serif" w:hAnsi="PT Astra Serif"/>
                <w:color w:val="000000"/>
              </w:rPr>
              <w:t>шт</w:t>
            </w:r>
          </w:p>
        </w:tc>
        <w:tc>
          <w:tcPr>
            <w:tcW w:w="630" w:type="dxa"/>
            <w:tcBorders>
              <w:left w:val="single" w:sz="4" w:space="0" w:color="000000"/>
              <w:bottom w:val="single" w:sz="4" w:space="0" w:color="000000"/>
              <w:right w:val="single" w:sz="4" w:space="0" w:color="000000"/>
            </w:tcBorders>
          </w:tcPr>
          <w:p>
            <w:pPr>
              <w:pStyle w:val="Style43"/>
              <w:spacing w:before="0" w:after="200"/>
              <w:jc w:val="left"/>
              <w:rPr>
                <w:color w:val="000000"/>
              </w:rPr>
            </w:pPr>
            <w:r>
              <w:rPr>
                <w:color w:val="000000"/>
              </w:rPr>
              <w:t>24</w:t>
            </w:r>
          </w:p>
        </w:tc>
        <w:tc>
          <w:tcPr>
            <w:tcW w:w="847"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rHeight w:val="1151" w:hRule="atLeast"/>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sz w:val="20"/>
                <w:szCs w:val="20"/>
              </w:rPr>
              <w:t>11</w:t>
            </w:r>
          </w:p>
        </w:tc>
        <w:tc>
          <w:tcPr>
            <w:tcW w:w="2106" w:type="dxa"/>
            <w:tcBorders>
              <w:left w:val="single" w:sz="4" w:space="0" w:color="000000"/>
              <w:bottom w:val="single" w:sz="4" w:space="0" w:color="000000"/>
              <w:right w:val="single" w:sz="4" w:space="0" w:color="000000"/>
            </w:tcBorders>
          </w:tcPr>
          <w:p>
            <w:pPr>
              <w:pStyle w:val="Style43"/>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рис</w:t>
            </w:r>
          </w:p>
        </w:tc>
        <w:tc>
          <w:tcPr>
            <w:tcW w:w="4286"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 xml:space="preserve">Сорт Не ниже первого Вид Цельнозерновой Способ обработки Шелушеный (обрушенный) Пропаренный Нет Фасовка :по согласованию с Заказчиком </w:t>
            </w:r>
          </w:p>
        </w:tc>
        <w:tc>
          <w:tcPr>
            <w:tcW w:w="728"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color w:val="000000"/>
              </w:rPr>
            </w:pPr>
            <w:r>
              <w:rPr>
                <w:rFonts w:ascii="PT Astra Serif" w:hAnsi="PT Astra Serif"/>
                <w:color w:val="000000"/>
              </w:rPr>
              <w:t>кг</w:t>
            </w:r>
          </w:p>
        </w:tc>
        <w:tc>
          <w:tcPr>
            <w:tcW w:w="630" w:type="dxa"/>
            <w:tcBorders>
              <w:left w:val="single" w:sz="4" w:space="0" w:color="000000"/>
              <w:bottom w:val="single" w:sz="4" w:space="0" w:color="000000"/>
              <w:right w:val="single" w:sz="4" w:space="0" w:color="000000"/>
            </w:tcBorders>
          </w:tcPr>
          <w:p>
            <w:pPr>
              <w:pStyle w:val="Style43"/>
              <w:spacing w:before="0" w:after="200"/>
              <w:ind w:hanging="0" w:left="0" w:right="0"/>
              <w:jc w:val="left"/>
              <w:rPr>
                <w:color w:val="000000"/>
              </w:rPr>
            </w:pPr>
            <w:r>
              <w:rPr>
                <w:color w:val="000000"/>
              </w:rPr>
              <w:t>45</w:t>
            </w:r>
          </w:p>
        </w:tc>
        <w:tc>
          <w:tcPr>
            <w:tcW w:w="847"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rHeight w:val="1151" w:hRule="atLeast"/>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sz w:val="20"/>
                <w:szCs w:val="20"/>
              </w:rPr>
              <w:t>12</w:t>
            </w:r>
          </w:p>
        </w:tc>
        <w:tc>
          <w:tcPr>
            <w:tcW w:w="2106" w:type="dxa"/>
            <w:tcBorders>
              <w:left w:val="single" w:sz="4" w:space="0" w:color="000000"/>
              <w:bottom w:val="single" w:sz="4" w:space="0" w:color="000000"/>
              <w:right w:val="single" w:sz="4" w:space="0" w:color="000000"/>
            </w:tcBorders>
          </w:tcPr>
          <w:p>
            <w:pPr>
              <w:pStyle w:val="Style43"/>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соль пищевая поваренная йодированная</w:t>
            </w:r>
          </w:p>
        </w:tc>
        <w:tc>
          <w:tcPr>
            <w:tcW w:w="4286"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Вид сырья для соли пищевой: Каменная ,Вид соли по способу производства: Молотая, Соль йодированная: Да Сорт Высший Фасовка: 1 кг</w:t>
            </w:r>
          </w:p>
        </w:tc>
        <w:tc>
          <w:tcPr>
            <w:tcW w:w="728"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color w:val="000000"/>
              </w:rPr>
            </w:pPr>
            <w:r>
              <w:rPr>
                <w:rFonts w:ascii="PT Astra Serif" w:hAnsi="PT Astra Serif"/>
                <w:color w:val="000000"/>
              </w:rPr>
              <w:t>кг</w:t>
            </w:r>
          </w:p>
        </w:tc>
        <w:tc>
          <w:tcPr>
            <w:tcW w:w="630" w:type="dxa"/>
            <w:tcBorders>
              <w:left w:val="single" w:sz="4" w:space="0" w:color="000000"/>
              <w:bottom w:val="single" w:sz="4" w:space="0" w:color="000000"/>
              <w:right w:val="single" w:sz="4" w:space="0" w:color="000000"/>
            </w:tcBorders>
          </w:tcPr>
          <w:p>
            <w:pPr>
              <w:pStyle w:val="Style43"/>
              <w:spacing w:before="0" w:after="200"/>
              <w:ind w:hanging="0" w:left="0" w:right="0"/>
              <w:jc w:val="left"/>
              <w:rPr>
                <w:rFonts w:ascii="PT Astra Serif" w:hAnsi="PT Astra Serif"/>
                <w:color w:val="000000"/>
              </w:rPr>
            </w:pPr>
            <w:r>
              <w:rPr>
                <w:rFonts w:ascii="PT Astra Serif" w:hAnsi="PT Astra Serif"/>
                <w:color w:val="000000"/>
              </w:rPr>
              <w:t>10</w:t>
            </w:r>
          </w:p>
        </w:tc>
        <w:tc>
          <w:tcPr>
            <w:tcW w:w="847"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rHeight w:val="1151" w:hRule="atLeast"/>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sz w:val="20"/>
                <w:szCs w:val="20"/>
              </w:rPr>
              <w:t>13</w:t>
            </w:r>
          </w:p>
        </w:tc>
        <w:tc>
          <w:tcPr>
            <w:tcW w:w="2106" w:type="dxa"/>
            <w:tcBorders>
              <w:left w:val="single" w:sz="4" w:space="0" w:color="000000"/>
              <w:bottom w:val="single" w:sz="4" w:space="0" w:color="000000"/>
              <w:right w:val="single" w:sz="4" w:space="0" w:color="000000"/>
            </w:tcBorders>
          </w:tcPr>
          <w:p>
            <w:pPr>
              <w:pStyle w:val="Style43"/>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Смесь сушеных фруктов (сухой компот)</w:t>
            </w:r>
          </w:p>
        </w:tc>
        <w:tc>
          <w:tcPr>
            <w:tcW w:w="4286"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 xml:space="preserve">Наименование сушеных фруктов:Яблоко,груша,чернослив,куряга,сорт:экстра или высший . Фасовка по согласованию с Заказчиком </w:t>
            </w:r>
          </w:p>
        </w:tc>
        <w:tc>
          <w:tcPr>
            <w:tcW w:w="728"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color w:val="000000"/>
              </w:rPr>
            </w:pPr>
            <w:r>
              <w:rPr>
                <w:rFonts w:ascii="PT Astra Serif" w:hAnsi="PT Astra Serif"/>
                <w:color w:val="000000"/>
              </w:rPr>
              <w:t>кг</w:t>
            </w:r>
          </w:p>
        </w:tc>
        <w:tc>
          <w:tcPr>
            <w:tcW w:w="630" w:type="dxa"/>
            <w:tcBorders>
              <w:left w:val="single" w:sz="4" w:space="0" w:color="000000"/>
              <w:bottom w:val="single" w:sz="4" w:space="0" w:color="000000"/>
              <w:right w:val="single" w:sz="4" w:space="0" w:color="000000"/>
            </w:tcBorders>
          </w:tcPr>
          <w:p>
            <w:pPr>
              <w:pStyle w:val="Style43"/>
              <w:spacing w:before="0" w:after="200"/>
              <w:ind w:hanging="0" w:left="0" w:right="0"/>
              <w:jc w:val="left"/>
              <w:rPr>
                <w:rFonts w:ascii="PT Astra Serif" w:hAnsi="PT Astra Serif"/>
                <w:color w:val="000000"/>
              </w:rPr>
            </w:pPr>
            <w:r>
              <w:rPr>
                <w:rFonts w:ascii="PT Astra Serif" w:hAnsi="PT Astra Serif"/>
                <w:color w:val="000000"/>
              </w:rPr>
              <w:t>10</w:t>
            </w:r>
          </w:p>
        </w:tc>
        <w:tc>
          <w:tcPr>
            <w:tcW w:w="847"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rHeight w:val="1151" w:hRule="atLeast"/>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sz w:val="20"/>
                <w:szCs w:val="20"/>
              </w:rPr>
              <w:t>14</w:t>
            </w:r>
          </w:p>
        </w:tc>
        <w:tc>
          <w:tcPr>
            <w:tcW w:w="2106" w:type="dxa"/>
            <w:tcBorders>
              <w:left w:val="single" w:sz="4" w:space="0" w:color="000000"/>
              <w:bottom w:val="single" w:sz="4" w:space="0" w:color="000000"/>
              <w:right w:val="single" w:sz="4" w:space="0" w:color="000000"/>
            </w:tcBorders>
          </w:tcPr>
          <w:p>
            <w:pPr>
              <w:pStyle w:val="Style43"/>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 xml:space="preserve">паста томатная </w:t>
            </w:r>
          </w:p>
        </w:tc>
        <w:tc>
          <w:tcPr>
            <w:tcW w:w="4286"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sz w:val="20"/>
                <w:szCs w:val="20"/>
              </w:rPr>
            </w:pPr>
            <w:r>
              <w:rPr>
                <w:rFonts w:ascii="PT Astra Serif" w:hAnsi="PT Astra Serif"/>
                <w:sz w:val="20"/>
                <w:szCs w:val="20"/>
              </w:rPr>
              <w:t xml:space="preserve">Вес товара в единице потребительской тары (упаковки) - 0,5 кг </w:t>
              <w:br/>
              <w:t>Внешний вид и консистенция: однородная концентрированная масса мажущейся консистенции, без темных включений, остатков кожицы, семян и других грубых частиц плодов. Цвет: красный, ярко выраженный, равномерный по всей массе. Вкус и запах: ярко выраженные, свойственные концентрированной томатной массе, без горечи, пригара и других посторонних привкуса и запаха. Томатная паста с массовой долей сухих веществ не менее 20%. Продукция не содержит ГМО. Каждая упаковка содержит маркировку о производителе, сроке годности, условиях хранения. Упаковка предотвращает порчу, сохраняет целостность продукта при транспортировке и хранении.На момент поставки остаточный срок годности товара не менее 4 месяцев транспортировке и хранении.</w:t>
            </w:r>
          </w:p>
        </w:tc>
        <w:tc>
          <w:tcPr>
            <w:tcW w:w="728"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color w:val="000000"/>
              </w:rPr>
            </w:pPr>
            <w:r>
              <w:rPr>
                <w:rFonts w:ascii="PT Astra Serif" w:hAnsi="PT Astra Serif"/>
                <w:color w:val="000000"/>
              </w:rPr>
              <w:t>кг</w:t>
            </w:r>
          </w:p>
        </w:tc>
        <w:tc>
          <w:tcPr>
            <w:tcW w:w="630" w:type="dxa"/>
            <w:tcBorders>
              <w:left w:val="single" w:sz="4" w:space="0" w:color="000000"/>
              <w:bottom w:val="single" w:sz="4" w:space="0" w:color="000000"/>
              <w:right w:val="single" w:sz="4" w:space="0" w:color="000000"/>
            </w:tcBorders>
          </w:tcPr>
          <w:p>
            <w:pPr>
              <w:pStyle w:val="Style43"/>
              <w:spacing w:before="0" w:after="200"/>
              <w:ind w:hanging="0" w:left="0" w:right="0"/>
              <w:jc w:val="left"/>
              <w:rPr>
                <w:rFonts w:ascii="PT Astra Serif" w:hAnsi="PT Astra Serif"/>
                <w:color w:val="000000"/>
              </w:rPr>
            </w:pPr>
            <w:r>
              <w:rPr>
                <w:rFonts w:ascii="PT Astra Serif" w:hAnsi="PT Astra Serif"/>
                <w:color w:val="000000"/>
              </w:rPr>
              <w:t>6</w:t>
            </w:r>
          </w:p>
        </w:tc>
        <w:tc>
          <w:tcPr>
            <w:tcW w:w="847"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rHeight w:val="1151" w:hRule="atLeast"/>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sz w:val="20"/>
                <w:szCs w:val="20"/>
              </w:rPr>
              <w:t>15</w:t>
            </w:r>
          </w:p>
        </w:tc>
        <w:tc>
          <w:tcPr>
            <w:tcW w:w="2106" w:type="dxa"/>
            <w:tcBorders>
              <w:left w:val="single" w:sz="4" w:space="0" w:color="000000"/>
              <w:bottom w:val="single" w:sz="4" w:space="0" w:color="000000"/>
              <w:right w:val="single" w:sz="4" w:space="0" w:color="000000"/>
            </w:tcBorders>
          </w:tcPr>
          <w:p>
            <w:pPr>
              <w:pStyle w:val="Style43"/>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Чай черный (ферментированный)</w:t>
            </w:r>
          </w:p>
        </w:tc>
        <w:tc>
          <w:tcPr>
            <w:tcW w:w="4286"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Вид чая черного (ферментированного) по способу обработки листа: Листовой Тип листа чая черного (ферментированного): Крупный Информация о технических регламентах и стандартах ГОСТ Р 32573-2013 Фасовка:пачка 0,1-0,5 кг</w:t>
            </w:r>
          </w:p>
        </w:tc>
        <w:tc>
          <w:tcPr>
            <w:tcW w:w="728"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color w:val="000000"/>
              </w:rPr>
            </w:pPr>
            <w:r>
              <w:rPr>
                <w:rFonts w:ascii="PT Astra Serif" w:hAnsi="PT Astra Serif"/>
                <w:color w:val="000000"/>
              </w:rPr>
              <w:t>кг</w:t>
            </w:r>
          </w:p>
        </w:tc>
        <w:tc>
          <w:tcPr>
            <w:tcW w:w="630" w:type="dxa"/>
            <w:tcBorders>
              <w:left w:val="single" w:sz="4" w:space="0" w:color="000000"/>
              <w:bottom w:val="single" w:sz="4" w:space="0" w:color="000000"/>
              <w:right w:val="single" w:sz="4" w:space="0" w:color="000000"/>
            </w:tcBorders>
          </w:tcPr>
          <w:p>
            <w:pPr>
              <w:pStyle w:val="Style43"/>
              <w:spacing w:before="0" w:after="200"/>
              <w:ind w:hanging="0" w:left="0" w:right="0"/>
              <w:jc w:val="left"/>
              <w:rPr>
                <w:rFonts w:ascii="PT Astra Serif" w:hAnsi="PT Astra Serif"/>
                <w:color w:val="000000"/>
              </w:rPr>
            </w:pPr>
            <w:r>
              <w:rPr>
                <w:rFonts w:ascii="PT Astra Serif" w:hAnsi="PT Astra Serif"/>
                <w:color w:val="000000"/>
              </w:rPr>
              <w:t>1.2</w:t>
            </w:r>
          </w:p>
        </w:tc>
        <w:tc>
          <w:tcPr>
            <w:tcW w:w="847"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rHeight w:val="1151" w:hRule="atLeast"/>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sz w:val="20"/>
                <w:szCs w:val="20"/>
              </w:rPr>
              <w:t>16</w:t>
            </w:r>
          </w:p>
        </w:tc>
        <w:tc>
          <w:tcPr>
            <w:tcW w:w="2106" w:type="dxa"/>
            <w:tcBorders>
              <w:left w:val="single" w:sz="4" w:space="0" w:color="000000"/>
              <w:bottom w:val="single" w:sz="4" w:space="0" w:color="000000"/>
              <w:right w:val="single" w:sz="4" w:space="0" w:color="000000"/>
            </w:tcBorders>
          </w:tcPr>
          <w:p>
            <w:pPr>
              <w:pStyle w:val="Style43"/>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кисель плодово-ягодный</w:t>
            </w:r>
          </w:p>
        </w:tc>
        <w:tc>
          <w:tcPr>
            <w:tcW w:w="4286"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 xml:space="preserve">кисель плодово-ягодный ,фасовка по согласованию с заказчиком </w:t>
            </w:r>
          </w:p>
        </w:tc>
        <w:tc>
          <w:tcPr>
            <w:tcW w:w="728" w:type="dxa"/>
            <w:tcBorders>
              <w:left w:val="single" w:sz="4" w:space="0" w:color="000000"/>
              <w:bottom w:val="single" w:sz="4" w:space="0" w:color="000000"/>
            </w:tcBorders>
          </w:tcPr>
          <w:p>
            <w:pPr>
              <w:pStyle w:val="Style43"/>
              <w:spacing w:before="0" w:after="200"/>
              <w:ind w:hanging="0" w:left="0" w:right="0"/>
              <w:jc w:val="left"/>
              <w:rPr>
                <w:color w:val="000000"/>
              </w:rPr>
            </w:pPr>
            <w:r>
              <w:rPr>
                <w:color w:val="000000"/>
              </w:rPr>
              <w:t>кг</w:t>
            </w:r>
          </w:p>
        </w:tc>
        <w:tc>
          <w:tcPr>
            <w:tcW w:w="630" w:type="dxa"/>
            <w:tcBorders>
              <w:left w:val="single" w:sz="4" w:space="0" w:color="000000"/>
              <w:bottom w:val="single" w:sz="4" w:space="0" w:color="000000"/>
              <w:right w:val="single" w:sz="4" w:space="0" w:color="000000"/>
            </w:tcBorders>
          </w:tcPr>
          <w:p>
            <w:pPr>
              <w:pStyle w:val="Style43"/>
              <w:spacing w:before="0" w:after="200"/>
              <w:ind w:hanging="0" w:left="0" w:right="0"/>
              <w:jc w:val="left"/>
              <w:rPr>
                <w:color w:val="000000"/>
              </w:rPr>
            </w:pPr>
            <w:r>
              <w:rPr>
                <w:color w:val="000000"/>
              </w:rPr>
              <w:t>10</w:t>
            </w:r>
          </w:p>
        </w:tc>
        <w:tc>
          <w:tcPr>
            <w:tcW w:w="847"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rHeight w:val="1151" w:hRule="atLeast"/>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sz w:val="20"/>
                <w:szCs w:val="20"/>
              </w:rPr>
              <w:t>17</w:t>
            </w:r>
          </w:p>
        </w:tc>
        <w:tc>
          <w:tcPr>
            <w:tcW w:w="2106" w:type="dxa"/>
            <w:tcBorders>
              <w:left w:val="single" w:sz="4" w:space="0" w:color="000000"/>
              <w:bottom w:val="single" w:sz="4" w:space="0" w:color="000000"/>
              <w:right w:val="single" w:sz="4" w:space="0" w:color="000000"/>
            </w:tcBorders>
          </w:tcPr>
          <w:p>
            <w:pPr>
              <w:pStyle w:val="Style43"/>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вафли ,весовые</w:t>
            </w:r>
          </w:p>
        </w:tc>
        <w:tc>
          <w:tcPr>
            <w:tcW w:w="4286"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sz w:val="20"/>
                <w:szCs w:val="20"/>
              </w:rPr>
            </w:pPr>
            <w:r>
              <w:rPr>
                <w:rFonts w:ascii="PT Astra Serif" w:hAnsi="PT Astra Serif"/>
                <w:sz w:val="20"/>
                <w:szCs w:val="20"/>
              </w:rPr>
              <w:t>Вид продукта:Вафли, Начика:да,Фасовка по согласованию с Заказчиком</w:t>
            </w:r>
          </w:p>
        </w:tc>
        <w:tc>
          <w:tcPr>
            <w:tcW w:w="728"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color w:val="000000"/>
              </w:rPr>
            </w:pPr>
            <w:r>
              <w:rPr>
                <w:rFonts w:ascii="PT Astra Serif" w:hAnsi="PT Astra Serif"/>
                <w:color w:val="000000"/>
              </w:rPr>
              <w:t>кг</w:t>
            </w:r>
          </w:p>
        </w:tc>
        <w:tc>
          <w:tcPr>
            <w:tcW w:w="630" w:type="dxa"/>
            <w:tcBorders>
              <w:left w:val="single" w:sz="4" w:space="0" w:color="000000"/>
              <w:bottom w:val="single" w:sz="4" w:space="0" w:color="000000"/>
              <w:right w:val="single" w:sz="4" w:space="0" w:color="000000"/>
            </w:tcBorders>
          </w:tcPr>
          <w:p>
            <w:pPr>
              <w:pStyle w:val="Style43"/>
              <w:spacing w:before="0" w:after="200"/>
              <w:ind w:hanging="0" w:left="0" w:right="0"/>
              <w:jc w:val="left"/>
              <w:rPr>
                <w:rFonts w:ascii="PT Astra Serif" w:hAnsi="PT Astra Serif"/>
                <w:color w:val="000000"/>
              </w:rPr>
            </w:pPr>
            <w:r>
              <w:rPr>
                <w:rFonts w:ascii="PT Astra Serif" w:hAnsi="PT Astra Serif"/>
                <w:color w:val="000000"/>
              </w:rPr>
              <w:t>15</w:t>
            </w:r>
          </w:p>
        </w:tc>
        <w:tc>
          <w:tcPr>
            <w:tcW w:w="847"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rHeight w:val="1151" w:hRule="atLeast"/>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sz w:val="20"/>
                <w:szCs w:val="20"/>
              </w:rPr>
              <w:t>18</w:t>
            </w:r>
          </w:p>
        </w:tc>
        <w:tc>
          <w:tcPr>
            <w:tcW w:w="2106" w:type="dxa"/>
            <w:tcBorders>
              <w:left w:val="single" w:sz="4" w:space="0" w:color="000000"/>
              <w:bottom w:val="single" w:sz="4" w:space="0" w:color="000000"/>
              <w:right w:val="single" w:sz="4" w:space="0" w:color="000000"/>
            </w:tcBorders>
          </w:tcPr>
          <w:p>
            <w:pPr>
              <w:pStyle w:val="Style43"/>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печенье</w:t>
            </w:r>
          </w:p>
        </w:tc>
        <w:tc>
          <w:tcPr>
            <w:tcW w:w="4286"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 xml:space="preserve">вид печенья: сахарное,фасовка : по согласованию с Заказчиком </w:t>
            </w:r>
          </w:p>
        </w:tc>
        <w:tc>
          <w:tcPr>
            <w:tcW w:w="728"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color w:val="000000"/>
              </w:rPr>
            </w:pPr>
            <w:r>
              <w:rPr>
                <w:rFonts w:ascii="PT Astra Serif" w:hAnsi="PT Astra Serif"/>
                <w:color w:val="000000"/>
              </w:rPr>
              <w:t>кг</w:t>
            </w:r>
          </w:p>
        </w:tc>
        <w:tc>
          <w:tcPr>
            <w:tcW w:w="630" w:type="dxa"/>
            <w:tcBorders>
              <w:left w:val="single" w:sz="4" w:space="0" w:color="000000"/>
              <w:bottom w:val="single" w:sz="4" w:space="0" w:color="000000"/>
              <w:right w:val="single" w:sz="4" w:space="0" w:color="000000"/>
            </w:tcBorders>
          </w:tcPr>
          <w:p>
            <w:pPr>
              <w:pStyle w:val="Style43"/>
              <w:spacing w:before="0" w:after="200"/>
              <w:ind w:hanging="0" w:left="0" w:right="0"/>
              <w:jc w:val="left"/>
              <w:rPr>
                <w:rFonts w:ascii="PT Astra Serif" w:hAnsi="PT Astra Serif"/>
                <w:color w:val="000000"/>
              </w:rPr>
            </w:pPr>
            <w:r>
              <w:rPr>
                <w:rFonts w:ascii="PT Astra Serif" w:hAnsi="PT Astra Serif"/>
                <w:color w:val="000000"/>
              </w:rPr>
              <w:t>20</w:t>
            </w:r>
          </w:p>
        </w:tc>
        <w:tc>
          <w:tcPr>
            <w:tcW w:w="847"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rHeight w:val="1151" w:hRule="atLeast"/>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sz w:val="20"/>
                <w:szCs w:val="20"/>
              </w:rPr>
              <w:t>19</w:t>
            </w:r>
          </w:p>
        </w:tc>
        <w:tc>
          <w:tcPr>
            <w:tcW w:w="2106" w:type="dxa"/>
            <w:tcBorders>
              <w:left w:val="single" w:sz="4" w:space="0" w:color="000000"/>
              <w:bottom w:val="single" w:sz="4" w:space="0" w:color="000000"/>
              <w:right w:val="single" w:sz="4" w:space="0" w:color="000000"/>
            </w:tcBorders>
          </w:tcPr>
          <w:p>
            <w:pPr>
              <w:pStyle w:val="Style43"/>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 xml:space="preserve">Пряники </w:t>
            </w:r>
          </w:p>
        </w:tc>
        <w:tc>
          <w:tcPr>
            <w:tcW w:w="4286"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Вид продукта по рецептуре : Без начинки ;мятные   Фасовка по согласованию</w:t>
            </w:r>
          </w:p>
        </w:tc>
        <w:tc>
          <w:tcPr>
            <w:tcW w:w="728" w:type="dxa"/>
            <w:tcBorders>
              <w:left w:val="single" w:sz="4" w:space="0" w:color="000000"/>
              <w:bottom w:val="single" w:sz="4" w:space="0" w:color="000000"/>
            </w:tcBorders>
          </w:tcPr>
          <w:p>
            <w:pPr>
              <w:pStyle w:val="Style43"/>
              <w:spacing w:before="0" w:after="200"/>
              <w:ind w:hanging="0" w:left="0" w:right="0"/>
              <w:jc w:val="left"/>
              <w:rPr>
                <w:color w:val="000000"/>
              </w:rPr>
            </w:pPr>
            <w:r>
              <w:rPr>
                <w:color w:val="000000"/>
              </w:rPr>
              <w:t>кг</w:t>
            </w:r>
          </w:p>
        </w:tc>
        <w:tc>
          <w:tcPr>
            <w:tcW w:w="630" w:type="dxa"/>
            <w:tcBorders>
              <w:left w:val="single" w:sz="4" w:space="0" w:color="000000"/>
              <w:bottom w:val="single" w:sz="4" w:space="0" w:color="000000"/>
              <w:right w:val="single" w:sz="4" w:space="0" w:color="000000"/>
            </w:tcBorders>
          </w:tcPr>
          <w:p>
            <w:pPr>
              <w:pStyle w:val="Style43"/>
              <w:spacing w:before="0" w:after="200"/>
              <w:ind w:hanging="0" w:left="0" w:right="0"/>
              <w:jc w:val="left"/>
              <w:rPr>
                <w:color w:val="000000"/>
              </w:rPr>
            </w:pPr>
            <w:r>
              <w:rPr>
                <w:color w:val="000000"/>
              </w:rPr>
              <w:t>20</w:t>
            </w:r>
          </w:p>
        </w:tc>
        <w:tc>
          <w:tcPr>
            <w:tcW w:w="847"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rHeight w:val="1151" w:hRule="atLeast"/>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sz w:val="20"/>
                <w:szCs w:val="20"/>
              </w:rPr>
              <w:t>20</w:t>
            </w:r>
          </w:p>
        </w:tc>
        <w:tc>
          <w:tcPr>
            <w:tcW w:w="2106" w:type="dxa"/>
            <w:tcBorders>
              <w:left w:val="single" w:sz="4" w:space="0" w:color="000000"/>
              <w:bottom w:val="single" w:sz="4" w:space="0" w:color="000000"/>
              <w:right w:val="single" w:sz="4" w:space="0" w:color="000000"/>
            </w:tcBorders>
          </w:tcPr>
          <w:p>
            <w:pPr>
              <w:pStyle w:val="Style43"/>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 xml:space="preserve">крупа пшеничная </w:t>
            </w:r>
          </w:p>
        </w:tc>
        <w:tc>
          <w:tcPr>
            <w:tcW w:w="4286"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sz w:val="20"/>
                <w:szCs w:val="20"/>
              </w:rPr>
            </w:pPr>
            <w:r>
              <w:rPr>
                <w:rFonts w:ascii="PT Astra Serif" w:hAnsi="PT Astra Serif"/>
                <w:sz w:val="20"/>
                <w:szCs w:val="20"/>
              </w:rPr>
              <w:t xml:space="preserve">Вид крупы: Полтавская </w:t>
              <w:br/>
              <w:t xml:space="preserve">Номер крупы: Средняя № 2,фасовка 1-5 кг </w:t>
            </w:r>
          </w:p>
        </w:tc>
        <w:tc>
          <w:tcPr>
            <w:tcW w:w="728"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color w:val="000000"/>
              </w:rPr>
            </w:pPr>
            <w:r>
              <w:rPr>
                <w:rFonts w:ascii="PT Astra Serif" w:hAnsi="PT Astra Serif"/>
                <w:color w:val="000000"/>
              </w:rPr>
              <w:t>кг</w:t>
            </w:r>
          </w:p>
        </w:tc>
        <w:tc>
          <w:tcPr>
            <w:tcW w:w="630" w:type="dxa"/>
            <w:tcBorders>
              <w:left w:val="single" w:sz="4" w:space="0" w:color="000000"/>
              <w:bottom w:val="single" w:sz="4" w:space="0" w:color="000000"/>
              <w:right w:val="single" w:sz="4" w:space="0" w:color="000000"/>
            </w:tcBorders>
          </w:tcPr>
          <w:p>
            <w:pPr>
              <w:pStyle w:val="Style43"/>
              <w:spacing w:before="0" w:after="200"/>
              <w:ind w:hanging="0" w:left="0" w:right="0"/>
              <w:jc w:val="left"/>
              <w:rPr>
                <w:rFonts w:ascii="PT Astra Serif" w:hAnsi="PT Astra Serif"/>
                <w:color w:val="000000"/>
              </w:rPr>
            </w:pPr>
            <w:r>
              <w:rPr>
                <w:rFonts w:ascii="PT Astra Serif" w:hAnsi="PT Astra Serif"/>
                <w:color w:val="000000"/>
              </w:rPr>
              <w:t>2</w:t>
            </w:r>
          </w:p>
        </w:tc>
        <w:tc>
          <w:tcPr>
            <w:tcW w:w="847"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rHeight w:val="1151" w:hRule="atLeast"/>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sz w:val="20"/>
                <w:szCs w:val="20"/>
              </w:rPr>
              <w:t>21</w:t>
            </w:r>
          </w:p>
        </w:tc>
        <w:tc>
          <w:tcPr>
            <w:tcW w:w="2106" w:type="dxa"/>
            <w:tcBorders>
              <w:left w:val="single" w:sz="4" w:space="0" w:color="000000"/>
              <w:bottom w:val="single" w:sz="4" w:space="0" w:color="000000"/>
              <w:right w:val="single" w:sz="4" w:space="0" w:color="000000"/>
            </w:tcBorders>
          </w:tcPr>
          <w:p>
            <w:pPr>
              <w:pStyle w:val="Style43"/>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крупа ячневая</w:t>
            </w:r>
          </w:p>
        </w:tc>
        <w:tc>
          <w:tcPr>
            <w:tcW w:w="4286"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Номер крупы: 2</w:t>
              <w:br/>
              <w:t>ГОСТ 5784-2022 , фасовка 1-5 кг</w:t>
            </w:r>
          </w:p>
        </w:tc>
        <w:tc>
          <w:tcPr>
            <w:tcW w:w="728"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color w:val="000000"/>
              </w:rPr>
            </w:pPr>
            <w:r>
              <w:rPr>
                <w:rFonts w:ascii="PT Astra Serif" w:hAnsi="PT Astra Serif"/>
                <w:color w:val="000000"/>
              </w:rPr>
              <w:t>кг</w:t>
            </w:r>
          </w:p>
        </w:tc>
        <w:tc>
          <w:tcPr>
            <w:tcW w:w="630" w:type="dxa"/>
            <w:tcBorders>
              <w:left w:val="single" w:sz="4" w:space="0" w:color="000000"/>
              <w:bottom w:val="single" w:sz="4" w:space="0" w:color="000000"/>
              <w:right w:val="single" w:sz="4" w:space="0" w:color="000000"/>
            </w:tcBorders>
          </w:tcPr>
          <w:p>
            <w:pPr>
              <w:pStyle w:val="Style43"/>
              <w:spacing w:before="0" w:after="200"/>
              <w:ind w:hanging="0" w:left="0" w:right="0"/>
              <w:jc w:val="left"/>
              <w:rPr>
                <w:rFonts w:ascii="PT Astra Serif" w:hAnsi="PT Astra Serif"/>
                <w:color w:val="000000"/>
              </w:rPr>
            </w:pPr>
            <w:r>
              <w:rPr>
                <w:rFonts w:ascii="PT Astra Serif" w:hAnsi="PT Astra Serif"/>
                <w:color w:val="000000"/>
              </w:rPr>
              <w:t>2</w:t>
            </w:r>
          </w:p>
        </w:tc>
        <w:tc>
          <w:tcPr>
            <w:tcW w:w="847"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rHeight w:val="1151" w:hRule="atLeast"/>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sz w:val="20"/>
                <w:szCs w:val="20"/>
              </w:rPr>
              <w:t>22</w:t>
            </w:r>
          </w:p>
        </w:tc>
        <w:tc>
          <w:tcPr>
            <w:tcW w:w="2106" w:type="dxa"/>
            <w:tcBorders>
              <w:left w:val="single" w:sz="4" w:space="0" w:color="000000"/>
              <w:bottom w:val="single" w:sz="4" w:space="0" w:color="000000"/>
              <w:right w:val="single" w:sz="4" w:space="0" w:color="000000"/>
            </w:tcBorders>
          </w:tcPr>
          <w:p>
            <w:pPr>
              <w:pStyle w:val="Style43"/>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кофейный напиток</w:t>
            </w:r>
          </w:p>
        </w:tc>
        <w:tc>
          <w:tcPr>
            <w:tcW w:w="4286"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 xml:space="preserve">Вид кофейного напитка :Без натурального кофе и цикория ,Тип напитка: Нерастворимый Фасовка по согласованию с Заказчиком </w:t>
            </w:r>
          </w:p>
        </w:tc>
        <w:tc>
          <w:tcPr>
            <w:tcW w:w="728"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color w:val="000000"/>
              </w:rPr>
            </w:pPr>
            <w:r>
              <w:rPr>
                <w:rFonts w:ascii="PT Astra Serif" w:hAnsi="PT Astra Serif"/>
                <w:color w:val="000000"/>
              </w:rPr>
              <w:t>кг</w:t>
            </w:r>
          </w:p>
        </w:tc>
        <w:tc>
          <w:tcPr>
            <w:tcW w:w="630" w:type="dxa"/>
            <w:tcBorders>
              <w:left w:val="single" w:sz="4" w:space="0" w:color="000000"/>
              <w:bottom w:val="single" w:sz="4" w:space="0" w:color="000000"/>
              <w:right w:val="single" w:sz="4" w:space="0" w:color="000000"/>
            </w:tcBorders>
          </w:tcPr>
          <w:p>
            <w:pPr>
              <w:pStyle w:val="Style43"/>
              <w:spacing w:before="0" w:after="200"/>
              <w:ind w:hanging="0" w:left="0" w:right="0"/>
              <w:jc w:val="left"/>
              <w:rPr>
                <w:rFonts w:ascii="PT Astra Serif" w:hAnsi="PT Astra Serif"/>
                <w:color w:val="000000"/>
              </w:rPr>
            </w:pPr>
            <w:r>
              <w:rPr>
                <w:rFonts w:ascii="PT Astra Serif" w:hAnsi="PT Astra Serif"/>
                <w:color w:val="000000"/>
              </w:rPr>
              <w:t>1.2</w:t>
            </w:r>
          </w:p>
        </w:tc>
        <w:tc>
          <w:tcPr>
            <w:tcW w:w="847"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rHeight w:val="1151" w:hRule="atLeast"/>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sz w:val="20"/>
                <w:szCs w:val="20"/>
              </w:rPr>
              <w:t>23</w:t>
            </w:r>
          </w:p>
        </w:tc>
        <w:tc>
          <w:tcPr>
            <w:tcW w:w="2106" w:type="dxa"/>
            <w:tcBorders>
              <w:left w:val="single" w:sz="4" w:space="0" w:color="000000"/>
              <w:bottom w:val="single" w:sz="4" w:space="0" w:color="000000"/>
              <w:right w:val="single" w:sz="4" w:space="0" w:color="000000"/>
            </w:tcBorders>
          </w:tcPr>
          <w:p>
            <w:pPr>
              <w:pStyle w:val="Style43"/>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сок фруктовый</w:t>
            </w:r>
          </w:p>
        </w:tc>
        <w:tc>
          <w:tcPr>
            <w:tcW w:w="4286"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sz w:val="20"/>
                <w:szCs w:val="20"/>
              </w:rPr>
            </w:pPr>
            <w:r>
              <w:rPr>
                <w:rFonts w:ascii="PT Astra Serif" w:hAnsi="PT Astra Serif"/>
                <w:sz w:val="20"/>
                <w:szCs w:val="20"/>
              </w:rPr>
              <w:t>Вид сока – фруктовый</w:t>
              <w:br/>
              <w:t>Вид сока по технологии производства - восстановленный</w:t>
              <w:br/>
              <w:t>Вид сока по способу обработки - пастеризованный</w:t>
              <w:br/>
              <w:t xml:space="preserve">Фасовка 3х литровая банка </w:t>
              <w:br/>
              <w:t>Остаточный срок годности на момент поставки 6 месяцев. Происхождение Россия</w:t>
            </w:r>
          </w:p>
        </w:tc>
        <w:tc>
          <w:tcPr>
            <w:tcW w:w="728"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color w:val="000000"/>
              </w:rPr>
            </w:pPr>
            <w:r>
              <w:rPr>
                <w:rFonts w:ascii="PT Astra Serif" w:hAnsi="PT Astra Serif"/>
                <w:color w:val="000000"/>
              </w:rPr>
              <w:t>шт</w:t>
            </w:r>
          </w:p>
        </w:tc>
        <w:tc>
          <w:tcPr>
            <w:tcW w:w="630" w:type="dxa"/>
            <w:tcBorders>
              <w:left w:val="single" w:sz="4" w:space="0" w:color="000000"/>
              <w:bottom w:val="single" w:sz="4" w:space="0" w:color="000000"/>
              <w:right w:val="single" w:sz="4" w:space="0" w:color="000000"/>
            </w:tcBorders>
          </w:tcPr>
          <w:p>
            <w:pPr>
              <w:pStyle w:val="Style43"/>
              <w:spacing w:before="0" w:after="200"/>
              <w:ind w:hanging="0" w:left="0" w:right="0"/>
              <w:jc w:val="left"/>
              <w:rPr>
                <w:rFonts w:ascii="PT Astra Serif" w:hAnsi="PT Astra Serif"/>
                <w:color w:val="000000"/>
              </w:rPr>
            </w:pPr>
            <w:r>
              <w:rPr>
                <w:rFonts w:ascii="PT Astra Serif" w:hAnsi="PT Astra Serif"/>
                <w:color w:val="000000"/>
              </w:rPr>
              <w:t>28</w:t>
            </w:r>
          </w:p>
        </w:tc>
        <w:tc>
          <w:tcPr>
            <w:tcW w:w="847"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rHeight w:val="1151" w:hRule="atLeast"/>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sz w:val="20"/>
                <w:szCs w:val="20"/>
              </w:rPr>
              <w:t>24</w:t>
            </w:r>
          </w:p>
        </w:tc>
        <w:tc>
          <w:tcPr>
            <w:tcW w:w="2106" w:type="dxa"/>
            <w:tcBorders>
              <w:left w:val="single" w:sz="4" w:space="0" w:color="000000"/>
              <w:bottom w:val="single" w:sz="4" w:space="0" w:color="000000"/>
              <w:right w:val="single" w:sz="4" w:space="0" w:color="000000"/>
            </w:tcBorders>
          </w:tcPr>
          <w:p>
            <w:pPr>
              <w:pStyle w:val="Style43"/>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сок фруктовый</w:t>
            </w:r>
          </w:p>
        </w:tc>
        <w:tc>
          <w:tcPr>
            <w:tcW w:w="4286"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sz w:val="20"/>
                <w:szCs w:val="20"/>
              </w:rPr>
            </w:pPr>
            <w:r>
              <w:rPr>
                <w:rFonts w:ascii="PT Astra Serif" w:hAnsi="PT Astra Serif"/>
                <w:sz w:val="20"/>
                <w:szCs w:val="20"/>
              </w:rPr>
              <w:t>Вид сока – фруктовый</w:t>
              <w:br/>
              <w:t>Вид сока по технологии производства - восстановленный</w:t>
              <w:br/>
              <w:t>Вид сока по способу обработки - пастеризованный</w:t>
              <w:br/>
              <w:t xml:space="preserve">Фасовка 1литр </w:t>
              <w:br/>
              <w:t>Остаточный срок годности на момент поставки 6 месяцев. Происхождение Россия</w:t>
            </w:r>
          </w:p>
        </w:tc>
        <w:tc>
          <w:tcPr>
            <w:tcW w:w="728"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color w:val="000000"/>
              </w:rPr>
            </w:pPr>
            <w:r>
              <w:rPr>
                <w:rFonts w:ascii="PT Astra Serif" w:hAnsi="PT Astra Serif"/>
                <w:color w:val="000000"/>
              </w:rPr>
              <w:t>шт</w:t>
            </w:r>
          </w:p>
        </w:tc>
        <w:tc>
          <w:tcPr>
            <w:tcW w:w="630" w:type="dxa"/>
            <w:tcBorders>
              <w:left w:val="single" w:sz="4" w:space="0" w:color="000000"/>
              <w:bottom w:val="single" w:sz="4" w:space="0" w:color="000000"/>
              <w:right w:val="single" w:sz="4" w:space="0" w:color="000000"/>
            </w:tcBorders>
          </w:tcPr>
          <w:p>
            <w:pPr>
              <w:pStyle w:val="Style43"/>
              <w:spacing w:before="0" w:after="200"/>
              <w:ind w:hanging="0" w:left="0" w:right="0"/>
              <w:jc w:val="left"/>
              <w:rPr>
                <w:rFonts w:ascii="PT Astra Serif" w:hAnsi="PT Astra Serif"/>
                <w:color w:val="000000"/>
              </w:rPr>
            </w:pPr>
            <w:r>
              <w:rPr>
                <w:rFonts w:ascii="PT Astra Serif" w:hAnsi="PT Astra Serif"/>
                <w:color w:val="000000"/>
              </w:rPr>
              <w:t>40</w:t>
            </w:r>
          </w:p>
        </w:tc>
        <w:tc>
          <w:tcPr>
            <w:tcW w:w="847"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rHeight w:val="1151" w:hRule="atLeast"/>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sz w:val="20"/>
                <w:szCs w:val="20"/>
              </w:rPr>
              <w:t>25</w:t>
            </w:r>
          </w:p>
        </w:tc>
        <w:tc>
          <w:tcPr>
            <w:tcW w:w="2106" w:type="dxa"/>
            <w:tcBorders>
              <w:left w:val="single" w:sz="4" w:space="0" w:color="000000"/>
              <w:bottom w:val="single" w:sz="4" w:space="0" w:color="000000"/>
              <w:right w:val="single" w:sz="4" w:space="0" w:color="000000"/>
            </w:tcBorders>
          </w:tcPr>
          <w:p>
            <w:pPr>
              <w:pStyle w:val="Style43"/>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 xml:space="preserve">фасоль красная консервированная </w:t>
            </w:r>
          </w:p>
        </w:tc>
        <w:tc>
          <w:tcPr>
            <w:tcW w:w="4286"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sz w:val="20"/>
                <w:szCs w:val="20"/>
              </w:rPr>
            </w:pPr>
            <w:r>
              <w:rPr>
                <w:rFonts w:ascii="PT Astra Serif" w:hAnsi="PT Astra Serif"/>
                <w:sz w:val="20"/>
                <w:szCs w:val="20"/>
              </w:rPr>
              <w:t>Фасоль, консервированная без уксуса или уксусной кислоты. Фасоль в собственном соку, бобы слабоизогнутые остроконечные, без постороннего привкуса и запаха</w:t>
              <w:br/>
              <w:t>Объем 400-500 г</w:t>
            </w:r>
          </w:p>
        </w:tc>
        <w:tc>
          <w:tcPr>
            <w:tcW w:w="728"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color w:val="000000"/>
              </w:rPr>
            </w:pPr>
            <w:r>
              <w:rPr>
                <w:rFonts w:ascii="PT Astra Serif" w:hAnsi="PT Astra Serif"/>
                <w:color w:val="000000"/>
              </w:rPr>
              <w:t xml:space="preserve">шт </w:t>
            </w:r>
          </w:p>
        </w:tc>
        <w:tc>
          <w:tcPr>
            <w:tcW w:w="630" w:type="dxa"/>
            <w:tcBorders>
              <w:left w:val="single" w:sz="4" w:space="0" w:color="000000"/>
              <w:bottom w:val="single" w:sz="4" w:space="0" w:color="000000"/>
              <w:right w:val="single" w:sz="4" w:space="0" w:color="000000"/>
            </w:tcBorders>
          </w:tcPr>
          <w:p>
            <w:pPr>
              <w:pStyle w:val="Style43"/>
              <w:spacing w:before="0" w:after="200"/>
              <w:ind w:hanging="0" w:left="0" w:right="0"/>
              <w:jc w:val="left"/>
              <w:rPr>
                <w:rFonts w:ascii="PT Astra Serif" w:hAnsi="PT Astra Serif"/>
                <w:color w:val="000000"/>
              </w:rPr>
            </w:pPr>
            <w:r>
              <w:rPr>
                <w:rFonts w:ascii="PT Astra Serif" w:hAnsi="PT Astra Serif"/>
                <w:color w:val="000000"/>
              </w:rPr>
              <w:t>10</w:t>
            </w:r>
          </w:p>
        </w:tc>
        <w:tc>
          <w:tcPr>
            <w:tcW w:w="847"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rHeight w:val="1151" w:hRule="atLeast"/>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sz w:val="20"/>
                <w:szCs w:val="20"/>
              </w:rPr>
              <w:t>26</w:t>
            </w:r>
          </w:p>
        </w:tc>
        <w:tc>
          <w:tcPr>
            <w:tcW w:w="2106" w:type="dxa"/>
            <w:tcBorders>
              <w:left w:val="single" w:sz="4" w:space="0" w:color="000000"/>
              <w:bottom w:val="single" w:sz="4" w:space="0" w:color="000000"/>
              <w:right w:val="single" w:sz="4" w:space="0" w:color="000000"/>
            </w:tcBorders>
          </w:tcPr>
          <w:p>
            <w:pPr>
              <w:pStyle w:val="Style43"/>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 xml:space="preserve">кукуруза консервированная </w:t>
            </w:r>
          </w:p>
        </w:tc>
        <w:tc>
          <w:tcPr>
            <w:tcW w:w="4286"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 xml:space="preserve">без уксуса или уксусной кислоты Товарный сорт: Первый Фасовка : банка вес 0,420кг </w:t>
            </w:r>
          </w:p>
        </w:tc>
        <w:tc>
          <w:tcPr>
            <w:tcW w:w="728"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color w:val="000000"/>
              </w:rPr>
            </w:pPr>
            <w:r>
              <w:rPr>
                <w:rFonts w:ascii="PT Astra Serif" w:hAnsi="PT Astra Serif"/>
                <w:color w:val="000000"/>
              </w:rPr>
              <w:t>шт</w:t>
            </w:r>
          </w:p>
        </w:tc>
        <w:tc>
          <w:tcPr>
            <w:tcW w:w="630" w:type="dxa"/>
            <w:tcBorders>
              <w:left w:val="single" w:sz="4" w:space="0" w:color="000000"/>
              <w:bottom w:val="single" w:sz="4" w:space="0" w:color="000000"/>
              <w:right w:val="single" w:sz="4" w:space="0" w:color="000000"/>
            </w:tcBorders>
          </w:tcPr>
          <w:p>
            <w:pPr>
              <w:pStyle w:val="Style43"/>
              <w:spacing w:before="0" w:after="200"/>
              <w:ind w:hanging="0" w:left="0" w:right="0"/>
              <w:jc w:val="left"/>
              <w:rPr>
                <w:rFonts w:ascii="PT Astra Serif" w:hAnsi="PT Astra Serif"/>
                <w:color w:val="000000"/>
              </w:rPr>
            </w:pPr>
            <w:r>
              <w:rPr>
                <w:rFonts w:ascii="PT Astra Serif" w:hAnsi="PT Astra Serif"/>
                <w:color w:val="000000"/>
              </w:rPr>
              <w:t>10</w:t>
            </w:r>
          </w:p>
        </w:tc>
        <w:tc>
          <w:tcPr>
            <w:tcW w:w="847"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rHeight w:val="1151" w:hRule="atLeast"/>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rFonts w:ascii="PT Astra Serif" w:hAnsi="PT Astra Serif"/>
                <w:color w:val="auto"/>
                <w:sz w:val="20"/>
                <w:szCs w:val="20"/>
              </w:rPr>
              <w:t>27</w:t>
            </w:r>
          </w:p>
        </w:tc>
        <w:tc>
          <w:tcPr>
            <w:tcW w:w="2106" w:type="dxa"/>
            <w:tcBorders>
              <w:left w:val="single" w:sz="4" w:space="0" w:color="000000"/>
              <w:bottom w:val="single" w:sz="4" w:space="0" w:color="000000"/>
              <w:right w:val="single" w:sz="4" w:space="0" w:color="000000"/>
            </w:tcBorders>
          </w:tcPr>
          <w:p>
            <w:pPr>
              <w:pStyle w:val="Style43"/>
              <w:spacing w:before="0" w:after="200"/>
              <w:jc w:val="left"/>
              <w:rPr>
                <w:rFonts w:ascii="PT Astra Serif" w:hAnsi="PT Astra Serif"/>
                <w:color w:val="000000"/>
                <w:sz w:val="20"/>
                <w:szCs w:val="20"/>
              </w:rPr>
            </w:pPr>
            <w:r>
              <w:rPr>
                <w:rFonts w:ascii="PT Astra Serif" w:hAnsi="PT Astra Serif"/>
                <w:color w:val="000000"/>
                <w:sz w:val="20"/>
                <w:szCs w:val="20"/>
              </w:rPr>
              <w:t>Сахарный песок</w:t>
            </w:r>
          </w:p>
        </w:tc>
        <w:tc>
          <w:tcPr>
            <w:tcW w:w="4286" w:type="dxa"/>
            <w:tcBorders>
              <w:left w:val="single" w:sz="4" w:space="0" w:color="000000"/>
              <w:bottom w:val="single" w:sz="4" w:space="0" w:color="000000"/>
            </w:tcBorders>
          </w:tcPr>
          <w:p>
            <w:pPr>
              <w:pStyle w:val="Style43"/>
              <w:spacing w:before="0" w:after="200"/>
              <w:jc w:val="left"/>
              <w:rPr>
                <w:rFonts w:ascii="PT Astra Serif" w:hAnsi="PT Astra Serif"/>
                <w:color w:val="000000"/>
                <w:sz w:val="20"/>
                <w:szCs w:val="20"/>
              </w:rPr>
            </w:pPr>
            <w:r>
              <w:rPr>
                <w:rFonts w:ascii="PT Astra Serif" w:hAnsi="PT Astra Serif"/>
                <w:color w:val="000000"/>
                <w:sz w:val="20"/>
                <w:szCs w:val="20"/>
              </w:rPr>
              <w:t>Сахар белый</w:t>
              <w:br/>
              <w:br/>
              <w:t>Вид сахара: Свекловичный</w:t>
              <w:br/>
              <w:br/>
              <w:t>Категория сахара:ТС2</w:t>
              <w:br/>
              <w:br/>
              <w:t>Наличие вкусо ароматических добавок: Нет</w:t>
              <w:br/>
              <w:t>Форма сахара: Кристаллический</w:t>
              <w:br/>
              <w:br/>
              <w:t>Объем наполнения упаковки: 50 Килограмм</w:t>
              <w:br/>
              <w:br/>
              <w:t>Срок годности на момент поставки</w:t>
              <w:br/>
              <w:t>Сутки &gt;= 100</w:t>
            </w:r>
          </w:p>
        </w:tc>
        <w:tc>
          <w:tcPr>
            <w:tcW w:w="728" w:type="dxa"/>
            <w:tcBorders>
              <w:left w:val="single" w:sz="4" w:space="0" w:color="000000"/>
              <w:bottom w:val="single" w:sz="4" w:space="0" w:color="000000"/>
            </w:tcBorders>
          </w:tcPr>
          <w:p>
            <w:pPr>
              <w:pStyle w:val="Style43"/>
              <w:spacing w:before="0" w:after="200"/>
              <w:jc w:val="left"/>
              <w:rPr>
                <w:rFonts w:ascii="PT Astra Serif" w:hAnsi="PT Astra Serif"/>
                <w:color w:val="000000"/>
              </w:rPr>
            </w:pPr>
            <w:r>
              <w:rPr>
                <w:rFonts w:ascii="PT Astra Serif" w:hAnsi="PT Astra Serif"/>
                <w:color w:val="000000"/>
              </w:rPr>
              <w:t>кг</w:t>
            </w:r>
          </w:p>
        </w:tc>
        <w:tc>
          <w:tcPr>
            <w:tcW w:w="630" w:type="dxa"/>
            <w:tcBorders>
              <w:left w:val="single" w:sz="4" w:space="0" w:color="000000"/>
              <w:bottom w:val="single" w:sz="4" w:space="0" w:color="000000"/>
              <w:right w:val="single" w:sz="4" w:space="0" w:color="000000"/>
            </w:tcBorders>
          </w:tcPr>
          <w:p>
            <w:pPr>
              <w:pStyle w:val="Style43"/>
              <w:spacing w:before="0" w:after="200"/>
              <w:jc w:val="left"/>
              <w:rPr>
                <w:rFonts w:ascii="PT Astra Serif" w:hAnsi="PT Astra Serif"/>
                <w:color w:val="000000"/>
              </w:rPr>
            </w:pPr>
            <w:r>
              <w:rPr>
                <w:rFonts w:ascii="PT Astra Serif" w:hAnsi="PT Astra Serif"/>
                <w:color w:val="000000"/>
              </w:rPr>
              <w:t>100</w:t>
            </w:r>
          </w:p>
        </w:tc>
        <w:tc>
          <w:tcPr>
            <w:tcW w:w="847"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bl>
    <w:p>
      <w:pPr>
        <w:pStyle w:val="ConsPlusNormal1"/>
        <w:jc w:val="both"/>
        <w:rPr>
          <w:rFonts w:ascii="PT Astra Serif" w:hAnsi="PT Astra Serif"/>
          <w:sz w:val="20"/>
          <w:szCs w:val="20"/>
        </w:rPr>
      </w:pPr>
      <w:r>
        <w:rPr>
          <w:rFonts w:ascii="PT Astra Serif" w:hAnsi="PT Astra Serif"/>
          <w:sz w:val="20"/>
          <w:szCs w:val="20"/>
        </w:rPr>
        <w:t>ИТОГО :</w:t>
      </w:r>
    </w:p>
    <w:tbl>
      <w:tblPr>
        <w:tblW w:w="9660" w:type="dxa"/>
        <w:jc w:val="left"/>
        <w:tblInd w:w="204" w:type="dxa"/>
        <w:tblLayout w:type="fixed"/>
        <w:tblCellMar>
          <w:top w:w="102" w:type="dxa"/>
          <w:left w:w="62" w:type="dxa"/>
          <w:bottom w:w="102" w:type="dxa"/>
          <w:right w:w="62" w:type="dxa"/>
        </w:tblCellMar>
      </w:tblPr>
      <w:tblGrid>
        <w:gridCol w:w="4995"/>
        <w:gridCol w:w="4665"/>
      </w:tblGrid>
      <w:tr>
        <w:trPr/>
        <w:tc>
          <w:tcPr>
            <w:tcW w:w="4995" w:type="dxa"/>
            <w:tcBorders/>
            <w:vAlign w:val="bottom"/>
          </w:tcPr>
          <w:p>
            <w:pPr>
              <w:pStyle w:val="Normal"/>
              <w:widowControl w:val="false"/>
              <w:snapToGrid w:val="false"/>
              <w:spacing w:lineRule="auto" w:line="240" w:before="0" w:after="0"/>
              <w:jc w:val="center"/>
              <w:rPr>
                <w:rFonts w:ascii="PT Astra Serif" w:hAnsi="PT Astra Serif"/>
                <w:sz w:val="20"/>
                <w:szCs w:val="20"/>
              </w:rPr>
            </w:pPr>
            <w:r>
              <w:rPr>
                <w:rFonts w:eastAsia="Times New Roman" w:cs="PT Astra Serif" w:ascii="PT Astra Serif" w:hAnsi="PT Astra Serif"/>
                <w:b/>
                <w:bCs/>
                <w:kern w:val="2"/>
                <w:sz w:val="20"/>
                <w:szCs w:val="20"/>
                <w:lang w:eastAsia="ru-RU"/>
              </w:rPr>
              <w:t>Заказчик:</w:t>
            </w:r>
          </w:p>
          <w:p>
            <w:pPr>
              <w:pStyle w:val="Normal"/>
              <w:widowControl w:val="false"/>
              <w:overflowPunct w:val="true"/>
              <w:jc w:val="left"/>
              <w:textAlignment w:val="baseline"/>
              <w:rPr>
                <w:rFonts w:ascii="Times New Roman" w:hAnsi="Times New Roman"/>
                <w:sz w:val="18"/>
                <w:szCs w:val="18"/>
              </w:rPr>
            </w:pPr>
            <w:r>
              <w:rPr>
                <w:rFonts w:cs="Times New Roman" w:ascii="Times New Roman" w:hAnsi="Times New Roman"/>
                <w:sz w:val="18"/>
                <w:szCs w:val="18"/>
                <w:lang w:val="ru-RU" w:eastAsia="ru-RU"/>
              </w:rPr>
              <w:t>М</w:t>
            </w:r>
            <w:r>
              <w:rPr>
                <w:rFonts w:cs="Times New Roman" w:ascii="Times New Roman" w:hAnsi="Times New Roman"/>
                <w:sz w:val="18"/>
                <w:szCs w:val="18"/>
                <w:lang w:eastAsia="ru-RU"/>
              </w:rPr>
              <w:t xml:space="preserve">униципальное </w:t>
            </w:r>
            <w:r>
              <w:rPr>
                <w:rFonts w:cs="Times New Roman" w:ascii="Times New Roman" w:hAnsi="Times New Roman"/>
                <w:sz w:val="18"/>
                <w:szCs w:val="18"/>
                <w:lang w:val="ru-RU" w:eastAsia="ru-RU"/>
              </w:rPr>
              <w:t>обще</w:t>
            </w:r>
            <w:r>
              <w:rPr>
                <w:rFonts w:cs="Times New Roman" w:ascii="Times New Roman" w:hAnsi="Times New Roman"/>
                <w:sz w:val="18"/>
                <w:szCs w:val="18"/>
                <w:lang w:eastAsia="ru-RU"/>
              </w:rPr>
              <w:t>образовательное учреждение Новоникулинская средняя  школа муниципального образования «Цильнинский район» Ульяновской области</w:t>
            </w:r>
          </w:p>
          <w:p>
            <w:pPr>
              <w:pStyle w:val="Normal"/>
              <w:widowControl w:val="false"/>
              <w:overflowPunct w:val="true"/>
              <w:jc w:val="left"/>
              <w:textAlignment w:val="baseline"/>
              <w:rPr>
                <w:rFonts w:ascii="Times New Roman" w:hAnsi="Times New Roman"/>
                <w:sz w:val="18"/>
                <w:szCs w:val="18"/>
              </w:rPr>
            </w:pPr>
            <w:r>
              <w:rPr>
                <w:rFonts w:ascii="Times New Roman" w:hAnsi="Times New Roman"/>
                <w:sz w:val="18"/>
                <w:szCs w:val="18"/>
                <w:lang w:eastAsia="ru-RU"/>
              </w:rPr>
              <w:t xml:space="preserve">Место нахождения: </w:t>
            </w:r>
            <w:r>
              <w:rPr>
                <w:rFonts w:ascii="Times New Roman" w:hAnsi="Times New Roman"/>
                <w:sz w:val="18"/>
                <w:szCs w:val="18"/>
                <w:lang w:val="ru-RU" w:eastAsia="ru-RU"/>
              </w:rPr>
              <w:t>Российская Федерация,</w:t>
            </w:r>
            <w:r>
              <w:rPr>
                <w:rFonts w:ascii="Times New Roman" w:hAnsi="Times New Roman"/>
                <w:sz w:val="18"/>
                <w:szCs w:val="18"/>
                <w:lang w:eastAsia="ru-RU"/>
              </w:rPr>
              <w:t>433642, Ульяновская область, Цильнинский район, с</w:t>
            </w:r>
            <w:r>
              <w:rPr>
                <w:rFonts w:ascii="Times New Roman" w:hAnsi="Times New Roman"/>
                <w:sz w:val="18"/>
                <w:szCs w:val="18"/>
                <w:lang w:val="ru-RU" w:eastAsia="ru-RU"/>
              </w:rPr>
              <w:t xml:space="preserve">ело </w:t>
            </w:r>
            <w:r>
              <w:rPr>
                <w:rFonts w:ascii="Times New Roman" w:hAnsi="Times New Roman"/>
                <w:sz w:val="18"/>
                <w:szCs w:val="18"/>
                <w:lang w:eastAsia="ru-RU"/>
              </w:rPr>
              <w:t xml:space="preserve"> Новое Никулино,  ул</w:t>
            </w:r>
            <w:r>
              <w:rPr>
                <w:rFonts w:ascii="Times New Roman" w:hAnsi="Times New Roman"/>
                <w:sz w:val="18"/>
                <w:szCs w:val="18"/>
                <w:lang w:val="ru-RU" w:eastAsia="ru-RU"/>
              </w:rPr>
              <w:t xml:space="preserve">ица </w:t>
            </w:r>
            <w:r>
              <w:rPr>
                <w:rFonts w:ascii="Times New Roman" w:hAnsi="Times New Roman"/>
                <w:sz w:val="18"/>
                <w:szCs w:val="18"/>
                <w:lang w:eastAsia="ru-RU"/>
              </w:rPr>
              <w:t xml:space="preserve"> Школьная, </w:t>
            </w:r>
            <w:r>
              <w:rPr>
                <w:rFonts w:ascii="Times New Roman" w:hAnsi="Times New Roman"/>
                <w:sz w:val="18"/>
                <w:szCs w:val="18"/>
                <w:lang w:val="ru-RU" w:eastAsia="ru-RU"/>
              </w:rPr>
              <w:t>дом 1А</w:t>
            </w:r>
          </w:p>
          <w:p>
            <w:pPr>
              <w:pStyle w:val="Normal"/>
              <w:widowControl w:val="false"/>
              <w:overflowPunct w:val="true"/>
              <w:jc w:val="left"/>
              <w:textAlignment w:val="baseline"/>
              <w:rPr>
                <w:rFonts w:ascii="Times New Roman" w:hAnsi="Times New Roman"/>
                <w:sz w:val="18"/>
                <w:szCs w:val="18"/>
              </w:rPr>
            </w:pPr>
            <w:r>
              <w:rPr>
                <w:rFonts w:ascii="Times New Roman" w:hAnsi="Times New Roman"/>
                <w:sz w:val="18"/>
                <w:szCs w:val="18"/>
                <w:lang w:eastAsia="ru-RU"/>
              </w:rPr>
              <w:t xml:space="preserve">Почтовый адрес: </w:t>
            </w:r>
            <w:r>
              <w:rPr>
                <w:rFonts w:ascii="Times New Roman" w:hAnsi="Times New Roman"/>
                <w:sz w:val="18"/>
                <w:szCs w:val="18"/>
                <w:lang w:val="ru-RU" w:eastAsia="ru-RU"/>
              </w:rPr>
              <w:t>Российская Федерация,</w:t>
            </w:r>
            <w:r>
              <w:rPr>
                <w:rFonts w:ascii="Times New Roman" w:hAnsi="Times New Roman"/>
                <w:sz w:val="18"/>
                <w:szCs w:val="18"/>
                <w:lang w:eastAsia="ru-RU"/>
              </w:rPr>
              <w:t>433642, Ульяновская область, Цильнинский район, с</w:t>
            </w:r>
            <w:r>
              <w:rPr>
                <w:rFonts w:ascii="Times New Roman" w:hAnsi="Times New Roman"/>
                <w:sz w:val="18"/>
                <w:szCs w:val="18"/>
                <w:lang w:val="ru-RU" w:eastAsia="ru-RU"/>
              </w:rPr>
              <w:t xml:space="preserve">ело </w:t>
            </w:r>
            <w:r>
              <w:rPr>
                <w:rFonts w:ascii="Times New Roman" w:hAnsi="Times New Roman"/>
                <w:sz w:val="18"/>
                <w:szCs w:val="18"/>
                <w:lang w:eastAsia="ru-RU"/>
              </w:rPr>
              <w:t xml:space="preserve"> Новое Никулино, ул</w:t>
            </w:r>
            <w:r>
              <w:rPr>
                <w:rFonts w:ascii="Times New Roman" w:hAnsi="Times New Roman"/>
                <w:sz w:val="18"/>
                <w:szCs w:val="18"/>
                <w:lang w:val="ru-RU" w:eastAsia="ru-RU"/>
              </w:rPr>
              <w:t xml:space="preserve">ица </w:t>
            </w:r>
            <w:r>
              <w:rPr>
                <w:rFonts w:ascii="Times New Roman" w:hAnsi="Times New Roman"/>
                <w:sz w:val="18"/>
                <w:szCs w:val="18"/>
                <w:lang w:eastAsia="ru-RU"/>
              </w:rPr>
              <w:t xml:space="preserve"> Школьная, </w:t>
            </w:r>
            <w:r>
              <w:rPr>
                <w:rFonts w:ascii="Times New Roman" w:hAnsi="Times New Roman"/>
                <w:sz w:val="18"/>
                <w:szCs w:val="18"/>
                <w:lang w:val="ru-RU" w:eastAsia="ru-RU"/>
              </w:rPr>
              <w:t>дом 1А</w:t>
            </w:r>
          </w:p>
          <w:p>
            <w:pPr>
              <w:pStyle w:val="Normal"/>
              <w:widowControl w:val="false"/>
              <w:overflowPunct w:val="true"/>
              <w:jc w:val="left"/>
              <w:textAlignment w:val="baseline"/>
              <w:rPr/>
            </w:pPr>
            <w:r>
              <w:rPr>
                <w:rFonts w:ascii="Times New Roman" w:hAnsi="Times New Roman"/>
                <w:sz w:val="18"/>
                <w:szCs w:val="18"/>
                <w:lang w:eastAsia="ru-RU"/>
              </w:rPr>
              <w:t xml:space="preserve">Адрес электронной почты: </w:t>
            </w:r>
            <w:hyperlink r:id="rId17">
              <w:r>
                <w:rPr>
                  <w:rStyle w:val="Style6"/>
                  <w:rFonts w:ascii="Times New Roman" w:hAnsi="Times New Roman"/>
                  <w:sz w:val="18"/>
                  <w:szCs w:val="18"/>
                  <w:lang w:val="en-US" w:eastAsia="ru-RU"/>
                </w:rPr>
                <w:t>novnik</w:t>
              </w:r>
              <w:r>
                <w:rPr>
                  <w:rStyle w:val="Style6"/>
                  <w:rFonts w:ascii="Times New Roman" w:hAnsi="Times New Roman"/>
                  <w:sz w:val="18"/>
                  <w:szCs w:val="18"/>
                  <w:lang w:eastAsia="ru-RU"/>
                </w:rPr>
                <w:t>_</w:t>
              </w:r>
              <w:r>
                <w:rPr>
                  <w:rStyle w:val="Style6"/>
                  <w:rFonts w:ascii="Times New Roman" w:hAnsi="Times New Roman"/>
                  <w:sz w:val="18"/>
                  <w:szCs w:val="18"/>
                  <w:lang w:val="en-US" w:eastAsia="ru-RU"/>
                </w:rPr>
                <w:t>shk</w:t>
              </w:r>
              <w:r>
                <w:rPr>
                  <w:rStyle w:val="Style6"/>
                  <w:rFonts w:ascii="Times New Roman" w:hAnsi="Times New Roman"/>
                  <w:sz w:val="18"/>
                  <w:szCs w:val="18"/>
                  <w:lang w:eastAsia="ru-RU"/>
                </w:rPr>
                <w:t>@mail.ru</w:t>
              </w:r>
            </w:hyperlink>
            <w:r>
              <w:rPr>
                <w:rFonts w:ascii="Times New Roman" w:hAnsi="Times New Roman"/>
                <w:sz w:val="18"/>
                <w:szCs w:val="18"/>
                <w:lang w:eastAsia="ru-RU"/>
              </w:rPr>
              <w:t xml:space="preserve">  </w:t>
            </w:r>
            <w:r>
              <w:rPr>
                <w:rStyle w:val="Hyperlink"/>
                <w:rFonts w:eastAsia="Times New Roman" w:cs="Times New Roman" w:ascii="Times New Roman" w:hAnsi="Times New Roman"/>
                <w:b w:val="false"/>
                <w:bCs w:val="false"/>
                <w:kern w:val="2"/>
                <w:sz w:val="18"/>
                <w:szCs w:val="18"/>
                <w:u w:val="none"/>
                <w:lang w:val="ru-RU" w:eastAsia="ru-RU"/>
              </w:rPr>
              <w:t>Номер контактного телефона: +7(84245)44180</w:t>
            </w:r>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ИНН 7322003513/КПП 732201001</w:t>
            </w:r>
          </w:p>
          <w:p>
            <w:pPr>
              <w:pStyle w:val="BodyText"/>
              <w:widowControl w:val="false"/>
              <w:rPr>
                <w:b w:val="false"/>
                <w:bCs w:val="false"/>
              </w:rPr>
            </w:pPr>
            <w:r>
              <w:rPr>
                <w:rFonts w:cs="Times New Roman"/>
                <w:b w:val="false"/>
                <w:bCs w:val="false"/>
                <w:i w:val="false"/>
                <w:caps w:val="false"/>
                <w:smallCaps w:val="false"/>
                <w:color w:val="000000"/>
                <w:spacing w:val="0"/>
                <w:sz w:val="18"/>
                <w:szCs w:val="18"/>
                <w:lang w:val="ru-RU"/>
              </w:rPr>
              <w:t>Ксч 03231643736540006800  ЕКСч 40102810645370000061</w:t>
            </w:r>
          </w:p>
          <w:p>
            <w:pPr>
              <w:pStyle w:val="BodyText"/>
              <w:widowControl w:val="false"/>
              <w:rPr>
                <w:b w:val="false"/>
                <w:bCs w:val="false"/>
              </w:rPr>
            </w:pPr>
            <w:r>
              <w:rPr>
                <w:rFonts w:eastAsia="Times New Roman" w:cs="PT Astra Serif" w:ascii="PT Astra Serif" w:hAnsi="PT Astra Serif"/>
                <w:b w:val="false"/>
                <w:bCs w:val="false"/>
                <w:sz w:val="20"/>
                <w:szCs w:val="20"/>
                <w:shd w:fill="FFFFFF" w:val="clear"/>
                <w:lang w:val="ru-RU"/>
              </w:rPr>
              <w:t>ОКЦ № 5 ВВГУ Банка России</w:t>
            </w:r>
            <w:r>
              <w:rPr>
                <w:rFonts w:eastAsia="Times New Roman" w:cs="Times New Roman"/>
                <w:b w:val="false"/>
                <w:bCs w:val="false"/>
                <w:sz w:val="18"/>
                <w:szCs w:val="18"/>
                <w:lang w:val="ru-RU"/>
              </w:rPr>
              <w:t xml:space="preserve"> </w:t>
            </w:r>
            <w:r>
              <w:rPr>
                <w:rFonts w:eastAsia="Times New Roman" w:cs="Times New Roman"/>
                <w:b w:val="false"/>
                <w:bCs w:val="false"/>
                <w:sz w:val="18"/>
                <w:szCs w:val="18"/>
              </w:rPr>
              <w:t>//</w:t>
            </w:r>
            <w:r>
              <w:rPr>
                <w:rFonts w:eastAsia="Times New Roman" w:cs="Times New Roman"/>
                <w:b w:val="false"/>
                <w:bCs w:val="false"/>
                <w:sz w:val="18"/>
                <w:szCs w:val="18"/>
                <w:lang w:val="ru-RU"/>
              </w:rPr>
              <w:t xml:space="preserve">УФК по Ульяновской области г.Ульяновск </w:t>
            </w:r>
            <w:r>
              <w:rPr>
                <w:rFonts w:cs="Times New Roman"/>
                <w:b w:val="false"/>
                <w:bCs w:val="false"/>
                <w:sz w:val="18"/>
                <w:szCs w:val="18"/>
              </w:rPr>
              <w:t xml:space="preserve">БИК </w:t>
            </w:r>
            <w:r>
              <w:rPr>
                <w:rFonts w:cs="Times New Roman"/>
                <w:b w:val="false"/>
                <w:bCs w:val="false"/>
                <w:sz w:val="18"/>
                <w:szCs w:val="18"/>
                <w:lang w:val="ru-RU"/>
              </w:rPr>
              <w:t xml:space="preserve">ТОФК </w:t>
            </w:r>
            <w:r>
              <w:rPr>
                <w:rFonts w:cs="Times New Roman"/>
                <w:b w:val="false"/>
                <w:bCs w:val="false"/>
                <w:sz w:val="18"/>
                <w:szCs w:val="18"/>
              </w:rPr>
              <w:t>017308101</w:t>
            </w:r>
          </w:p>
          <w:p>
            <w:pPr>
              <w:pStyle w:val="BodyText"/>
              <w:widowControl w:val="false"/>
              <w:rPr>
                <w:rFonts w:ascii="Times New Roman" w:hAnsi="Times New Roman"/>
                <w:sz w:val="18"/>
                <w:szCs w:val="18"/>
              </w:rPr>
            </w:pPr>
            <w:r>
              <w:rPr>
                <w:sz w:val="18"/>
                <w:szCs w:val="18"/>
              </w:rPr>
              <w:t>л/сч 03573223024 в финансовом управлении администрации МО «Цильнинский район»</w:t>
            </w:r>
            <w:r>
              <w:rPr>
                <w:sz w:val="18"/>
                <w:szCs w:val="18"/>
              </w:rPr>
              <w:t xml:space="preserve"> </w:t>
            </w:r>
            <w:r>
              <w:rPr>
                <w:rStyle w:val="Hyperlink"/>
                <w:rFonts w:eastAsia="Times New Roman" w:cs="Times New Roman"/>
                <w:b w:val="false"/>
                <w:bCs w:val="false"/>
                <w:kern w:val="2"/>
                <w:sz w:val="18"/>
                <w:szCs w:val="18"/>
                <w:u w:val="none"/>
                <w:lang w:val="ru-RU" w:eastAsia="ru-RU"/>
              </w:rPr>
              <w:t>ОКВЭД 80.21.2 ОКПО 25333145 ОГРН 1027301060324</w:t>
            </w:r>
          </w:p>
          <w:p>
            <w:pPr>
              <w:pStyle w:val="Normal"/>
              <w:widowControl w:val="false"/>
              <w:suppressAutoHyphens w:val="true"/>
              <w:overflowPunct w:val="false"/>
              <w:spacing w:lineRule="auto" w:line="240" w:before="0" w:after="0"/>
              <w:ind w:hanging="0"/>
              <w:jc w:val="both"/>
              <w:textAlignment w:val="baseline"/>
              <w:rPr>
                <w:rFonts w:ascii="Times New Roman" w:hAnsi="Times New Roman"/>
                <w:sz w:val="18"/>
                <w:szCs w:val="18"/>
              </w:rPr>
            </w:pPr>
            <w:r>
              <w:rPr>
                <w:rFonts w:eastAsia="Times New Roman" w:cs="PT Astra Serif" w:ascii="Times New Roman" w:hAnsi="Times New Roman"/>
                <w:b w:val="false"/>
                <w:bCs w:val="false"/>
                <w:color w:val="000000"/>
                <w:kern w:val="2"/>
                <w:sz w:val="18"/>
                <w:szCs w:val="18"/>
                <w:u w:val="none"/>
                <w:shd w:fill="FFFFFF" w:val="clear"/>
                <w:lang w:val="ru-RU" w:eastAsia="ru-RU"/>
              </w:rPr>
              <w:t>Директор                                             Потапова С.А,</w:t>
            </w:r>
          </w:p>
        </w:tc>
        <w:tc>
          <w:tcPr>
            <w:tcW w:w="4665" w:type="dxa"/>
            <w:tcBorders/>
          </w:tcPr>
          <w:p>
            <w:pPr>
              <w:pStyle w:val="Normal"/>
              <w:widowControl w:val="false"/>
              <w:suppressAutoHyphens w:val="true"/>
              <w:jc w:val="left"/>
              <w:rPr>
                <w:rFonts w:ascii="PT Astra Serif" w:hAnsi="PT Astra Serif"/>
                <w:sz w:val="20"/>
                <w:szCs w:val="20"/>
              </w:rPr>
            </w:pPr>
            <w:r>
              <w:rPr>
                <w:rFonts w:ascii="PT Astra Serif" w:hAnsi="PT Astra Serif"/>
                <w:b/>
                <w:bCs/>
                <w:color w:val="00000A"/>
                <w:sz w:val="20"/>
                <w:szCs w:val="20"/>
                <w:shd w:fill="FFFFFF" w:val="clear"/>
              </w:rPr>
              <w:t>Поставщик:</w:t>
            </w:r>
          </w:p>
          <w:p>
            <w:pPr>
              <w:pStyle w:val="Normal"/>
              <w:widowControl w:val="false"/>
              <w:jc w:val="left"/>
              <w:rPr>
                <w:rFonts w:ascii="PT Astra Serif" w:hAnsi="PT Astra Serif"/>
                <w:sz w:val="20"/>
                <w:szCs w:val="20"/>
              </w:rPr>
            </w:pPr>
            <w:r>
              <w:rPr>
                <w:rFonts w:ascii="PT Astra Serif" w:hAnsi="PT Astra Serif"/>
                <w:sz w:val="20"/>
                <w:szCs w:val="20"/>
              </w:rPr>
            </w:r>
          </w:p>
          <w:p>
            <w:pPr>
              <w:pStyle w:val="BodyText"/>
              <w:widowControl w:val="false"/>
              <w:spacing w:before="0" w:after="120"/>
              <w:jc w:val="left"/>
              <w:rPr>
                <w:sz w:val="18"/>
                <w:szCs w:val="18"/>
              </w:rPr>
            </w:pPr>
            <w:r>
              <w:rPr>
                <w:sz w:val="18"/>
                <w:szCs w:val="18"/>
              </w:rPr>
            </w:r>
          </w:p>
          <w:p>
            <w:pPr>
              <w:pStyle w:val="Normal"/>
              <w:widowControl w:val="false"/>
              <w:spacing w:before="0" w:after="120"/>
              <w:ind w:hanging="0" w:left="0" w:right="0"/>
              <w:jc w:val="left"/>
              <w:rPr>
                <w:rFonts w:ascii="PT Astra Serif" w:hAnsi="PT Astra Serif"/>
                <w:sz w:val="20"/>
                <w:szCs w:val="20"/>
              </w:rPr>
            </w:pPr>
            <w:r>
              <w:rPr>
                <w:rFonts w:ascii="PT Astra Serif" w:hAnsi="PT Astra Serif"/>
                <w:sz w:val="20"/>
                <w:szCs w:val="20"/>
              </w:rPr>
            </w:r>
          </w:p>
        </w:tc>
      </w:tr>
    </w:tbl>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
    </w:p>
    <w:p>
      <w:pPr>
        <w:pStyle w:val="ConsPlusNormal1"/>
        <w:jc w:val="center"/>
        <w:rPr>
          <w:rFonts w:ascii="PT Astra Serif" w:hAnsi="PT Astra Serif"/>
          <w:sz w:val="20"/>
          <w:szCs w:val="20"/>
        </w:rPr>
      </w:pPr>
      <w:r>
        <w:rPr/>
      </w:r>
    </w:p>
    <w:p>
      <w:pPr>
        <w:pStyle w:val="ConsPlusNormal1"/>
        <w:numPr>
          <w:ilvl w:val="0"/>
          <w:numId w:val="0"/>
        </w:numPr>
        <w:ind w:hanging="0" w:left="0"/>
        <w:outlineLvl w:val="0"/>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r>
    </w:p>
    <w:p>
      <w:pPr>
        <w:pStyle w:val="Normal"/>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sectPr>
      <w:footnotePr>
        <w:numFmt w:val="decimal"/>
      </w:footnotePr>
      <w:type w:val="nextPage"/>
      <w:pgSz w:w="11906" w:h="16838"/>
      <w:pgMar w:left="1133" w:right="566" w:gutter="0" w:header="0" w:top="993" w:footer="0" w:bottom="851"/>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swiss"/>
    <w:pitch w:val="variable"/>
  </w:font>
  <w:font w:name="Courier New">
    <w:charset w:val="cc"/>
    <w:family w:val="roman"/>
    <w:pitch w:val="variable"/>
  </w:font>
  <w:font w:name="Cambria">
    <w:charset w:val="cc"/>
    <w:family w:val="roman"/>
    <w:pitch w:val="variable"/>
  </w:font>
  <w:font w:name="Tahoma">
    <w:charset w:val="cc"/>
    <w:family w:val="roman"/>
    <w:pitch w:val="variable"/>
  </w:font>
  <w:font w:name="Consolas">
    <w:charset w:val="cc"/>
    <w:family w:val="roman"/>
    <w:pitch w:val="variable"/>
  </w:font>
  <w:font w:name="Liberation Sans">
    <w:altName w:val="Arial"/>
    <w:charset w:val="cc"/>
    <w:family w:val="swiss"/>
    <w:pitch w:val="variable"/>
  </w:font>
  <w:font w:name="Arial Unicode MS">
    <w:charset w:val="cc"/>
    <w:family w:val="roman"/>
    <w:pitch w:val="variable"/>
  </w:font>
  <w:font w:name="Arial CYR">
    <w:charset w:val="cc"/>
    <w:family w:val="roman"/>
    <w:pitch w:val="variable"/>
  </w:font>
  <w:font w:name="Verdana">
    <w:charset w:val="cc"/>
    <w:family w:val="roman"/>
    <w:pitch w:val="variable"/>
  </w:font>
  <w:font w:name="PT Astra Serif">
    <w:charset w:val="cc"/>
    <w:family w:val="roman"/>
    <w:pitch w:val="variable"/>
  </w:font>
  <w:font w:name="PT Astra Serif">
    <w:charset w:val="01"/>
    <w:family w:val="roman"/>
    <w:pitch w:val="variable"/>
  </w:font>
  <w:font w:name="PT Astra Serif">
    <w:charset w:val="cc"/>
    <w:family w:val="auto"/>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spacing w:before="0" w:after="0"/>
        <w:rPr>
          <w:rFonts w:ascii="Times New Roman" w:hAnsi="Times New Roman"/>
          <w:sz w:val="16"/>
          <w:szCs w:val="16"/>
        </w:rPr>
      </w:pPr>
      <w:r>
        <w:rPr>
          <w:rStyle w:val="Style12"/>
        </w:rPr>
        <w:footnoteRef/>
      </w:r>
      <w:r>
        <w:rPr>
          <w:rFonts w:ascii="Times New Roman" w:hAnsi="Times New Roman"/>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footnote>
  <w:footnote w:id="3">
    <w:p>
      <w:pPr>
        <w:pStyle w:val="FootnoteText"/>
        <w:rPr/>
      </w:pPr>
      <w:r>
        <w:rPr>
          <w:rStyle w:val="Style12"/>
        </w:rPr>
        <w:footnoteRef/>
      </w:r>
      <w:r>
        <w:rPr>
          <w:rFonts w:ascii="Times New Roman" w:hAnsi="Times New Roman"/>
          <w:sz w:val="16"/>
          <w:szCs w:val="16"/>
        </w:rPr>
        <w:t>В случае если настоящий контракт не подлежит оплате за счет субсидий, указанных в пункте 1 статьи 78.1 Бюджетного кодекса Российской Федерации,  данный пункт настоящего контракта не применяется.</w:t>
      </w:r>
    </w:p>
    <w:p>
      <w:pPr>
        <w:pStyle w:val="FootnoteText"/>
        <w:spacing w:before="0" w:after="200"/>
        <w:rPr/>
      </w:pPr>
      <w:r>
        <w:rPr/>
      </w:r>
    </w:p>
  </w:footnote>
  <w:footnote w:id="4">
    <w:p>
      <w:pPr>
        <w:pStyle w:val="ConsPlusNormal1"/>
        <w:spacing w:before="220" w:after="200"/>
        <w:jc w:val="both"/>
        <w:rPr>
          <w:sz w:val="16"/>
          <w:szCs w:val="16"/>
        </w:rPr>
      </w:pPr>
      <w:r>
        <w:rPr>
          <w:rStyle w:val="Style12"/>
        </w:rPr>
        <w:footnoteRef/>
      </w:r>
      <w:r>
        <w:rPr>
          <w:sz w:val="16"/>
          <w:szCs w:val="16"/>
        </w:rPr>
        <w:t>Здесь и далее по тексту понятие «получатель» используется в контракте в случае, если поставка осуществляется в пользу третьих лиц или по нескольким адресам поставки. Получатель является уполномоченным заказчиком лицом на приемку товара</w:t>
      </w:r>
    </w:p>
    <w:p>
      <w:pPr>
        <w:pStyle w:val="FootnoteText"/>
        <w:spacing w:before="0" w:after="200"/>
        <w:rPr/>
      </w:pPr>
      <w:r>
        <w:rPr/>
      </w:r>
    </w:p>
  </w:footnote>
</w:footnotes>
</file>

<file path=word/settings.xml><?xml version="1.0" encoding="utf-8"?>
<w:settings xmlns:w="http://schemas.openxmlformats.org/wordprocessingml/2006/main">
  <w:zoom w:percent="100"/>
  <w:defaultTabStop w:val="708"/>
  <w:autoHyphenation w:val="true"/>
  <w:hyphenationZone w:val="360"/>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style w:type="paragraph" w:styleId="Normal">
    <w:name w:val="Normal"/>
    <w:qFormat/>
    <w:pPr>
      <w:widowControl/>
      <w:suppressAutoHyphens w:val="true"/>
      <w:overflowPunct w:val="false"/>
      <w:bidi w:val="0"/>
      <w:spacing w:lineRule="auto" w:line="276" w:before="0" w:after="200"/>
      <w:jc w:val="left"/>
    </w:pPr>
    <w:rPr>
      <w:rFonts w:ascii="Calibri" w:hAnsi="Calibri" w:eastAsia="Times New Roman" w:cs="Times New Roman"/>
      <w:color w:val="auto"/>
      <w:kern w:val="0"/>
      <w:sz w:val="22"/>
      <w:szCs w:val="22"/>
      <w:lang w:val="ru-RU" w:eastAsia="ru-RU" w:bidi="ar-SA"/>
    </w:rPr>
  </w:style>
  <w:style w:type="paragraph" w:styleId="Heading1">
    <w:name w:val="heading 1"/>
    <w:basedOn w:val="Normal"/>
    <w:next w:val="Normal"/>
    <w:link w:val="1"/>
    <w:qFormat/>
    <w:pPr>
      <w:keepNext w:val="true"/>
      <w:tabs>
        <w:tab w:val="clear" w:pos="708"/>
        <w:tab w:val="left" w:pos="432" w:leader="none"/>
      </w:tabs>
      <w:spacing w:lineRule="auto" w:line="240" w:before="240" w:after="60"/>
      <w:ind w:hanging="432" w:left="432" w:right="0"/>
      <w:jc w:val="center"/>
      <w:outlineLvl w:val="0"/>
    </w:pPr>
    <w:rPr>
      <w:rFonts w:ascii="Times New Roman" w:hAnsi="Times New Roman"/>
      <w:b/>
      <w:bCs/>
      <w:kern w:val="2"/>
      <w:sz w:val="36"/>
      <w:szCs w:val="36"/>
    </w:rPr>
  </w:style>
  <w:style w:type="paragraph" w:styleId="Heading2">
    <w:name w:val="heading 2"/>
    <w:basedOn w:val="Normal"/>
    <w:next w:val="Normal"/>
    <w:link w:val="2"/>
    <w:qFormat/>
    <w:pPr>
      <w:keepNext w:val="true"/>
      <w:tabs>
        <w:tab w:val="clear" w:pos="708"/>
        <w:tab w:val="left" w:pos="576" w:leader="none"/>
      </w:tabs>
      <w:spacing w:lineRule="auto" w:line="240" w:before="0" w:after="60"/>
      <w:ind w:hanging="576" w:left="576" w:right="0"/>
      <w:jc w:val="center"/>
      <w:outlineLvl w:val="1"/>
    </w:pPr>
    <w:rPr>
      <w:rFonts w:ascii="Times New Roman" w:hAnsi="Times New Roman"/>
      <w:b/>
      <w:bCs/>
      <w:sz w:val="30"/>
      <w:szCs w:val="30"/>
    </w:rPr>
  </w:style>
  <w:style w:type="paragraph" w:styleId="Heading3">
    <w:name w:val="heading 3"/>
    <w:basedOn w:val="Normal"/>
    <w:next w:val="Normal"/>
    <w:link w:val="3"/>
    <w:qFormat/>
    <w:pPr>
      <w:keepNext w:val="true"/>
      <w:tabs>
        <w:tab w:val="clear" w:pos="708"/>
        <w:tab w:val="left" w:pos="170" w:leader="none"/>
      </w:tabs>
      <w:spacing w:lineRule="auto" w:line="240" w:before="240" w:after="60"/>
      <w:ind w:hanging="720" w:left="720" w:right="0"/>
      <w:jc w:val="both"/>
      <w:outlineLvl w:val="2"/>
    </w:pPr>
    <w:rPr>
      <w:rFonts w:ascii="Arial" w:hAnsi="Arial" w:cs="Arial"/>
      <w:b/>
      <w:bCs/>
      <w:sz w:val="24"/>
      <w:szCs w:val="24"/>
    </w:rPr>
  </w:style>
  <w:style w:type="character" w:styleId="DefaultParagraphFont">
    <w:name w:val="Default Paragraph Font"/>
    <w:qFormat/>
    <w:rPr/>
  </w:style>
  <w:style w:type="character" w:styleId="1">
    <w:name w:val="Заголовок 1 Знак"/>
    <w:basedOn w:val="DefaultParagraphFont"/>
    <w:qFormat/>
    <w:rPr>
      <w:rFonts w:ascii="Times New Roman" w:hAnsi="Times New Roman" w:eastAsia="Times New Roman" w:cs="Times New Roman"/>
      <w:b/>
      <w:bCs/>
      <w:kern w:val="2"/>
      <w:sz w:val="36"/>
      <w:szCs w:val="36"/>
      <w:lang w:eastAsia="ru-RU"/>
    </w:rPr>
  </w:style>
  <w:style w:type="character" w:styleId="2">
    <w:name w:val="Заголовок 2 Знак"/>
    <w:basedOn w:val="DefaultParagraphFont"/>
    <w:qFormat/>
    <w:rPr>
      <w:rFonts w:ascii="Times New Roman" w:hAnsi="Times New Roman" w:eastAsia="Times New Roman" w:cs="Times New Roman"/>
      <w:b/>
      <w:bCs/>
      <w:sz w:val="30"/>
      <w:szCs w:val="30"/>
      <w:lang w:eastAsia="ru-RU"/>
    </w:rPr>
  </w:style>
  <w:style w:type="character" w:styleId="3">
    <w:name w:val="Заголовок 3 Знак"/>
    <w:basedOn w:val="DefaultParagraphFont"/>
    <w:qFormat/>
    <w:rPr>
      <w:rFonts w:ascii="Arial" w:hAnsi="Arial" w:eastAsia="Times New Roman" w:cs="Arial"/>
      <w:b/>
      <w:bCs/>
      <w:sz w:val="24"/>
      <w:szCs w:val="24"/>
      <w:lang w:eastAsia="ru-RU"/>
    </w:rPr>
  </w:style>
  <w:style w:type="character" w:styleId="ConsPlusNormal">
    <w:name w:val="ConsPlusNormal Знак"/>
    <w:link w:val="ConsPlusNormal1"/>
    <w:qFormat/>
    <w:rPr>
      <w:rFonts w:ascii="Times New Roman" w:hAnsi="Times New Roman" w:eastAsia="Times New Roman" w:cs="Times New Roman"/>
      <w:sz w:val="24"/>
      <w:szCs w:val="24"/>
      <w:lang w:eastAsia="ru-RU"/>
    </w:rPr>
  </w:style>
  <w:style w:type="character" w:styleId="Style11">
    <w:name w:val="Текст сноски Знак"/>
    <w:basedOn w:val="DefaultParagraphFont"/>
    <w:qFormat/>
    <w:rPr>
      <w:rFonts w:ascii="Calibri" w:hAnsi="Calibri" w:eastAsia="Times New Roman" w:cs="Times New Roman"/>
      <w:sz w:val="20"/>
      <w:szCs w:val="20"/>
      <w:lang w:eastAsia="ru-RU"/>
    </w:rPr>
  </w:style>
  <w:style w:type="character" w:styleId="user">
    <w:name w:val="Символ сноски (user)"/>
    <w:qFormat/>
    <w:rPr>
      <w:rFonts w:cs="Times New Roman"/>
      <w:vertAlign w:val="superscript"/>
    </w:rPr>
  </w:style>
  <w:style w:type="character" w:styleId="Style12">
    <w:name w:val="Символ сноски"/>
    <w:qFormat/>
    <w:rPr>
      <w:rFonts w:cs="Times New Roman"/>
      <w:vertAlign w:val="superscript"/>
    </w:rPr>
  </w:style>
  <w:style w:type="character" w:styleId="FootnoteReference">
    <w:name w:val="footnote reference"/>
    <w:rPr>
      <w:rFonts w:cs="Times New Roman"/>
      <w:vertAlign w:val="superscript"/>
    </w:rPr>
  </w:style>
  <w:style w:type="character" w:styleId="FootnoteCharacters">
    <w:name w:val="Footnote Characters"/>
    <w:qFormat/>
    <w:rPr>
      <w:vertAlign w:val="superscript"/>
    </w:rPr>
  </w:style>
  <w:style w:type="character" w:styleId="Style13">
    <w:name w:val="Абзац списка Знак"/>
    <w:link w:val="ListParagraph"/>
    <w:qFormat/>
    <w:rPr>
      <w:rFonts w:ascii="Times New Roman" w:hAnsi="Times New Roman" w:eastAsia="Times New Roman" w:cs="Times New Roman"/>
      <w:sz w:val="24"/>
      <w:szCs w:val="20"/>
    </w:rPr>
  </w:style>
  <w:style w:type="character" w:styleId="iceouttxt52">
    <w:name w:val="iceouttxt52"/>
    <w:qFormat/>
    <w:rPr>
      <w:rFonts w:ascii="Arial" w:hAnsi="Arial"/>
      <w:color w:val="666666"/>
      <w:sz w:val="17"/>
    </w:rPr>
  </w:style>
  <w:style w:type="character" w:styleId="Hyperlink">
    <w:name w:val="Hyperlink"/>
    <w:basedOn w:val="DefaultParagraphFont"/>
    <w:qFormat/>
    <w:rPr>
      <w:rFonts w:cs="Times New Roman"/>
      <w:color w:val="0000FF"/>
      <w:u w:val="single"/>
    </w:rPr>
  </w:style>
  <w:style w:type="character" w:styleId="Style14">
    <w:name w:val="Основной текст Знак"/>
    <w:basedOn w:val="DefaultParagraphFont"/>
    <w:qFormat/>
    <w:rPr>
      <w:rFonts w:ascii="Times New Roman" w:hAnsi="Times New Roman" w:eastAsia="Times New Roman" w:cs="Times New Roman"/>
      <w:sz w:val="24"/>
      <w:szCs w:val="24"/>
      <w:lang w:eastAsia="ru-RU"/>
    </w:rPr>
  </w:style>
  <w:style w:type="character" w:styleId="Style15">
    <w:name w:val="Верхний колонтитул Знак"/>
    <w:basedOn w:val="DefaultParagraphFont"/>
    <w:qFormat/>
    <w:rPr>
      <w:rFonts w:ascii="Times New Roman" w:hAnsi="Times New Roman" w:eastAsia="Times New Roman" w:cs="Times New Roman"/>
      <w:sz w:val="24"/>
      <w:szCs w:val="24"/>
      <w:lang w:eastAsia="ru-RU"/>
    </w:rPr>
  </w:style>
  <w:style w:type="character" w:styleId="Style16">
    <w:name w:val="Нижний колонтитул Знак"/>
    <w:basedOn w:val="DefaultParagraphFont"/>
    <w:qFormat/>
    <w:rPr>
      <w:rFonts w:ascii="Times New Roman" w:hAnsi="Times New Roman" w:eastAsia="Times New Roman" w:cs="Times New Roman"/>
      <w:sz w:val="24"/>
      <w:szCs w:val="24"/>
      <w:lang w:eastAsia="ru-RU"/>
    </w:rPr>
  </w:style>
  <w:style w:type="character" w:styleId="Style17">
    <w:name w:val="Текст концевой сноски Знак"/>
    <w:basedOn w:val="DefaultParagraphFont"/>
    <w:qFormat/>
    <w:rPr>
      <w:rFonts w:ascii="Times New Roman" w:hAnsi="Times New Roman" w:eastAsia="Times New Roman" w:cs="Times New Roman"/>
      <w:sz w:val="20"/>
      <w:szCs w:val="20"/>
      <w:lang w:eastAsia="ru-RU"/>
    </w:rPr>
  </w:style>
  <w:style w:type="character" w:styleId="user1">
    <w:name w:val="Символ концевой сноски (user)"/>
    <w:qFormat/>
    <w:rPr>
      <w:vertAlign w:val="superscript"/>
    </w:rPr>
  </w:style>
  <w:style w:type="character" w:styleId="Style18">
    <w:name w:val="Символ концевой сноски"/>
    <w:qFormat/>
    <w:rPr>
      <w:vertAlign w:val="superscript"/>
    </w:rPr>
  </w:style>
  <w:style w:type="character" w:styleId="EndnoteReference">
    <w:name w:val="endnote reference"/>
    <w:rPr>
      <w:vertAlign w:val="superscript"/>
    </w:rPr>
  </w:style>
  <w:style w:type="character" w:styleId="WW8Num11z0">
    <w:name w:val="WW8Num11z0"/>
    <w:qFormat/>
    <w:rPr/>
  </w:style>
  <w:style w:type="character" w:styleId="WW8Num12z0">
    <w:name w:val="WW8Num12z0"/>
    <w:qFormat/>
    <w:rPr/>
  </w:style>
  <w:style w:type="character" w:styleId="WW8Num13z0">
    <w:name w:val="WW8Num13z0"/>
    <w:qFormat/>
    <w:rPr>
      <w:b w:val="false"/>
    </w:rPr>
  </w:style>
  <w:style w:type="character" w:styleId="WW8Num14z0">
    <w:name w:val="WW8Num14z0"/>
    <w:qFormat/>
    <w:rPr>
      <w:rFonts w:ascii="Times New Roman" w:hAnsi="Times New Roman" w:cs="Times New Roman"/>
      <w:sz w:val="24"/>
    </w:rPr>
  </w:style>
  <w:style w:type="character" w:styleId="WW8Num14z1">
    <w:name w:val="WW8Num14z1"/>
    <w:qFormat/>
    <w:rPr>
      <w:rFonts w:ascii="Courier New" w:hAnsi="Courier New" w:cs="Courier New"/>
    </w:rPr>
  </w:style>
  <w:style w:type="character" w:styleId="WW8Num16z0">
    <w:name w:val="WW8Num16z0"/>
    <w:qFormat/>
    <w:rPr>
      <w:rFonts w:ascii="Times New Roman" w:hAnsi="Times New Roman" w:cs="Times New Roman"/>
      <w:sz w:val="24"/>
      <w:szCs w:val="24"/>
    </w:rPr>
  </w:style>
  <w:style w:type="character" w:styleId="WW8Num16z1">
    <w:name w:val="WW8Num16z1"/>
    <w:qFormat/>
    <w:rPr>
      <w:rFonts w:ascii="Courier New" w:hAnsi="Courier New" w:cs="Courier New"/>
    </w:rPr>
  </w:style>
  <w:style w:type="character" w:styleId="WW8Num19z0">
    <w:name w:val="WW8Num19z0"/>
    <w:qFormat/>
    <w:rPr/>
  </w:style>
  <w:style w:type="character" w:styleId="WW8Num21z1">
    <w:name w:val="WW8Num21z1"/>
    <w:qFormat/>
    <w:rPr>
      <w:rFonts w:ascii="Courier New" w:hAnsi="Courier New" w:cs="Courier New"/>
      <w:sz w:val="20"/>
    </w:rPr>
  </w:style>
  <w:style w:type="character" w:styleId="WW8Num23z0">
    <w:name w:val="WW8Num23z0"/>
    <w:qFormat/>
    <w:rPr>
      <w:rFonts w:ascii="Times New Roman" w:hAnsi="Times New Roman" w:eastAsia="Times New Roman" w:cs="Times New Roman"/>
    </w:rPr>
  </w:style>
  <w:style w:type="character" w:styleId="WW8Num23z1">
    <w:name w:val="WW8Num23z1"/>
    <w:qFormat/>
    <w:rPr>
      <w:rFonts w:ascii="Courier New" w:hAnsi="Courier New" w:cs="Courier New"/>
    </w:rPr>
  </w:style>
  <w:style w:type="character" w:styleId="WW8Num24z1">
    <w:name w:val="WW8Num24z1"/>
    <w:qFormat/>
    <w:rPr>
      <w:rFonts w:ascii="Times New Roman" w:hAnsi="Times New Roman" w:cs="Times New Roman"/>
    </w:rPr>
  </w:style>
  <w:style w:type="character" w:styleId="WW8Num27z0">
    <w:name w:val="WW8Num27z0"/>
    <w:qFormat/>
    <w:rPr/>
  </w:style>
  <w:style w:type="character" w:styleId="WW8Num29z0">
    <w:name w:val="WW8Num29z0"/>
    <w:qFormat/>
    <w:rPr/>
  </w:style>
  <w:style w:type="character" w:styleId="31">
    <w:name w:val="Основной шрифт абзаца3"/>
    <w:qFormat/>
    <w:rPr/>
  </w:style>
  <w:style w:type="character" w:styleId="4">
    <w:name w:val="Заголовок 4 Знак"/>
    <w:qFormat/>
    <w:rPr>
      <w:b/>
      <w:sz w:val="24"/>
    </w:rPr>
  </w:style>
  <w:style w:type="character" w:styleId="5">
    <w:name w:val="Заголовок 5 Знак"/>
    <w:qFormat/>
    <w:rPr>
      <w:rFonts w:ascii="Cambria" w:hAnsi="Cambria" w:eastAsia="Times New Roman" w:cs="Times New Roman"/>
      <w:color w:val="243F60"/>
      <w:sz w:val="22"/>
      <w:szCs w:val="22"/>
      <w:lang w:val="en-US" w:bidi="en-US"/>
    </w:rPr>
  </w:style>
  <w:style w:type="character" w:styleId="Style19">
    <w:name w:val="Основной текст с отступом Знак"/>
    <w:qFormat/>
    <w:rPr>
      <w:sz w:val="28"/>
      <w:szCs w:val="28"/>
    </w:rPr>
  </w:style>
  <w:style w:type="character" w:styleId="21">
    <w:name w:val="Основной текст с отступом 2 Знак"/>
    <w:qFormat/>
    <w:rPr>
      <w:sz w:val="28"/>
    </w:rPr>
  </w:style>
  <w:style w:type="character" w:styleId="6">
    <w:name w:val="Заголовок 6 Знак"/>
    <w:qFormat/>
    <w:rPr>
      <w:rFonts w:ascii="Cambria" w:hAnsi="Cambria" w:eastAsia="Times New Roman" w:cs="Times New Roman"/>
      <w:i/>
      <w:iCs/>
      <w:color w:val="243F60"/>
      <w:sz w:val="22"/>
      <w:szCs w:val="22"/>
      <w:lang w:val="en-US" w:bidi="en-US"/>
    </w:rPr>
  </w:style>
  <w:style w:type="character" w:styleId="7">
    <w:name w:val="Заголовок 7 Знак"/>
    <w:qFormat/>
    <w:rPr>
      <w:rFonts w:ascii="Cambria" w:hAnsi="Cambria" w:eastAsia="Times New Roman" w:cs="Times New Roman"/>
      <w:i/>
      <w:iCs/>
      <w:color w:val="404040"/>
      <w:sz w:val="22"/>
      <w:szCs w:val="22"/>
      <w:lang w:val="en-US" w:bidi="en-US"/>
    </w:rPr>
  </w:style>
  <w:style w:type="character" w:styleId="8">
    <w:name w:val="Заголовок 8 Знак"/>
    <w:qFormat/>
    <w:rPr>
      <w:rFonts w:ascii="Cambria" w:hAnsi="Cambria" w:eastAsia="Times New Roman" w:cs="Times New Roman"/>
      <w:color w:val="4F81BD"/>
      <w:lang w:val="en-US" w:bidi="en-US"/>
    </w:rPr>
  </w:style>
  <w:style w:type="character" w:styleId="9">
    <w:name w:val="Заголовок 9 Знак"/>
    <w:qFormat/>
    <w:rPr>
      <w:rFonts w:ascii="Cambria" w:hAnsi="Cambria" w:eastAsia="Times New Roman" w:cs="Times New Roman"/>
      <w:i/>
      <w:iCs/>
      <w:color w:val="404040"/>
      <w:lang w:val="en-US" w:bidi="en-US"/>
    </w:rPr>
  </w:style>
  <w:style w:type="character" w:styleId="Style20">
    <w:name w:val="Выделенная цитата Знак"/>
    <w:qFormat/>
    <w:rPr>
      <w:rFonts w:ascii="Calibri" w:hAnsi="Calibri" w:eastAsia="Calibri" w:cs="Times New Roman"/>
      <w:b/>
      <w:bCs/>
      <w:i/>
      <w:iCs/>
      <w:color w:val="4F81BD"/>
      <w:sz w:val="22"/>
      <w:szCs w:val="22"/>
      <w:lang w:val="en-US" w:bidi="en-US"/>
    </w:rPr>
  </w:style>
  <w:style w:type="character" w:styleId="SubtleEmphasis">
    <w:name w:val="Subtle Emphasis"/>
    <w:qFormat/>
    <w:rPr>
      <w:i/>
      <w:iCs/>
      <w:color w:val="808080"/>
    </w:rPr>
  </w:style>
  <w:style w:type="character" w:styleId="SubtleReference">
    <w:name w:val="Subtle Reference"/>
    <w:qFormat/>
    <w:rPr>
      <w:smallCaps/>
      <w:color w:val="C0504D"/>
      <w:u w:val="single"/>
    </w:rPr>
  </w:style>
  <w:style w:type="character" w:styleId="BookTitle">
    <w:name w:val="Book Title"/>
    <w:qFormat/>
    <w:rPr>
      <w:b/>
      <w:bCs/>
      <w:smallCaps/>
      <w:spacing w:val="5"/>
    </w:rPr>
  </w:style>
  <w:style w:type="character" w:styleId="Style21">
    <w:name w:val="Подзаголовок Знак"/>
    <w:qFormat/>
    <w:rPr>
      <w:rFonts w:ascii="Cambria" w:hAnsi="Cambria" w:eastAsia="Times New Roman" w:cs="Times New Roman"/>
      <w:i/>
      <w:iCs/>
      <w:color w:val="4F81BD"/>
      <w:spacing w:val="15"/>
      <w:sz w:val="24"/>
      <w:szCs w:val="24"/>
      <w:lang w:val="en-US" w:bidi="en-US"/>
    </w:rPr>
  </w:style>
  <w:style w:type="character" w:styleId="22">
    <w:name w:val="Цитата 2 Знак"/>
    <w:qFormat/>
    <w:rPr>
      <w:rFonts w:ascii="Calibri" w:hAnsi="Calibri" w:eastAsia="Calibri" w:cs="Times New Roman"/>
      <w:i/>
      <w:iCs/>
      <w:color w:val="000000"/>
      <w:sz w:val="22"/>
      <w:szCs w:val="22"/>
      <w:lang w:val="en-US" w:bidi="en-US"/>
    </w:rPr>
  </w:style>
  <w:style w:type="character" w:styleId="IntenseEmphasis">
    <w:name w:val="Intense Emphasis"/>
    <w:qFormat/>
    <w:rPr>
      <w:b/>
      <w:bCs/>
      <w:i/>
      <w:iCs/>
      <w:color w:val="4F81BD"/>
    </w:rPr>
  </w:style>
  <w:style w:type="character" w:styleId="IntenseReference">
    <w:name w:val="Intense Reference"/>
    <w:qFormat/>
    <w:rPr>
      <w:b/>
      <w:bCs/>
      <w:smallCaps/>
      <w:color w:val="C0504D"/>
      <w:spacing w:val="5"/>
      <w:u w:val="single"/>
    </w:rPr>
  </w:style>
  <w:style w:type="character" w:styleId="header-user-name">
    <w:name w:val="header-user-name"/>
    <w:qFormat/>
    <w:rPr/>
  </w:style>
  <w:style w:type="character" w:styleId="FontStyle16">
    <w:name w:val="Font Style16"/>
    <w:qFormat/>
    <w:rPr>
      <w:rFonts w:ascii="Times New Roman" w:hAnsi="Times New Roman" w:cs="Times New Roman"/>
      <w:spacing w:val="10"/>
      <w:sz w:val="20"/>
      <w:szCs w:val="20"/>
    </w:rPr>
  </w:style>
  <w:style w:type="character" w:styleId="11">
    <w:name w:val="Знак концевой сноски1"/>
    <w:qFormat/>
    <w:rPr>
      <w:vertAlign w:val="superscript"/>
    </w:rPr>
  </w:style>
  <w:style w:type="character" w:styleId="12">
    <w:name w:val="Знак сноски1"/>
    <w:qFormat/>
    <w:rPr>
      <w:vertAlign w:val="superscript"/>
    </w:rPr>
  </w:style>
  <w:style w:type="character" w:styleId="EndnoteCharacters">
    <w:name w:val="Endnote Characters"/>
    <w:qFormat/>
    <w:rPr>
      <w:vertAlign w:val="superscript"/>
    </w:rPr>
  </w:style>
  <w:style w:type="character" w:styleId="WW-">
    <w:name w:val="WW-Символы концевой сноски"/>
    <w:qFormat/>
    <w:rPr/>
  </w:style>
  <w:style w:type="character" w:styleId="Style22">
    <w:name w:val="Символы концевой сноски"/>
    <w:qFormat/>
    <w:rPr>
      <w:vertAlign w:val="superscript"/>
    </w:rPr>
  </w:style>
  <w:style w:type="character" w:styleId="Comment">
    <w:name w:val="Comment"/>
    <w:qFormat/>
    <w:rPr>
      <w:vanish/>
    </w:rPr>
  </w:style>
  <w:style w:type="character" w:styleId="HTMLMarkup">
    <w:name w:val="HTML Markup"/>
    <w:qFormat/>
    <w:rPr>
      <w:vanish/>
      <w:color w:val="FF0000"/>
    </w:rPr>
  </w:style>
  <w:style w:type="character" w:styleId="Typewriter">
    <w:name w:val="Typewriter"/>
    <w:qFormat/>
    <w:rPr>
      <w:rFonts w:ascii="Courier New" w:hAnsi="Courier New" w:cs="Courier New"/>
      <w:sz w:val="20"/>
    </w:rPr>
  </w:style>
  <w:style w:type="character" w:styleId="Strong">
    <w:name w:val="Strong"/>
    <w:qFormat/>
    <w:rPr>
      <w:b/>
    </w:rPr>
  </w:style>
  <w:style w:type="character" w:styleId="Sample">
    <w:name w:val="Sample"/>
    <w:qFormat/>
    <w:rPr>
      <w:rFonts w:ascii="Courier New" w:hAnsi="Courier New" w:cs="Courier New"/>
    </w:rPr>
  </w:style>
  <w:style w:type="character" w:styleId="Keyboard">
    <w:name w:val="Keyboard"/>
    <w:qFormat/>
    <w:rPr>
      <w:rFonts w:ascii="Courier New" w:hAnsi="Courier New" w:cs="Courier New"/>
      <w:b/>
      <w:sz w:val="20"/>
    </w:rPr>
  </w:style>
  <w:style w:type="character" w:styleId="CODE">
    <w:name w:val="CODE"/>
    <w:qFormat/>
    <w:rPr>
      <w:rFonts w:ascii="Courier New" w:hAnsi="Courier New" w:cs="Courier New"/>
      <w:sz w:val="20"/>
    </w:rPr>
  </w:style>
  <w:style w:type="character" w:styleId="CITE">
    <w:name w:val="CITE"/>
    <w:qFormat/>
    <w:rPr>
      <w:i/>
    </w:rPr>
  </w:style>
  <w:style w:type="character" w:styleId="Standard">
    <w:name w:val="Standard Знак"/>
    <w:qFormat/>
    <w:rPr>
      <w:rFonts w:ascii="Arial" w:hAnsi="Arial" w:eastAsia="Calibri" w:cs="Times New Roman"/>
      <w:kern w:val="2"/>
      <w:sz w:val="21"/>
      <w:szCs w:val="21"/>
    </w:rPr>
  </w:style>
  <w:style w:type="character" w:styleId="Style23">
    <w:name w:val="Название Знак"/>
    <w:qFormat/>
    <w:rPr>
      <w:rFonts w:ascii="Times New Roman" w:hAnsi="Times New Roman" w:eastAsia="Times New Roman" w:cs="Times New Roman"/>
      <w:b/>
      <w:bCs/>
    </w:rPr>
  </w:style>
  <w:style w:type="character" w:styleId="Style24">
    <w:name w:val="Без интервала Знак Знак"/>
    <w:qFormat/>
    <w:rPr/>
  </w:style>
  <w:style w:type="character" w:styleId="Style25">
    <w:name w:val="Текст выноски Знак"/>
    <w:qFormat/>
    <w:rPr>
      <w:rFonts w:ascii="Tahoma" w:hAnsi="Tahoma" w:eastAsia="Times New Roman" w:cs="Tahoma"/>
      <w:sz w:val="16"/>
      <w:szCs w:val="16"/>
    </w:rPr>
  </w:style>
  <w:style w:type="character" w:styleId="size60">
    <w:name w:val="size60"/>
    <w:qFormat/>
    <w:rPr/>
  </w:style>
  <w:style w:type="character" w:styleId="13">
    <w:name w:val="Основной шрифт абзаца1"/>
    <w:qFormat/>
    <w:rPr/>
  </w:style>
  <w:style w:type="character" w:styleId="WW8Num3z2">
    <w:name w:val="WW8Num3z2"/>
    <w:qFormat/>
    <w:rPr>
      <w:rFonts w:cs="Times New Roman"/>
    </w:rPr>
  </w:style>
  <w:style w:type="character" w:styleId="WW8Num3z1">
    <w:name w:val="WW8Num3z1"/>
    <w:qFormat/>
    <w:rPr>
      <w:rFonts w:cs="Times New Roman"/>
      <w:b w:val="false"/>
      <w:i w:val="false"/>
    </w:rPr>
  </w:style>
  <w:style w:type="character" w:styleId="WW8Num3z0">
    <w:name w:val="WW8Num3z0"/>
    <w:qFormat/>
    <w:rPr>
      <w:rFonts w:cs="Times New Roman"/>
      <w:b/>
    </w:rPr>
  </w:style>
  <w:style w:type="character" w:styleId="23">
    <w:name w:val="Основной шрифт абзаца2"/>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2z0">
    <w:name w:val="WW8Num2z0"/>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sectiontitle2">
    <w:name w:val="section__title2"/>
    <w:qFormat/>
    <w:rPr>
      <w:vanish w:val="false"/>
      <w:color w:val="909EBB"/>
      <w:sz w:val="20"/>
      <w:szCs w:val="20"/>
    </w:rPr>
  </w:style>
  <w:style w:type="character" w:styleId="Style26">
    <w:name w:val="Без интервала Знак"/>
    <w:qFormat/>
    <w:rPr>
      <w:rFonts w:eastAsia="Times New Roman"/>
      <w:sz w:val="22"/>
      <w:szCs w:val="22"/>
      <w:lang w:bidi="ar-SA"/>
    </w:rPr>
  </w:style>
  <w:style w:type="character" w:styleId="CommentReference">
    <w:name w:val="annotation reference"/>
    <w:qFormat/>
    <w:rPr>
      <w:sz w:val="16"/>
      <w:szCs w:val="16"/>
    </w:rPr>
  </w:style>
  <w:style w:type="character" w:styleId="Style27">
    <w:name w:val="Текст примечания Знак"/>
    <w:qFormat/>
    <w:rPr>
      <w:sz w:val="20"/>
      <w:szCs w:val="20"/>
    </w:rPr>
  </w:style>
  <w:style w:type="character" w:styleId="Style28">
    <w:name w:val="Тема примечания Знак"/>
    <w:qFormat/>
    <w:rPr>
      <w:b/>
      <w:bCs/>
      <w:sz w:val="20"/>
      <w:szCs w:val="20"/>
    </w:rPr>
  </w:style>
  <w:style w:type="character" w:styleId="Style29">
    <w:name w:val="Основной шрифт абзаца"/>
    <w:qFormat/>
    <w:rPr/>
  </w:style>
  <w:style w:type="character" w:styleId="cardmaininfotitle">
    <w:name w:val="cardmaininfo__title"/>
    <w:qFormat/>
    <w:rPr/>
  </w:style>
  <w:style w:type="character" w:styleId="FontStyle20">
    <w:name w:val="Font Style20"/>
    <w:qFormat/>
    <w:rPr>
      <w:rFonts w:ascii="Courier New" w:hAnsi="Courier New" w:eastAsia="Courier New" w:cs="Courier New"/>
      <w:sz w:val="18"/>
      <w:szCs w:val="18"/>
    </w:rPr>
  </w:style>
  <w:style w:type="character" w:styleId="Style30">
    <w:name w:val="Текст Знак"/>
    <w:qFormat/>
    <w:rPr>
      <w:rFonts w:ascii="Consolas" w:hAnsi="Consolas" w:cs="Consolas"/>
      <w:sz w:val="21"/>
      <w:szCs w:val="21"/>
    </w:rPr>
  </w:style>
  <w:style w:type="character" w:styleId="32">
    <w:name w:val="Текст Знак3"/>
    <w:qFormat/>
    <w:rPr>
      <w:rFonts w:ascii="Courier New" w:hAnsi="Courier New" w:eastAsia="Times New Roman" w:cs="Times New Roman"/>
      <w:sz w:val="20"/>
      <w:szCs w:val="20"/>
    </w:rPr>
  </w:style>
  <w:style w:type="character" w:styleId="14">
    <w:name w:val="Без интервала Знак1"/>
    <w:qFormat/>
    <w:rPr>
      <w:rFonts w:ascii="Calibri" w:hAnsi="Calibri" w:eastAsia="Calibri" w:cs="Calibri"/>
      <w:kern w:val="2"/>
      <w:lang w:val="en-US" w:eastAsia="zh-CN" w:bidi="en-US"/>
    </w:rPr>
  </w:style>
  <w:style w:type="character" w:styleId="fw-middle">
    <w:name w:val="fw-middle"/>
    <w:basedOn w:val="DefaultParagraphFont"/>
    <w:qFormat/>
    <w:rPr/>
  </w:style>
  <w:style w:type="paragraph" w:styleId="Style31">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14"/>
    <w:pPr>
      <w:spacing w:lineRule="auto" w:line="240" w:before="0" w:after="120"/>
      <w:jc w:val="both"/>
    </w:pPr>
    <w:rPr>
      <w:rFonts w:ascii="Times New Roman" w:hAnsi="Times New Roman"/>
      <w:sz w:val="24"/>
      <w:szCs w:val="24"/>
    </w:rPr>
  </w:style>
  <w:style w:type="paragraph" w:styleId="List">
    <w:name w:val="List"/>
    <w:basedOn w:val="BodyText"/>
    <w:pPr/>
    <w:rPr>
      <w:rFonts w:cs="Arial"/>
    </w:rPr>
  </w:style>
  <w:style w:type="paragraph" w:styleId="Caption">
    <w:name w:val="caption"/>
    <w:basedOn w:val="Normal"/>
    <w:qFormat/>
    <w:pPr>
      <w:jc w:val="center"/>
    </w:pPr>
    <w:rPr>
      <w:b/>
      <w:bCs/>
    </w:rPr>
  </w:style>
  <w:style w:type="paragraph" w:styleId="Style32">
    <w:name w:val="Указатель"/>
    <w:basedOn w:val="Normal"/>
    <w:qFormat/>
    <w:pPr>
      <w:suppressLineNumbers/>
    </w:pPr>
    <w:rPr>
      <w:rFonts w:cs="Arial"/>
      <w:lang w:val="zxx" w:eastAsia="zxx" w:bidi="zxx"/>
    </w:rPr>
  </w:style>
  <w:style w:type="paragraph" w:styleId="user2">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3">
    <w:name w:val="Указатель (user)"/>
    <w:basedOn w:val="Normal"/>
    <w:qFormat/>
    <w:pPr>
      <w:suppressLineNumbers/>
    </w:pPr>
    <w:rPr>
      <w:rFonts w:cs="Arial"/>
    </w:rPr>
  </w:style>
  <w:style w:type="paragraph" w:styleId="IndexHeading">
    <w:name w:val="index heading"/>
    <w:basedOn w:val="Normal"/>
    <w:qFormat/>
    <w:pPr>
      <w:suppressLineNumbers/>
    </w:pPr>
    <w:rPr>
      <w:rFonts w:cs="Arial"/>
    </w:rPr>
  </w:style>
  <w:style w:type="paragraph" w:styleId="ConsPlusNormal1">
    <w:name w:val="ConsPlusNormal"/>
    <w:link w:val="ConsPlusNormal"/>
    <w:qFormat/>
    <w:pPr>
      <w:widowControl w:val="false"/>
      <w:suppressAutoHyphens w:val="true"/>
      <w:overflowPunct w:val="fals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FootnoteText">
    <w:name w:val="footnote text"/>
    <w:basedOn w:val="Normal"/>
    <w:link w:val="Style11"/>
    <w:pPr/>
    <w:rPr>
      <w:sz w:val="20"/>
      <w:szCs w:val="20"/>
    </w:rPr>
  </w:style>
  <w:style w:type="paragraph" w:styleId="ListParagraph">
    <w:name w:val="List Paragraph"/>
    <w:basedOn w:val="Normal"/>
    <w:link w:val="Style13"/>
    <w:qFormat/>
    <w:pPr>
      <w:spacing w:before="0" w:after="200"/>
      <w:ind w:hanging="0" w:left="720" w:right="0"/>
      <w:contextualSpacing/>
    </w:pPr>
    <w:rPr>
      <w:rFonts w:ascii="Calibri" w:hAnsi="Calibri" w:eastAsia="Calibri"/>
      <w:lang w:val="en-US" w:bidi="en-US"/>
    </w:rPr>
  </w:style>
  <w:style w:type="paragraph" w:styleId="211">
    <w:name w:val="Основной текст 21"/>
    <w:basedOn w:val="Normal"/>
    <w:qFormat/>
    <w:pPr>
      <w:widowControl w:val="false"/>
      <w:spacing w:lineRule="auto" w:line="240" w:before="0" w:after="0"/>
      <w:jc w:val="both"/>
    </w:pPr>
    <w:rPr>
      <w:rFonts w:ascii="Times New Roman" w:hAnsi="Times New Roman" w:eastAsia="Calibri"/>
      <w:i/>
      <w:szCs w:val="20"/>
      <w:lang w:val="en-US" w:eastAsia="ar-SA"/>
    </w:rPr>
  </w:style>
  <w:style w:type="paragraph" w:styleId="ConsPlusNonformat">
    <w:name w:val="ConsPlusNonformat"/>
    <w:qFormat/>
    <w:pPr>
      <w:widowControl w:val="false"/>
      <w:suppressAutoHyphens w:val="true"/>
      <w:overflowPunct w:val="fals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PlusTitle">
    <w:name w:val="ConsPlusTitle"/>
    <w:qFormat/>
    <w:pPr>
      <w:widowControl w:val="false"/>
      <w:suppressAutoHyphens w:val="true"/>
      <w:overflowPunct w:val="false"/>
      <w:bidi w:val="0"/>
      <w:spacing w:before="0" w:after="0"/>
      <w:jc w:val="left"/>
    </w:pPr>
    <w:rPr>
      <w:rFonts w:ascii="Calibri" w:hAnsi="Calibri" w:eastAsia="Times New Roman" w:cs="Calibri"/>
      <w:b/>
      <w:color w:val="auto"/>
      <w:kern w:val="0"/>
      <w:sz w:val="22"/>
      <w:szCs w:val="20"/>
      <w:lang w:val="ru-RU" w:eastAsia="ru-RU" w:bidi="ar-SA"/>
    </w:rPr>
  </w:style>
  <w:style w:type="paragraph" w:styleId="Style33">
    <w:name w:val="Колонтитул"/>
    <w:basedOn w:val="Normal"/>
    <w:qFormat/>
    <w:pPr/>
    <w:rPr/>
  </w:style>
  <w:style w:type="paragraph" w:styleId="Style34">
    <w:name w:val="Колонтитулы"/>
    <w:basedOn w:val="Normal"/>
    <w:qFormat/>
    <w:pPr/>
    <w:rPr/>
  </w:style>
  <w:style w:type="paragraph" w:styleId="user4">
    <w:name w:val="Колонтитулы (user)"/>
    <w:basedOn w:val="Normal"/>
    <w:qFormat/>
    <w:pPr/>
    <w:rPr/>
  </w:style>
  <w:style w:type="paragraph" w:styleId="Header">
    <w:name w:val="header"/>
    <w:basedOn w:val="Normal"/>
    <w:link w:val="Style15"/>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Footer">
    <w:name w:val="footer"/>
    <w:basedOn w:val="Normal"/>
    <w:link w:val="Style16"/>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EndnoteText">
    <w:name w:val="endnote text"/>
    <w:basedOn w:val="Normal"/>
    <w:link w:val="Style17"/>
    <w:pPr>
      <w:spacing w:lineRule="auto" w:line="240" w:before="0" w:after="0"/>
      <w:jc w:val="both"/>
    </w:pPr>
    <w:rPr>
      <w:rFonts w:ascii="Times New Roman" w:hAnsi="Times New Roman"/>
      <w:sz w:val="20"/>
      <w:szCs w:val="20"/>
    </w:rPr>
  </w:style>
  <w:style w:type="paragraph" w:styleId="41">
    <w:name w:val="Указатель4"/>
    <w:basedOn w:val="Normal"/>
    <w:qFormat/>
    <w:pPr>
      <w:ind w:firstLine="851" w:left="0" w:right="0"/>
    </w:pPr>
    <w:rPr>
      <w:rFonts w:cs="Arial"/>
    </w:rPr>
  </w:style>
  <w:style w:type="paragraph" w:styleId="Style35">
    <w:name w:val="подпись"/>
    <w:basedOn w:val="Normal"/>
    <w:qFormat/>
    <w:pPr>
      <w:spacing w:lineRule="exact" w:line="240"/>
      <w:ind w:hanging="0" w:left="0" w:right="5670"/>
    </w:pPr>
    <w:rPr/>
  </w:style>
  <w:style w:type="paragraph" w:styleId="NormalWeb">
    <w:name w:val="Normal (Web)"/>
    <w:basedOn w:val="Normal"/>
    <w:qFormat/>
    <w:pPr>
      <w:spacing w:before="100" w:after="100"/>
    </w:pPr>
    <w:rPr>
      <w:rFonts w:ascii="Arial Unicode MS" w:hAnsi="Arial Unicode MS" w:eastAsia="Arial Unicode MS" w:cs="Arial Unicode MS"/>
    </w:rPr>
  </w:style>
  <w:style w:type="paragraph" w:styleId="ConsNormal">
    <w:name w:val="ConsNormal"/>
    <w:qFormat/>
    <w:pPr>
      <w:widowControl w:val="false"/>
      <w:suppressAutoHyphens w:val="true"/>
      <w:overflowPunct w:val="false"/>
      <w:bidi w:val="0"/>
      <w:spacing w:before="0" w:after="0"/>
      <w:ind w:firstLine="720" w:left="0" w:right="0"/>
      <w:jc w:val="left"/>
    </w:pPr>
    <w:rPr>
      <w:rFonts w:ascii="Arial" w:hAnsi="Arial" w:eastAsia="Times New Roman" w:cs="Arial"/>
      <w:color w:val="auto"/>
      <w:kern w:val="2"/>
      <w:sz w:val="20"/>
      <w:szCs w:val="20"/>
      <w:lang w:val="ru-RU" w:eastAsia="zh-CN" w:bidi="ar-SA"/>
    </w:rPr>
  </w:style>
  <w:style w:type="paragraph" w:styleId="BalloonText">
    <w:name w:val="Balloon Text"/>
    <w:basedOn w:val="Normal"/>
    <w:qFormat/>
    <w:pPr/>
    <w:rPr>
      <w:rFonts w:ascii="Tahoma" w:hAnsi="Tahoma" w:cs="Tahoma"/>
      <w:sz w:val="16"/>
      <w:szCs w:val="16"/>
    </w:rPr>
  </w:style>
  <w:style w:type="paragraph" w:styleId="xl63">
    <w:name w:val="xl63"/>
    <w:basedOn w:val="Normal"/>
    <w:qFormat/>
    <w:pPr>
      <w:pBdr>
        <w:top w:val="single" w:sz="8" w:space="0" w:color="000000"/>
        <w:left w:val="single" w:sz="8" w:space="0" w:color="000000"/>
      </w:pBdr>
      <w:spacing w:lineRule="auto" w:line="240" w:before="280" w:after="280"/>
      <w:jc w:val="center"/>
      <w:textAlignment w:val="center"/>
    </w:pPr>
    <w:rPr>
      <w:rFonts w:ascii="Arial CYR" w:hAnsi="Arial CYR" w:cs="Arial CYR"/>
    </w:rPr>
  </w:style>
  <w:style w:type="paragraph" w:styleId="xl64">
    <w:name w:val="xl64"/>
    <w:basedOn w:val="Normal"/>
    <w:qFormat/>
    <w:pPr>
      <w:pBdr>
        <w:top w:val="single" w:sz="8" w:space="0" w:color="000000"/>
        <w:left w:val="single" w:sz="8" w:space="0" w:color="000000"/>
        <w:right w:val="single" w:sz="8" w:space="0" w:color="000000"/>
      </w:pBdr>
      <w:spacing w:lineRule="auto" w:line="240" w:before="280" w:after="280"/>
      <w:jc w:val="center"/>
      <w:textAlignment w:val="center"/>
    </w:pPr>
    <w:rPr/>
  </w:style>
  <w:style w:type="paragraph" w:styleId="xl65">
    <w:name w:val="xl65"/>
    <w:basedOn w:val="Normal"/>
    <w:qFormat/>
    <w:pPr>
      <w:pBdr>
        <w:top w:val="single" w:sz="8" w:space="0" w:color="000000"/>
        <w:left w:val="single" w:sz="8" w:space="0" w:color="000000"/>
        <w:bottom w:val="single" w:sz="8" w:space="0" w:color="000000"/>
      </w:pBdr>
      <w:spacing w:lineRule="auto" w:line="240" w:before="280" w:after="280"/>
    </w:pPr>
    <w:rPr>
      <w:rFonts w:ascii="Arial CYR" w:hAnsi="Arial CYR" w:cs="Arial CYR"/>
      <w:b/>
      <w:bCs/>
    </w:rPr>
  </w:style>
  <w:style w:type="paragraph" w:styleId="xl66">
    <w:name w:val="xl66"/>
    <w:basedOn w:val="Normal"/>
    <w:qFormat/>
    <w:pPr>
      <w:pBdr>
        <w:top w:val="single" w:sz="8" w:space="0" w:color="000000"/>
        <w:left w:val="single" w:sz="8" w:space="0" w:color="000000"/>
        <w:bottom w:val="single" w:sz="8" w:space="0" w:color="000000"/>
        <w:right w:val="single" w:sz="4" w:space="0" w:color="000000"/>
      </w:pBdr>
      <w:spacing w:lineRule="auto" w:line="240" w:before="280" w:after="280"/>
    </w:pPr>
    <w:rPr/>
  </w:style>
  <w:style w:type="paragraph" w:styleId="xl67">
    <w:name w:val="xl67"/>
    <w:basedOn w:val="Normal"/>
    <w:qFormat/>
    <w:pPr>
      <w:pBdr>
        <w:top w:val="single" w:sz="8" w:space="0" w:color="000000"/>
        <w:left w:val="single" w:sz="4" w:space="0" w:color="000000"/>
        <w:bottom w:val="single" w:sz="8" w:space="0" w:color="000000"/>
        <w:right w:val="single" w:sz="4" w:space="0" w:color="000000"/>
      </w:pBdr>
      <w:spacing w:lineRule="auto" w:line="240" w:before="280" w:after="280"/>
    </w:pPr>
    <w:rPr/>
  </w:style>
  <w:style w:type="paragraph" w:styleId="xl68">
    <w:name w:val="xl68"/>
    <w:basedOn w:val="Normal"/>
    <w:qFormat/>
    <w:pPr>
      <w:pBdr>
        <w:top w:val="single" w:sz="8" w:space="0" w:color="000000"/>
        <w:left w:val="single" w:sz="8" w:space="0" w:color="000000"/>
        <w:right w:val="single" w:sz="4" w:space="0" w:color="000000"/>
      </w:pBdr>
      <w:spacing w:lineRule="auto" w:line="240" w:before="280" w:after="280"/>
    </w:pPr>
    <w:rPr/>
  </w:style>
  <w:style w:type="paragraph" w:styleId="xl69">
    <w:name w:val="xl69"/>
    <w:basedOn w:val="Normal"/>
    <w:qFormat/>
    <w:pPr>
      <w:pBdr>
        <w:top w:val="single" w:sz="8" w:space="0" w:color="000000"/>
        <w:left w:val="single" w:sz="4" w:space="0" w:color="000000"/>
        <w:right w:val="single" w:sz="4" w:space="0" w:color="000000"/>
      </w:pBdr>
      <w:spacing w:lineRule="auto" w:line="240" w:before="280" w:after="280"/>
    </w:pPr>
    <w:rPr/>
  </w:style>
  <w:style w:type="paragraph" w:styleId="xl70">
    <w:name w:val="xl70"/>
    <w:basedOn w:val="Normal"/>
    <w:qFormat/>
    <w:pPr>
      <w:pBdr>
        <w:left w:val="single" w:sz="8" w:space="0" w:color="000000"/>
        <w:right w:val="single" w:sz="4" w:space="0" w:color="000000"/>
      </w:pBdr>
      <w:spacing w:lineRule="auto" w:line="240" w:before="280" w:after="280"/>
    </w:pPr>
    <w:rPr/>
  </w:style>
  <w:style w:type="paragraph" w:styleId="xl71">
    <w:name w:val="xl71"/>
    <w:basedOn w:val="Normal"/>
    <w:qFormat/>
    <w:pPr>
      <w:pBdr>
        <w:left w:val="single" w:sz="4" w:space="0" w:color="000000"/>
        <w:right w:val="single" w:sz="4" w:space="0" w:color="000000"/>
      </w:pBdr>
      <w:spacing w:lineRule="auto" w:line="240" w:before="280" w:after="280"/>
    </w:pPr>
    <w:rPr/>
  </w:style>
  <w:style w:type="paragraph" w:styleId="xl72">
    <w:name w:val="xl72"/>
    <w:basedOn w:val="Normal"/>
    <w:qFormat/>
    <w:pPr>
      <w:pBdr>
        <w:top w:val="single" w:sz="8" w:space="0" w:color="000000"/>
        <w:left w:val="single" w:sz="4" w:space="0" w:color="000000"/>
        <w:bottom w:val="single" w:sz="4" w:space="0" w:color="000000"/>
        <w:right w:val="single" w:sz="4" w:space="0" w:color="000000"/>
      </w:pBdr>
      <w:spacing w:lineRule="auto" w:line="240" w:before="280" w:after="280"/>
    </w:pPr>
    <w:rPr/>
  </w:style>
  <w:style w:type="paragraph" w:styleId="xl73">
    <w:name w:val="xl73"/>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style>
  <w:style w:type="paragraph" w:styleId="xl74">
    <w:name w:val="xl74"/>
    <w:basedOn w:val="Normal"/>
    <w:qFormat/>
    <w:pPr>
      <w:pBdr>
        <w:top w:val="single" w:sz="4" w:space="0" w:color="000000"/>
        <w:left w:val="single" w:sz="4" w:space="0" w:color="000000"/>
        <w:right w:val="single" w:sz="4" w:space="0" w:color="000000"/>
      </w:pBdr>
      <w:spacing w:lineRule="auto" w:line="240" w:before="280" w:after="280"/>
    </w:pPr>
    <w:rPr/>
  </w:style>
  <w:style w:type="paragraph" w:styleId="xl75">
    <w:name w:val="xl75"/>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style>
  <w:style w:type="paragraph" w:styleId="xl76">
    <w:name w:val="xl76"/>
    <w:basedOn w:val="Normal"/>
    <w:qFormat/>
    <w:pPr>
      <w:pBdr>
        <w:left w:val="single" w:sz="4" w:space="0" w:color="000000"/>
        <w:bottom w:val="single" w:sz="4" w:space="0" w:color="000000"/>
        <w:right w:val="single" w:sz="4" w:space="0" w:color="000000"/>
      </w:pBdr>
      <w:spacing w:lineRule="auto" w:line="240" w:before="280" w:after="280"/>
    </w:pPr>
    <w:rPr/>
  </w:style>
  <w:style w:type="paragraph" w:styleId="xl77">
    <w:name w:val="xl77"/>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rFonts w:ascii="Arial CYR" w:hAnsi="Arial CYR" w:cs="Arial CYR"/>
      <w:sz w:val="20"/>
    </w:rPr>
  </w:style>
  <w:style w:type="paragraph" w:styleId="xl78">
    <w:name w:val="xl78"/>
    <w:basedOn w:val="Normal"/>
    <w:qFormat/>
    <w:pPr>
      <w:pBdr>
        <w:top w:val="single" w:sz="8" w:space="0" w:color="000000"/>
        <w:left w:val="single" w:sz="8" w:space="0" w:color="000000"/>
      </w:pBdr>
      <w:spacing w:lineRule="auto" w:line="240" w:before="280" w:after="280"/>
    </w:pPr>
    <w:rPr>
      <w:rFonts w:ascii="Arial CYR" w:hAnsi="Arial CYR" w:cs="Arial CYR"/>
      <w:b/>
      <w:bCs/>
    </w:rPr>
  </w:style>
  <w:style w:type="paragraph" w:styleId="xl79">
    <w:name w:val="xl79"/>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0">
    <w:name w:val="xl80"/>
    <w:basedOn w:val="Normal"/>
    <w:qFormat/>
    <w:pPr>
      <w:pBdr>
        <w:top w:val="single" w:sz="4" w:space="0" w:color="000000"/>
        <w:left w:val="single" w:sz="8" w:space="0" w:color="000000"/>
        <w:bottom w:val="single" w:sz="4" w:space="0" w:color="000000"/>
        <w:right w:val="single" w:sz="4" w:space="0" w:color="000000"/>
      </w:pBdr>
      <w:spacing w:lineRule="auto" w:line="240" w:before="280" w:after="280"/>
    </w:pPr>
    <w:rPr>
      <w:rFonts w:ascii="Arial CYR" w:hAnsi="Arial CYR" w:cs="Arial CYR"/>
      <w:i/>
      <w:iCs/>
      <w:sz w:val="20"/>
    </w:rPr>
  </w:style>
  <w:style w:type="paragraph" w:styleId="xl81">
    <w:name w:val="xl81"/>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2">
    <w:name w:val="xl82"/>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b/>
      <w:bCs/>
    </w:rPr>
  </w:style>
  <w:style w:type="paragraph" w:styleId="xl83">
    <w:name w:val="xl83"/>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4">
    <w:name w:val="xl84"/>
    <w:basedOn w:val="Normal"/>
    <w:qFormat/>
    <w:pPr>
      <w:pBdr>
        <w:top w:val="single" w:sz="4" w:space="0" w:color="000000"/>
        <w:left w:val="single" w:sz="4" w:space="0" w:color="000000"/>
        <w:right w:val="single" w:sz="4" w:space="0" w:color="000000"/>
      </w:pBdr>
      <w:spacing w:lineRule="auto" w:line="240" w:before="280" w:after="280"/>
    </w:pPr>
    <w:rPr>
      <w:b/>
      <w:bCs/>
    </w:rPr>
  </w:style>
  <w:style w:type="paragraph" w:styleId="xl85">
    <w:name w:val="xl85"/>
    <w:basedOn w:val="Normal"/>
    <w:qFormat/>
    <w:pPr>
      <w:pBdr>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6">
    <w:name w:val="xl86"/>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sz w:val="20"/>
    </w:rPr>
  </w:style>
  <w:style w:type="paragraph" w:styleId="xl87">
    <w:name w:val="xl87"/>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8">
    <w:name w:val="xl88"/>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9">
    <w:name w:val="xl89"/>
    <w:basedOn w:val="Normal"/>
    <w:qFormat/>
    <w:pPr>
      <w:pBdr>
        <w:left w:val="single" w:sz="8" w:space="0" w:color="000000"/>
        <w:bottom w:val="single" w:sz="8" w:space="0" w:color="000000"/>
      </w:pBdr>
      <w:spacing w:lineRule="auto" w:line="240" w:before="280" w:after="280"/>
    </w:pPr>
    <w:rPr>
      <w:rFonts w:ascii="Arial CYR" w:hAnsi="Arial CYR" w:cs="Arial CYR"/>
      <w:b/>
      <w:bCs/>
    </w:rPr>
  </w:style>
  <w:style w:type="paragraph" w:styleId="xl90">
    <w:name w:val="xl90"/>
    <w:basedOn w:val="Normal"/>
    <w:qFormat/>
    <w:pPr>
      <w:pBdr>
        <w:left w:val="single" w:sz="8"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xl91">
    <w:name w:val="xl91"/>
    <w:basedOn w:val="Normal"/>
    <w:qFormat/>
    <w:pPr>
      <w:pBdr>
        <w:left w:val="single" w:sz="4"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Style36">
    <w:name w:val="Знак"/>
    <w:basedOn w:val="Normal"/>
    <w:qFormat/>
    <w:pPr>
      <w:spacing w:lineRule="exact" w:line="240" w:before="0" w:after="160"/>
    </w:pPr>
    <w:rPr>
      <w:rFonts w:ascii="Verdana" w:hAnsi="Verdana" w:cs="Verdana"/>
      <w:sz w:val="20"/>
      <w:lang w:val="en-US"/>
    </w:rPr>
  </w:style>
  <w:style w:type="paragraph" w:styleId="321">
    <w:name w:val="Заголовок 32"/>
    <w:basedOn w:val="Normal"/>
    <w:qFormat/>
    <w:pPr>
      <w:spacing w:lineRule="auto" w:line="240"/>
    </w:pPr>
    <w:rPr>
      <w:b/>
      <w:bCs/>
      <w:sz w:val="21"/>
      <w:szCs w:val="21"/>
    </w:rPr>
  </w:style>
  <w:style w:type="paragraph" w:styleId="212">
    <w:name w:val="Основной текст с отступом 21"/>
    <w:basedOn w:val="Normal"/>
    <w:qFormat/>
    <w:pPr>
      <w:spacing w:lineRule="auto" w:line="240" w:before="0" w:after="120"/>
      <w:ind w:hanging="0" w:left="283" w:right="0"/>
    </w:pPr>
    <w:rPr/>
  </w:style>
  <w:style w:type="paragraph" w:styleId="Style37">
    <w:name w:val="Знак Знак Знак"/>
    <w:basedOn w:val="Normal"/>
    <w:qFormat/>
    <w:pPr>
      <w:spacing w:lineRule="exact" w:line="240" w:before="0" w:after="160"/>
    </w:pPr>
    <w:rPr>
      <w:rFonts w:ascii="Verdana" w:hAnsi="Verdana" w:cs="Verdana"/>
      <w:sz w:val="20"/>
      <w:lang w:val="en-US"/>
    </w:rPr>
  </w:style>
  <w:style w:type="paragraph" w:styleId="Style38">
    <w:name w:val="Знак Знак Знак Знак Знак Знак Знак"/>
    <w:basedOn w:val="Normal"/>
    <w:qFormat/>
    <w:pPr>
      <w:spacing w:lineRule="auto" w:line="240" w:before="280" w:after="280"/>
    </w:pPr>
    <w:rPr>
      <w:rFonts w:ascii="Tahoma" w:hAnsi="Tahoma" w:cs="Tahoma"/>
      <w:sz w:val="20"/>
      <w:lang w:val="en-US"/>
    </w:rPr>
  </w:style>
  <w:style w:type="paragraph" w:styleId="111">
    <w:name w:val="Знак1 Знак Знак1 Знак Знак Знак Знак Знак Знак Знак Знак Знак Знак Знак Знак Знак"/>
    <w:basedOn w:val="Normal"/>
    <w:qFormat/>
    <w:pPr>
      <w:spacing w:lineRule="auto" w:line="240" w:before="280" w:after="280"/>
    </w:pPr>
    <w:rPr>
      <w:rFonts w:ascii="Tahoma" w:hAnsi="Tahoma" w:cs="Tahoma"/>
      <w:sz w:val="20"/>
      <w:lang w:val="en-US"/>
    </w:rPr>
  </w:style>
  <w:style w:type="paragraph" w:styleId="IntenseQuote">
    <w:name w:val="Intense Quote"/>
    <w:basedOn w:val="Normal"/>
    <w:next w:val="Normal"/>
    <w:qFormat/>
    <w:pPr>
      <w:pBdr>
        <w:bottom w:val="single" w:sz="4" w:space="4" w:color="4F81BD"/>
      </w:pBdr>
      <w:spacing w:before="200" w:after="280"/>
      <w:ind w:hanging="0" w:left="936" w:right="936"/>
    </w:pPr>
    <w:rPr>
      <w:rFonts w:ascii="Calibri" w:hAnsi="Calibri" w:eastAsia="Calibri" w:cs="Calibri"/>
      <w:b/>
      <w:bCs/>
      <w:i/>
      <w:iCs/>
      <w:color w:val="4F81BD"/>
      <w:lang w:val="en-US" w:bidi="en-US"/>
    </w:rPr>
  </w:style>
  <w:style w:type="paragraph" w:styleId="NoSpacing">
    <w:name w:val="No Spacing"/>
    <w:qFormat/>
    <w:pPr>
      <w:widowControl/>
      <w:suppressAutoHyphens w:val="true"/>
      <w:overflowPunct w:val="false"/>
      <w:bidi w:val="0"/>
      <w:spacing w:before="0" w:after="0"/>
      <w:jc w:val="left"/>
    </w:pPr>
    <w:rPr>
      <w:rFonts w:ascii="Calibri" w:hAnsi="Calibri" w:eastAsia="Times New Roman" w:cs="Tahoma"/>
      <w:color w:val="00000A"/>
      <w:kern w:val="2"/>
      <w:sz w:val="24"/>
      <w:szCs w:val="22"/>
      <w:lang w:val="ru-RU" w:eastAsia="zh-CN" w:bidi="ar-SA"/>
    </w:rPr>
  </w:style>
  <w:style w:type="paragraph" w:styleId="Quote">
    <w:name w:val="Quote"/>
    <w:basedOn w:val="Normal"/>
    <w:next w:val="Normal"/>
    <w:qFormat/>
    <w:pPr/>
    <w:rPr>
      <w:rFonts w:ascii="Calibri" w:hAnsi="Calibri" w:eastAsia="Calibri" w:cs="Calibri"/>
      <w:i/>
      <w:iCs/>
      <w:color w:val="000000"/>
      <w:lang w:val="en-US" w:bidi="en-US"/>
    </w:rPr>
  </w:style>
  <w:style w:type="paragraph" w:styleId="Style39">
    <w:name w:val="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Style40">
    <w:name w:val="Знак Знак"/>
    <w:basedOn w:val="Normal"/>
    <w:qFormat/>
    <w:pPr>
      <w:spacing w:lineRule="exact" w:line="240" w:before="0" w:after="160"/>
    </w:pPr>
    <w:rPr>
      <w:rFonts w:ascii="Verdana" w:hAnsi="Verdana" w:cs="Verdana"/>
      <w:sz w:val="20"/>
      <w:lang w:val="en-US"/>
    </w:rPr>
  </w:style>
  <w:style w:type="paragraph" w:styleId="ConsNonformat">
    <w:name w:val="ConsNonformat"/>
    <w:qFormat/>
    <w:pPr>
      <w:widowControl w:val="false"/>
      <w:suppressAutoHyphens w:val="true"/>
      <w:overflowPunct w:val="false"/>
      <w:bidi w:val="0"/>
      <w:spacing w:before="0" w:after="0"/>
      <w:jc w:val="left"/>
    </w:pPr>
    <w:rPr>
      <w:rFonts w:ascii="Courier New" w:hAnsi="Courier New" w:eastAsia="Times New Roman" w:cs="Courier New"/>
      <w:color w:val="auto"/>
      <w:kern w:val="2"/>
      <w:sz w:val="20"/>
      <w:szCs w:val="20"/>
      <w:lang w:val="ru-RU" w:eastAsia="zh-CN" w:bidi="ar-SA"/>
    </w:rPr>
  </w:style>
  <w:style w:type="paragraph" w:styleId="Style41">
    <w:name w:val="Знак 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western">
    <w:name w:val="western"/>
    <w:basedOn w:val="Normal"/>
    <w:qFormat/>
    <w:pPr>
      <w:spacing w:lineRule="auto" w:line="240" w:before="280" w:after="119"/>
    </w:pPr>
    <w:rPr/>
  </w:style>
  <w:style w:type="paragraph" w:styleId="15">
    <w:name w:val="Без интервала1"/>
    <w:qFormat/>
    <w:pPr>
      <w:widowControl/>
      <w:suppressAutoHyphens w:val="true"/>
      <w:overflowPunct w:val="false"/>
      <w:bidi w:val="0"/>
      <w:spacing w:before="0" w:after="0"/>
      <w:jc w:val="left"/>
    </w:pPr>
    <w:rPr>
      <w:rFonts w:ascii="Calibri" w:hAnsi="Calibri" w:eastAsia="Times New Roman" w:cs="Calibri"/>
      <w:color w:val="auto"/>
      <w:kern w:val="2"/>
      <w:sz w:val="22"/>
      <w:szCs w:val="22"/>
      <w:lang w:val="ru-RU" w:eastAsia="zh-CN" w:bidi="ar-SA"/>
    </w:rPr>
  </w:style>
  <w:style w:type="paragraph" w:styleId="91">
    <w:name w:val="Знак Знак9 Знак Знак"/>
    <w:basedOn w:val="Normal"/>
    <w:qFormat/>
    <w:pPr>
      <w:spacing w:lineRule="exact" w:line="240" w:before="0" w:after="160"/>
    </w:pPr>
    <w:rPr>
      <w:rFonts w:ascii="Verdana" w:hAnsi="Verdana" w:cs="Verdana"/>
      <w:sz w:val="20"/>
      <w:lang w:val="en-US"/>
    </w:rPr>
  </w:style>
  <w:style w:type="paragraph" w:styleId="33">
    <w:name w:val="Название объекта3"/>
    <w:basedOn w:val="Normal"/>
    <w:qFormat/>
    <w:pPr>
      <w:ind w:firstLine="851" w:left="0" w:right="0"/>
      <w:jc w:val="center"/>
    </w:pPr>
    <w:rPr>
      <w:b/>
      <w:bCs/>
    </w:rPr>
  </w:style>
  <w:style w:type="paragraph" w:styleId="Style110">
    <w:name w:val="Style1"/>
    <w:basedOn w:val="Normal"/>
    <w:qFormat/>
    <w:pPr>
      <w:spacing w:lineRule="exact" w:line="240" w:before="0" w:after="0"/>
    </w:pPr>
    <w:rPr>
      <w:rFonts w:ascii="Times New Roman" w:hAnsi="Times New Roman"/>
    </w:rPr>
  </w:style>
  <w:style w:type="paragraph" w:styleId="formattext">
    <w:name w:val="formattext"/>
    <w:basedOn w:val="Normal"/>
    <w:qFormat/>
    <w:pPr>
      <w:spacing w:lineRule="exact" w:line="240" w:before="100" w:after="100"/>
    </w:pPr>
    <w:rPr>
      <w:rFonts w:ascii="Times New Roman" w:hAnsi="Times New Roman"/>
    </w:rPr>
  </w:style>
  <w:style w:type="paragraph" w:styleId="z-TopofForm">
    <w:name w:val="z-Top of Form"/>
    <w:qFormat/>
    <w:pPr>
      <w:widowControl/>
      <w:pBdr>
        <w:bottom w:val="double" w:sz="2" w:space="0" w:color="000000"/>
      </w:pBdr>
      <w:suppressAutoHyphens w:val="true"/>
      <w:overflowPunct w:val="false"/>
      <w:bidi w:val="0"/>
      <w:spacing w:before="0" w:after="0"/>
      <w:jc w:val="center"/>
    </w:pPr>
    <w:rPr>
      <w:rFonts w:ascii="Arial" w:hAnsi="Arial" w:eastAsia="Arial" w:cs="Courier New"/>
      <w:vanish/>
      <w:color w:val="auto"/>
      <w:kern w:val="2"/>
      <w:sz w:val="16"/>
      <w:szCs w:val="24"/>
      <w:lang w:val="ru-RU" w:eastAsia="zh-CN" w:bidi="hi-IN"/>
    </w:rPr>
  </w:style>
  <w:style w:type="paragraph" w:styleId="z-BottomofForm">
    <w:name w:val="z-Bottom of Form"/>
    <w:qFormat/>
    <w:pPr>
      <w:widowControl/>
      <w:pBdr>
        <w:top w:val="double" w:sz="2" w:space="0" w:color="000000"/>
      </w:pBdr>
      <w:suppressAutoHyphens w:val="true"/>
      <w:overflowPunct w:val="false"/>
      <w:bidi w:val="0"/>
      <w:spacing w:before="0" w:after="0"/>
      <w:jc w:val="center"/>
    </w:pPr>
    <w:rPr>
      <w:rFonts w:ascii="Arial" w:hAnsi="Arial" w:eastAsia="Arial" w:cs="Courier New"/>
      <w:vanish/>
      <w:color w:val="auto"/>
      <w:kern w:val="2"/>
      <w:sz w:val="16"/>
      <w:szCs w:val="24"/>
      <w:lang w:val="ru-RU" w:eastAsia="zh-CN" w:bidi="hi-IN"/>
    </w:rPr>
  </w:style>
  <w:style w:type="paragraph" w:styleId="Preformatted">
    <w:name w:val="Preformatted"/>
    <w:qFormat/>
    <w:pPr>
      <w:widowControl/>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uppressAutoHyphens w:val="true"/>
      <w:overflowPunct w:val="false"/>
      <w:bidi w:val="0"/>
      <w:spacing w:before="0" w:after="0"/>
      <w:jc w:val="left"/>
    </w:pPr>
    <w:rPr>
      <w:rFonts w:ascii="Courier New" w:hAnsi="Courier New" w:eastAsia="Arial" w:cs="Courier New"/>
      <w:color w:val="auto"/>
      <w:kern w:val="0"/>
      <w:sz w:val="20"/>
      <w:szCs w:val="22"/>
      <w:lang w:val="ru-RU" w:eastAsia="en-US" w:bidi="hi-IN"/>
    </w:rPr>
  </w:style>
  <w:style w:type="paragraph" w:styleId="Blockquote">
    <w:name w:val="Blockquote"/>
    <w:qFormat/>
    <w:pPr>
      <w:widowControl/>
      <w:suppressAutoHyphens w:val="true"/>
      <w:overflowPunct w:val="false"/>
      <w:bidi w:val="0"/>
      <w:spacing w:before="100" w:after="100"/>
      <w:ind w:hanging="0" w:left="360" w:right="360"/>
      <w:jc w:val="left"/>
    </w:pPr>
    <w:rPr>
      <w:rFonts w:ascii="Times New Roman" w:hAnsi="Times New Roman" w:eastAsia="Arial" w:cs="Courier New"/>
      <w:color w:val="auto"/>
      <w:kern w:val="0"/>
      <w:sz w:val="22"/>
      <w:szCs w:val="22"/>
      <w:lang w:val="ru-RU" w:eastAsia="en-US" w:bidi="hi-IN"/>
    </w:rPr>
  </w:style>
  <w:style w:type="paragraph" w:styleId="Address">
    <w:name w:val="Address"/>
    <w:qFormat/>
    <w:pPr>
      <w:widowControl/>
      <w:suppressAutoHyphens w:val="true"/>
      <w:overflowPunct w:val="false"/>
      <w:bidi w:val="0"/>
      <w:spacing w:before="100" w:after="100"/>
      <w:jc w:val="left"/>
    </w:pPr>
    <w:rPr>
      <w:rFonts w:ascii="Times New Roman" w:hAnsi="Times New Roman" w:eastAsia="Arial" w:cs="Courier New"/>
      <w:i/>
      <w:color w:val="auto"/>
      <w:kern w:val="0"/>
      <w:sz w:val="22"/>
      <w:szCs w:val="22"/>
      <w:lang w:val="ru-RU" w:eastAsia="en-US" w:bidi="hi-IN"/>
    </w:rPr>
  </w:style>
  <w:style w:type="paragraph" w:styleId="H6">
    <w:name w:val="H6"/>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16"/>
      <w:szCs w:val="22"/>
      <w:lang w:val="ru-RU" w:eastAsia="en-US" w:bidi="hi-IN"/>
    </w:rPr>
  </w:style>
  <w:style w:type="paragraph" w:styleId="H5">
    <w:name w:val="H5"/>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0"/>
      <w:szCs w:val="22"/>
      <w:lang w:val="ru-RU" w:eastAsia="en-US" w:bidi="hi-IN"/>
    </w:rPr>
  </w:style>
  <w:style w:type="paragraph" w:styleId="H4">
    <w:name w:val="H4"/>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2"/>
      <w:szCs w:val="22"/>
      <w:lang w:val="ru-RU" w:eastAsia="en-US" w:bidi="hi-IN"/>
    </w:rPr>
  </w:style>
  <w:style w:type="paragraph" w:styleId="H3">
    <w:name w:val="H3"/>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8"/>
      <w:szCs w:val="22"/>
      <w:lang w:val="ru-RU" w:eastAsia="en-US" w:bidi="hi-IN"/>
    </w:rPr>
  </w:style>
  <w:style w:type="paragraph" w:styleId="H2">
    <w:name w:val="H2"/>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36"/>
      <w:szCs w:val="22"/>
      <w:lang w:val="ru-RU" w:eastAsia="en-US" w:bidi="hi-IN"/>
    </w:rPr>
  </w:style>
  <w:style w:type="paragraph" w:styleId="H1">
    <w:name w:val="H1"/>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48"/>
      <w:szCs w:val="22"/>
      <w:lang w:val="ru-RU" w:eastAsia="en-US" w:bidi="hi-IN"/>
    </w:rPr>
  </w:style>
  <w:style w:type="paragraph" w:styleId="DefinitionList">
    <w:name w:val="Definition List"/>
    <w:qFormat/>
    <w:pPr>
      <w:widowControl/>
      <w:suppressAutoHyphens w:val="true"/>
      <w:overflowPunct w:val="false"/>
      <w:bidi w:val="0"/>
      <w:spacing w:before="100" w:after="100"/>
      <w:ind w:hanging="0" w:left="360" w:right="0"/>
      <w:jc w:val="left"/>
    </w:pPr>
    <w:rPr>
      <w:rFonts w:ascii="Times New Roman" w:hAnsi="Times New Roman" w:eastAsia="Arial" w:cs="Courier New"/>
      <w:color w:val="auto"/>
      <w:kern w:val="0"/>
      <w:sz w:val="22"/>
      <w:szCs w:val="22"/>
      <w:lang w:val="ru-RU" w:eastAsia="en-US" w:bidi="hi-IN"/>
    </w:rPr>
  </w:style>
  <w:style w:type="paragraph" w:styleId="DefinitionTerm">
    <w:name w:val="Definition Term"/>
    <w:qFormat/>
    <w:pPr>
      <w:widowControl/>
      <w:suppressAutoHyphens w:val="true"/>
      <w:overflowPunct w:val="false"/>
      <w:bidi w:val="0"/>
      <w:spacing w:before="100" w:after="100"/>
      <w:jc w:val="left"/>
    </w:pPr>
    <w:rPr>
      <w:rFonts w:ascii="Times New Roman" w:hAnsi="Times New Roman" w:eastAsia="Arial" w:cs="Courier New"/>
      <w:color w:val="auto"/>
      <w:kern w:val="0"/>
      <w:sz w:val="22"/>
      <w:szCs w:val="22"/>
      <w:lang w:val="ru-RU" w:eastAsia="en-US" w:bidi="hi-IN"/>
    </w:rPr>
  </w:style>
  <w:style w:type="paragraph" w:styleId="16">
    <w:name w:val="Обычный1"/>
    <w:qFormat/>
    <w:pPr>
      <w:widowControl/>
      <w:suppressAutoHyphens w:val="true"/>
      <w:overflowPunct w:val="false"/>
      <w:bidi w:val="0"/>
      <w:spacing w:before="100" w:after="100"/>
      <w:jc w:val="left"/>
    </w:pPr>
    <w:rPr>
      <w:rFonts w:ascii="Times New Roman" w:hAnsi="Times New Roman" w:eastAsia="Arial" w:cs="Courier New"/>
      <w:color w:val="auto"/>
      <w:kern w:val="2"/>
      <w:sz w:val="24"/>
      <w:szCs w:val="24"/>
      <w:lang w:val="ru-RU" w:eastAsia="zh-CN" w:bidi="hi-IN"/>
    </w:rPr>
  </w:style>
  <w:style w:type="paragraph" w:styleId="Standard1">
    <w:name w:val="Standard"/>
    <w:qFormat/>
    <w:pPr>
      <w:widowControl w:val="false"/>
      <w:suppressAutoHyphens w:val="true"/>
      <w:overflowPunct w:val="false"/>
      <w:bidi w:val="0"/>
      <w:spacing w:before="0" w:after="0"/>
      <w:jc w:val="left"/>
      <w:textAlignment w:val="baseline"/>
    </w:pPr>
    <w:rPr>
      <w:rFonts w:ascii="Arial" w:hAnsi="Arial" w:eastAsia="Calibri" w:cs="Arial"/>
      <w:color w:val="auto"/>
      <w:kern w:val="2"/>
      <w:sz w:val="21"/>
      <w:szCs w:val="21"/>
      <w:lang w:val="ru-RU" w:eastAsia="zh-CN" w:bidi="ar-SA"/>
    </w:rPr>
  </w:style>
  <w:style w:type="paragraph" w:styleId="112">
    <w:name w:val="Без интервала Знак11"/>
    <w:qFormat/>
    <w:pPr>
      <w:widowControl/>
      <w:suppressAutoHyphens w:val="true"/>
      <w:overflowPunct w:val="false"/>
      <w:bidi w:val="0"/>
      <w:spacing w:before="0" w:after="0"/>
      <w:jc w:val="left"/>
    </w:pPr>
    <w:rPr>
      <w:rFonts w:ascii="Calibri" w:hAnsi="Calibri" w:eastAsia="Calibri" w:cs="Arial"/>
      <w:color w:val="auto"/>
      <w:kern w:val="2"/>
      <w:sz w:val="24"/>
      <w:szCs w:val="24"/>
      <w:lang w:val="ru-RU" w:eastAsia="zh-CN" w:bidi="ar-SA"/>
    </w:rPr>
  </w:style>
  <w:style w:type="paragraph" w:styleId="Default">
    <w:name w:val="Default"/>
    <w:qFormat/>
    <w:pPr>
      <w:widowControl/>
      <w:suppressAutoHyphens w:val="true"/>
      <w:overflowPunct w:val="false"/>
      <w:bidi w:val="0"/>
      <w:spacing w:before="0" w:after="0"/>
      <w:jc w:val="left"/>
    </w:pPr>
    <w:rPr>
      <w:rFonts w:ascii="Times New Roman" w:hAnsi="Times New Roman" w:eastAsia="Times New Roman" w:cs="Times New Roman"/>
      <w:color w:val="000000"/>
      <w:kern w:val="2"/>
      <w:sz w:val="24"/>
      <w:szCs w:val="24"/>
      <w:lang w:val="ru-RU" w:eastAsia="zh-CN" w:bidi="ar-SA"/>
    </w:rPr>
  </w:style>
  <w:style w:type="paragraph" w:styleId="Style42">
    <w:name w:val="Верхний и нижний колонтитулы"/>
    <w:basedOn w:val="Normal"/>
    <w:qFormat/>
    <w:pPr>
      <w:tabs>
        <w:tab w:val="clear" w:pos="708"/>
        <w:tab w:val="center" w:pos="4819" w:leader="none"/>
        <w:tab w:val="right" w:pos="9638" w:leader="none"/>
      </w:tabs>
    </w:pPr>
    <w:rPr/>
  </w:style>
  <w:style w:type="paragraph" w:styleId="34">
    <w:name w:val="Стиль3 Знак Знак"/>
    <w:basedOn w:val="Normal"/>
    <w:qFormat/>
    <w:pPr>
      <w:tabs>
        <w:tab w:val="clear" w:pos="708"/>
        <w:tab w:val="left" w:pos="2160" w:leader="none"/>
      </w:tabs>
      <w:ind w:hanging="360" w:left="2160" w:right="0"/>
      <w:jc w:val="both"/>
    </w:pPr>
    <w:rPr>
      <w:szCs w:val="20"/>
    </w:rPr>
  </w:style>
  <w:style w:type="paragraph" w:styleId="17">
    <w:name w:val="Указатель1"/>
    <w:basedOn w:val="Normal"/>
    <w:qFormat/>
    <w:pPr/>
    <w:rPr>
      <w:rFonts w:cs="Tahoma"/>
    </w:rPr>
  </w:style>
  <w:style w:type="paragraph" w:styleId="18">
    <w:name w:val="Название объекта1"/>
    <w:basedOn w:val="Normal"/>
    <w:qFormat/>
    <w:pPr>
      <w:spacing w:before="120" w:after="120"/>
    </w:pPr>
    <w:rPr>
      <w:rFonts w:cs="Tahoma"/>
      <w:i/>
      <w:iCs/>
    </w:rPr>
  </w:style>
  <w:style w:type="paragraph" w:styleId="24">
    <w:name w:val="Указатель2"/>
    <w:basedOn w:val="Normal"/>
    <w:qFormat/>
    <w:pPr/>
    <w:rPr>
      <w:rFonts w:cs="Arial"/>
    </w:rPr>
  </w:style>
  <w:style w:type="paragraph" w:styleId="25">
    <w:name w:val="Название объекта2"/>
    <w:basedOn w:val="Normal"/>
    <w:qFormat/>
    <w:pPr>
      <w:spacing w:before="120" w:after="120"/>
    </w:pPr>
    <w:rPr>
      <w:rFonts w:cs="Arial"/>
      <w:i/>
      <w:iCs/>
    </w:rPr>
  </w:style>
  <w:style w:type="paragraph" w:styleId="35">
    <w:name w:val="Указатель3"/>
    <w:basedOn w:val="Normal"/>
    <w:qFormat/>
    <w:pPr/>
    <w:rPr>
      <w:rFonts w:cs="Arial"/>
    </w:rPr>
  </w:style>
  <w:style w:type="paragraph" w:styleId="parametervalue">
    <w:name w:val="parametervalue"/>
    <w:basedOn w:val="Normal"/>
    <w:qFormat/>
    <w:pPr>
      <w:spacing w:before="280" w:after="280"/>
    </w:pPr>
    <w:rPr/>
  </w:style>
  <w:style w:type="paragraph" w:styleId="parameter">
    <w:name w:val="parameter"/>
    <w:basedOn w:val="Normal"/>
    <w:qFormat/>
    <w:pPr>
      <w:spacing w:before="280" w:after="280"/>
    </w:pPr>
    <w:rPr/>
  </w:style>
  <w:style w:type="paragraph" w:styleId="NormalIndent">
    <w:name w:val="Normal Indent"/>
    <w:basedOn w:val="Normal"/>
    <w:qFormat/>
    <w:pPr>
      <w:suppressAutoHyphens w:val="false"/>
      <w:ind w:hanging="0" w:left="708" w:right="0"/>
    </w:pPr>
    <w:rPr>
      <w:rFonts w:eastAsia="Calibri"/>
    </w:rPr>
  </w:style>
  <w:style w:type="paragraph" w:styleId="19">
    <w:name w:val="Обычный (веб)1"/>
    <w:basedOn w:val="Normal"/>
    <w:qFormat/>
    <w:pPr>
      <w:widowControl w:val="false"/>
      <w:spacing w:before="100" w:after="100"/>
    </w:pPr>
    <w:rPr>
      <w:rFonts w:ascii="Arial Unicode MS" w:hAnsi="Arial Unicode MS" w:eastAsia="Arial Unicode MS" w:cs="Arial Unicode MS"/>
      <w:lang w:eastAsia="zh-CN"/>
    </w:rPr>
  </w:style>
  <w:style w:type="paragraph" w:styleId="110">
    <w:name w:val="Текст сноски1"/>
    <w:basedOn w:val="Normal"/>
    <w:qFormat/>
    <w:pPr/>
    <w:rPr>
      <w:sz w:val="20"/>
      <w:szCs w:val="20"/>
    </w:rPr>
  </w:style>
  <w:style w:type="paragraph" w:styleId="113">
    <w:name w:val="Нижний колонтитул1"/>
    <w:basedOn w:val="Normal"/>
    <w:qFormat/>
    <w:pPr>
      <w:tabs>
        <w:tab w:val="clear" w:pos="708"/>
        <w:tab w:val="center" w:pos="4677" w:leader="none"/>
        <w:tab w:val="right" w:pos="9355" w:leader="none"/>
      </w:tabs>
    </w:pPr>
    <w:rPr/>
  </w:style>
  <w:style w:type="paragraph" w:styleId="114">
    <w:name w:val="Верхний колонтитул1"/>
    <w:basedOn w:val="Normal"/>
    <w:qFormat/>
    <w:pPr>
      <w:tabs>
        <w:tab w:val="clear" w:pos="708"/>
        <w:tab w:val="center" w:pos="4677" w:leader="none"/>
        <w:tab w:val="right" w:pos="9355" w:leader="none"/>
      </w:tabs>
    </w:pPr>
    <w:rPr/>
  </w:style>
  <w:style w:type="paragraph" w:styleId="Style43">
    <w:name w:val="Содержимое таблицы"/>
    <w:basedOn w:val="Normal"/>
    <w:qFormat/>
    <w:pPr>
      <w:widowControl w:val="false"/>
      <w:suppressLineNumbers/>
    </w:pPr>
    <w:rPr/>
  </w:style>
  <w:style w:type="paragraph" w:styleId="BodyTextIndent">
    <w:name w:val="Body Text Indent"/>
    <w:basedOn w:val="Normal"/>
    <w:pPr>
      <w:spacing w:before="0" w:after="120"/>
      <w:ind w:hanging="0" w:left="283" w:right="0"/>
    </w:pPr>
    <w:rPr/>
  </w:style>
  <w:style w:type="paragraph" w:styleId="user5">
    <w:name w:val="Содержимое таблицы (user)"/>
    <w:basedOn w:val="Normal"/>
    <w:qFormat/>
    <w:pPr>
      <w:widowControl w:val="false"/>
      <w:suppressLineNumbers/>
    </w:pPr>
    <w:rPr/>
  </w:style>
  <w:style w:type="paragraph" w:styleId="user6">
    <w:name w:val="Заголовок таблицы (user)"/>
    <w:basedOn w:val="user5"/>
    <w:qFormat/>
    <w:pPr>
      <w:suppressLineNumbers/>
      <w:jc w:val="center"/>
    </w:pPr>
    <w:rPr>
      <w:b/>
      <w:bCs/>
    </w:rPr>
  </w:style>
  <w:style w:type="paragraph" w:styleId="Style44">
    <w:name w:val="Заголовок таблицы"/>
    <w:basedOn w:val="Style43"/>
    <w:qFormat/>
    <w:pPr>
      <w:suppressLineNumbers/>
      <w:jc w:val="center"/>
    </w:pPr>
    <w:rPr>
      <w:b/>
      <w:bCs/>
    </w:rPr>
  </w:style>
  <w:style w:type="paragraph" w:styleId="311">
    <w:name w:val="Основной текст 31"/>
    <w:basedOn w:val="Normal"/>
    <w:qFormat/>
    <w:pPr>
      <w:widowControl w:val="false"/>
      <w:spacing w:lineRule="exact" w:line="240" w:before="0" w:after="120"/>
    </w:pPr>
    <w:rPr>
      <w:rFonts w:ascii="Arial" w:hAnsi="Arial" w:eastAsia="Lucida Sans Unicode" w:cs="Times New Roman"/>
      <w:sz w:val="16"/>
      <w:szCs w:val="16"/>
    </w:rPr>
  </w:style>
  <w:style w:type="paragraph" w:styleId="115">
    <w:name w:val="заголовок 1"/>
    <w:basedOn w:val="Normal"/>
    <w:next w:val="Normal"/>
    <w:qFormat/>
    <w:pPr>
      <w:keepNext w:val="true"/>
      <w:widowControl w:val="false"/>
      <w:spacing w:lineRule="atLeast" w:line="100"/>
    </w:pPr>
    <w:rPr>
      <w:rFonts w:ascii="Times New Roman" w:hAnsi="Times New Roman" w:eastAsia="SimSun" w:cs="Mangal"/>
    </w:rPr>
  </w:style>
  <w:style w:type="paragraph" w:styleId="26">
    <w:name w:val="заголовок 2"/>
    <w:basedOn w:val="Normal"/>
    <w:next w:val="Normal"/>
    <w:qFormat/>
    <w:pPr>
      <w:keepNext w:val="true"/>
      <w:widowControl w:val="false"/>
      <w:spacing w:lineRule="atLeast" w:line="100"/>
    </w:pPr>
    <w:rPr>
      <w:rFonts w:ascii="Times New Roman" w:hAnsi="Times New Roman" w:eastAsia="SimSun" w:cs="Mangal"/>
      <w:b/>
      <w:bCs/>
    </w:rPr>
  </w:style>
  <w:style w:type="paragraph" w:styleId="CommentText">
    <w:name w:val="annotation text"/>
    <w:basedOn w:val="Normal"/>
    <w:pPr>
      <w:spacing w:lineRule="exact" w:line="240"/>
    </w:pPr>
    <w:rPr>
      <w:sz w:val="20"/>
      <w:szCs w:val="20"/>
    </w:rPr>
  </w:style>
  <w:style w:type="paragraph" w:styleId="annotationsubject">
    <w:name w:val="annotation subject"/>
    <w:qFormat/>
    <w:pPr>
      <w:widowControl/>
      <w:suppressAutoHyphens w:val="true"/>
      <w:bidi w:val="0"/>
      <w:spacing w:lineRule="exact" w:line="240" w:before="0" w:after="0"/>
      <w:jc w:val="left"/>
    </w:pPr>
    <w:rPr>
      <w:rFonts w:ascii="Calibri" w:hAnsi="Calibri" w:eastAsia="Calibri" w:cs="0"/>
      <w:b/>
      <w:bCs/>
      <w:color w:val="auto"/>
      <w:kern w:val="0"/>
      <w:sz w:val="20"/>
      <w:szCs w:val="20"/>
      <w:lang w:val="ru-RU" w:eastAsia="en-US" w:bidi="ar-SA"/>
    </w:rPr>
  </w:style>
  <w:style w:type="paragraph" w:styleId="PlainText">
    <w:name w:val="Plain Text"/>
    <w:basedOn w:val="Normal"/>
    <w:qFormat/>
    <w:pPr>
      <w:spacing w:lineRule="exact" w:line="240"/>
      <w:jc w:val="both"/>
    </w:pPr>
    <w:rPr>
      <w:rFonts w:ascii="Courier New" w:hAnsi="Courier New" w:eastAsia="Times New Roman" w:cs="Times New Roman"/>
      <w:sz w:val="20"/>
      <w:szCs w:val="20"/>
    </w:rPr>
  </w:style>
  <w:style w:type="paragraph" w:styleId="27">
    <w:name w:val="Без интервала Знак2"/>
    <w:qFormat/>
    <w:pPr>
      <w:widowControl/>
      <w:suppressAutoHyphens w:val="true"/>
      <w:bidi w:val="0"/>
      <w:spacing w:before="0" w:after="0"/>
      <w:jc w:val="left"/>
    </w:pPr>
    <w:rPr>
      <w:rFonts w:ascii="Calibri" w:hAnsi="Calibri" w:eastAsia="Calibri" w:cs="Arial"/>
      <w:color w:val="auto"/>
      <w:kern w:val="2"/>
      <w:sz w:val="24"/>
      <w:szCs w:val="24"/>
      <w:lang w:val="ru-RU" w:eastAsia="zh-CN" w:bidi="ar-SA"/>
    </w:rPr>
  </w:style>
  <w:style w:type="paragraph" w:styleId="form-value">
    <w:name w:val="form-value"/>
    <w:basedOn w:val="Normal"/>
    <w:qFormat/>
    <w:pPr>
      <w:suppressAutoHyphens w:val="false"/>
      <w:spacing w:before="280" w:after="280"/>
    </w:pPr>
    <w:rPr/>
  </w:style>
  <w:style w:type="paragraph" w:styleId="Style45">
    <w:name w:val="Без интервала"/>
    <w:qFormat/>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zh-CN" w:bidi="ar-SA"/>
    </w:rPr>
  </w:style>
  <w:style w:type="numbering" w:styleId="user7">
    <w:name w:val="Без списка (user)"/>
    <w:qFormat/>
  </w:style>
  <w:style w:type="numbering" w:styleId="Style46">
    <w:name w:val="Без списка"/>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20681C131B6558BBE5154AFA745AAC2AA4FD858B5BCBFA41A7617E7386CA584B0111F8E27F17D86D9EF955459D0C645FF704B37EFF4F9C2qA66D" TargetMode="External"/><Relationship Id="rId3" Type="http://schemas.openxmlformats.org/officeDocument/2006/relationships/hyperlink" Target="consultantplus://offline/ref=320681C131B6558BBE5154AFA745AAC2AA4FD858B5BCBFA41A7617E7386CA584B0111F8E27F07A86D0EF955459D0C645FF704B37EFF4F9C2qA66D" TargetMode="External"/><Relationship Id="rId4" Type="http://schemas.openxmlformats.org/officeDocument/2006/relationships/hyperlink" Target="consultantplus://offline/ref=320681C131B6558BBE5154AFA745AAC2AB49D152B5BFE2AE122F1BE53F63FA93B758138F26F77A82D2B090414888CA42E76E4D2FF3F6FBqC60D" TargetMode="External"/><Relationship Id="rId5" Type="http://schemas.openxmlformats.org/officeDocument/2006/relationships/hyperlink" Target="consultantplus://offline/ref=320681C131B6558BBE5154AFA745AAC2AB49D152B5BFE2AE122F1BE53F63FA93B758138F26F77A82D2B090414888CA42E76E4D2FF3F6FBqC60D" TargetMode="External"/><Relationship Id="rId6" Type="http://schemas.openxmlformats.org/officeDocument/2006/relationships/hyperlink" Target="consultantplus://offline/ref=320681C131B6558BBE5154AFA745AAC2AB49D152B5BFE2AE122F1BE53F63FA93B758138F26F77A82D2B090414888CA42E76E4D2FF3F6FBqC60D" TargetMode="External"/><Relationship Id="rId7" Type="http://schemas.openxmlformats.org/officeDocument/2006/relationships/hyperlink" Target="consultantplus://offline/ref=320681C131B6558BBE5154AFA745AAC2AA4FD858B5BCBFA41A7617E7386CA584A211478226F76786DFFAC3051Fq865D" TargetMode="External"/><Relationship Id="rId8" Type="http://schemas.openxmlformats.org/officeDocument/2006/relationships/hyperlink" Target="consultantplus://offline/ref=320681C131B6558BBE5154AFA745AAC2AA4FD858B5BCBFA41A7617E7386CA584A211478226F76786DFFAC3051Fq865D" TargetMode="External"/><Relationship Id="rId9" Type="http://schemas.openxmlformats.org/officeDocument/2006/relationships/hyperlink" Target="consultantplus://offline/ref=D974C2E9BA0DAF542597721E8B9EE89509612BA05687C18EC13F2CB657CAEEAE17419EB3FD8FCFA2EB3F2D741CF7DDA5BCF482ED427041B9rAJ" TargetMode="External"/><Relationship Id="rId10" Type="http://schemas.openxmlformats.org/officeDocument/2006/relationships/hyperlink" Target="consultantplus://offline/ref=320681C131B6558BBE5154AFA745AAC2AB49D152B5BFE2AE122F1BE53F63FA93B758138F26F77A82D2B090414888CA42E76E4D2FF3F6FBqC60D" TargetMode="External"/><Relationship Id="rId11" Type="http://schemas.openxmlformats.org/officeDocument/2006/relationships/hyperlink" Target="consultantplus://offline/ref=320681C131B6558BBE5154AFA745AAC2AA4FD858B5BCBFA41A7617E7386CA584A211478226F76786DFFAC3051Fq865D" TargetMode="External"/><Relationship Id="rId12" Type="http://schemas.openxmlformats.org/officeDocument/2006/relationships/hyperlink" Target="consultantplus://offline/ref=320681C131B6558BBE5154AFA745AAC2AA4FD858B5BCBFA41A7617E7386CA584A211478226F76786DFFAC3051Fq865D" TargetMode="External"/><Relationship Id="rId13" Type="http://schemas.openxmlformats.org/officeDocument/2006/relationships/hyperlink" Target="consultantplus://offline/ref=320681C131B6558BBE5154AFA745AAC2AA4BD95BB3B5BFA41A7617E7386CA584B0111F8E27F17982DCEF955459D0C645FF704B37EFF4F9C2qA66D" TargetMode="External"/><Relationship Id="rId14" Type="http://schemas.openxmlformats.org/officeDocument/2006/relationships/hyperlink" Target="consultantplus://offline/ref=320681C131B6558BBE5154AFA745AAC2AA4FD858B5BCBFA41A7617E7386CA584A211478226F76786DFFAC3051Fq865D" TargetMode="External"/><Relationship Id="rId15" Type="http://schemas.openxmlformats.org/officeDocument/2006/relationships/hyperlink" Target="consultantplus://offline/ref=320681C131B6558BBE5154AFA745AAC2AA4FD858B5BCBFA41A7617E7386CA584B0111F8E27F07A86D0EF955459D0C645FF704B37EFF4F9C2qA66D" TargetMode="External"/><Relationship Id="rId16" Type="http://schemas.openxmlformats.org/officeDocument/2006/relationships/hyperlink" Target="mailto:novnik_shk@mail.ru" TargetMode="External"/><Relationship Id="rId17" Type="http://schemas.openxmlformats.org/officeDocument/2006/relationships/hyperlink" Target="mailto:novnik_shk@mail.ru" TargetMode="External"/><Relationship Id="rId18" Type="http://schemas.openxmlformats.org/officeDocument/2006/relationships/footnotes" Target="footnotes.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182</TotalTime>
  <Application>LibreOffice/26.2.4.2$Windows_X86_64 LibreOffice_project/0229ac93fcf0d7cbc6376066c6f35021cef002dc</Application>
  <AppVersion>15.0000</AppVersion>
  <Pages>13</Pages>
  <Words>4903</Words>
  <Characters>34472</Characters>
  <CharactersWithSpaces>39407</CharactersWithSpaces>
  <Paragraphs>336</Paragraphs>
  <Company>RePack by SPecialiST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ЗамНач</dc:creator>
  <dc:description/>
  <dc:language>ru-RU</dc:language>
  <cp:lastModifiedBy/>
  <cp:lastPrinted>2026-07-20T13:14:12Z</cp:lastPrinted>
  <dcterms:modified xsi:type="dcterms:W3CDTF">2026-08-19T15:00:43Z</dcterms:modified>
  <cp:revision>48</cp:revision>
  <dc:subject/>
  <dc:title/>
</cp:coreProperties>
</file>

<file path=docProps/custom.xml><?xml version="1.0" encoding="utf-8"?>
<Properties xmlns="http://schemas.openxmlformats.org/officeDocument/2006/custom-properties" xmlns:vt="http://schemas.openxmlformats.org/officeDocument/2006/docPropsVTypes"/>
</file>