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83" w:rsidRDefault="004D2783"/>
    <w:p w:rsidR="004D2783" w:rsidRDefault="004D2783"/>
    <w:p w:rsidR="004D2783" w:rsidRDefault="004D2783"/>
    <w:p w:rsidR="00696439" w:rsidRDefault="00696439" w:rsidP="00696439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832BE">
        <w:rPr>
          <w:rFonts w:ascii="Times New Roman" w:hAnsi="Times New Roman" w:cs="Times New Roman"/>
          <w:sz w:val="28"/>
          <w:szCs w:val="28"/>
        </w:rPr>
        <w:t>писание объекта закупки</w:t>
      </w:r>
    </w:p>
    <w:p w:rsidR="00696439" w:rsidRDefault="00696439">
      <w:pPr>
        <w:rPr>
          <w:sz w:val="24"/>
          <w:szCs w:val="24"/>
        </w:rPr>
      </w:pPr>
    </w:p>
    <w:p w:rsidR="00696439" w:rsidRDefault="00696439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100" w:type="dxa"/>
        <w:tblInd w:w="-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70"/>
        <w:gridCol w:w="993"/>
        <w:gridCol w:w="992"/>
        <w:gridCol w:w="5103"/>
        <w:gridCol w:w="1276"/>
        <w:gridCol w:w="1199"/>
      </w:tblGrid>
      <w:tr w:rsidR="00696439" w:rsidRPr="00696439" w:rsidTr="00391943">
        <w:trPr>
          <w:trHeight w:val="340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 xml:space="preserve">№ </w:t>
            </w:r>
            <w:proofErr w:type="gramStart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п</w:t>
            </w:r>
            <w:proofErr w:type="gramEnd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/п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 xml:space="preserve">Международное непатентованное (химическое, </w:t>
            </w:r>
            <w:proofErr w:type="spellStart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группировочное</w:t>
            </w:r>
            <w:proofErr w:type="spellEnd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) наименование (МНН) или торговое наименование лекарственного препарата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proofErr w:type="gramStart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Включен в перечень ЖНВЛП</w:t>
            </w:r>
            <w:proofErr w:type="gramEnd"/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Закупка осуществляется по торговому наименованию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 xml:space="preserve">Сведения о МНН, лекарственных формах, дозировках и единицах измерения, а также упаковках лекарственного </w:t>
            </w:r>
            <w:bookmarkStart w:id="0" w:name="_GoBack"/>
            <w:bookmarkEnd w:id="0"/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препарата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b/>
                <w:color w:val="000000"/>
                <w:spacing w:val="-2"/>
                <w:sz w:val="20"/>
              </w:rPr>
              <w:t>Количество</w:t>
            </w:r>
          </w:p>
        </w:tc>
        <w:tc>
          <w:tcPr>
            <w:tcW w:w="1199" w:type="dxa"/>
            <w:vMerge w:val="restart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ЛИДОКАИН+ФЕНАЗОН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ЛИДОКАИН+ФЕНАЗОН, КАПЛИ УШНЫЕ, 10 мг+40 мг/г, единица измерения товара: Кубический сантиметр; миллилитр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highlight w:val="yellow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Основной вариант поставки: ЛИДОКАИН+ФЕНАЗОН, КАПЛИ УШНЫЕ, 10 мг+40 мг/г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  <w:highlight w:val="yellow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225,00</w:t>
            </w:r>
          </w:p>
        </w:tc>
        <w:tc>
          <w:tcPr>
            <w:tcW w:w="1199" w:type="dxa"/>
            <w:vMerge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КАМФОРА+ХЛОРОБУТАНОЛ+ЭВКАЛИПТА ЛИСТЬЕВ МАСЛО+ЛЕВОМЕНТОЛ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АЭРОЗОЛЬ ДЛЯ МЕСТНОГО ПРИМЕНЕНИЯ;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единица измерения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Основной вариант поставки: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Камфора+Хлоробутанол+Эвкалипта</w:t>
            </w:r>
            <w:proofErr w:type="spell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proofErr w:type="spellStart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прутовидного</w:t>
            </w:r>
            <w:proofErr w:type="spell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листьев масло+[</w:t>
            </w:r>
            <w:proofErr w:type="spellStart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Левоментол</w:t>
            </w:r>
            <w:proofErr w:type="spell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],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АЭРОЗОЛЬ ДЛЯ МЕСТНОГО ПРИМЕНЕНИЯ, 45 грамм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Альтернативный вариант поставки: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КАМФОРА+ХЛОРОБУТАНОЛ+ЭВКАЛИПТА ЛИСТЬЕВ МАСЛО+ЛЕВОМЕНТОЛ, 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СПРЕЙ ДЛЯ МЕСТНОГО ПРИМЕНЕНИЯ, 45 грамм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1350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3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МЯТЫ ПЕРЕЧНОЙ ЛИСТЬЕВ МАСЛО+СУЛЬФАНИЛАМИД+СУЛЬФАТИАЗОЛ+ТИМОЛ+ЭВКАЛИПТА ЛИСТЬЕВ МАСЛО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МЯТЫ ПЕРЕЧНОЙ ЛИСТЬЕВ МАСЛО+СУЛЬФАНИЛАМИД+СУЛЬФАТИАЗОЛ+ТИМОЛ+ЭВКАЛИПТА ЛИСТЬЕВ МАСЛО, АЭРОЗОЛЬ ДЛЯ МЕСТНОГО ПРИМЕНЕНИЯ, единица измерения товара: Кубический сантиметр; миллилитр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Основной вариант поставки: МЯТЫ ПЕРЕЧНОЙ ЛИСТЬЕВ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МАСЛО+СУЛЬФАНИЛАМИД+СУЛЬФАТИАЗОЛ+ТИМОЛ+ЭВКАЛИПТА ЛИСТЬЕВ МАСЛО, АЭРОЗОЛЬ ДЛЯ МЕСТНОГО ПРИМЕНЕНИЯ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Альтернативный вариант поставки: МЯТЫ ПЕРЕЧНОЙ ЛИСТЬЕВ МАСЛО+СУЛЬФАНИЛАМИД+СУЛЬФАТИАЗОЛ+ТИМОЛ+ЭВКАЛИПТА ЛИСТЬЕВ МАСЛО, Спрей для местного применения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250,00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4</w:t>
            </w:r>
          </w:p>
        </w:tc>
        <w:tc>
          <w:tcPr>
            <w:tcW w:w="39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НИМЕСУЛИД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НИМЕСУЛИД,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ГЕЛЬ ДЛЯ НАРУЖНОГО ПРИМЕНЕНИЯ, 1%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Основной вариант поставки: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НИМЕСУЛИД,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ГЕЛЬ ДЛЯ НАРУЖНОГО ПРИМЕНЕНИЯ, 1%, 30 гр.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140,00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9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Альтернативный вариант поставки: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НИМЕСУЛИД,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ГЕЛЬ ДЛЯ НАРУЖНОГО ПРИМЕНЕНИЯ, 1%, 15 гр.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140,00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5</w:t>
            </w:r>
          </w:p>
        </w:tc>
        <w:tc>
          <w:tcPr>
            <w:tcW w:w="39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СУЛЬФАЦЕТАМИД</w:t>
            </w:r>
          </w:p>
        </w:tc>
        <w:tc>
          <w:tcPr>
            <w:tcW w:w="9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СУЛЬФАЦЕТАМИД, КАПЛИ ГЛАЗНЫЕ, 200 мг/мл,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измерения товара: Кубический сантиметр; миллилитр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СУЛЬФАЦЕТАМИД, КАПЛИ ГЛАЗНЫЕ, 100 мг/мл (мл)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150,00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39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Альтернативные варианты поставки: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СУЛЬФАЦЕТАМИД, КАПЛИ ГЛАЗНЫЕ, 200 мг/мл (мл)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150,00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6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Календулы лекарственной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цветков+Ромашки</w:t>
            </w:r>
            <w:proofErr w:type="spell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аптечной </w:t>
            </w:r>
            <w:proofErr w:type="spellStart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цветков+Тысячелистника</w:t>
            </w:r>
            <w:proofErr w:type="spell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обыкновенного травы</w:t>
            </w:r>
            <w:proofErr w:type="gramEnd"/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экстракт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Наименование товара: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Календулы лекарственной </w:t>
            </w:r>
            <w:proofErr w:type="spell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цветков+Ромашки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аптечной </w:t>
            </w:r>
            <w:proofErr w:type="spell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цветков+Тысячелистника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обыкновенного травы экстракт, ЭКСТРАКТ ДЛЯ ПРИЕМА ВНУТРЬ И МЕСТНОГО ПРИМЕНЕНИЯ,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e</w:t>
            </w:r>
            <w:proofErr w:type="gram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диница</w:t>
            </w:r>
            <w:proofErr w:type="spell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измерения товара: Кубический сантиметр; миллилитр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Основной вариант поставки: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Календулы лекарственной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цветков+Ромашки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аптечной </w:t>
            </w:r>
            <w:proofErr w:type="spell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цветков+Тысячелистника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обыкновенного травы</w:t>
            </w:r>
            <w:proofErr w:type="gram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экстракт, ЭКСТРАКТ ДЛЯ ПРИЕМА ВНУТРЬ И МЕСТНОГО ПРИМЕНЕНИЯ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Альтернативный вариант поставки: Календулы лекарственной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цветков+Ромашки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аптечной </w:t>
            </w:r>
            <w:proofErr w:type="spell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цветков+Тысячелистника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обыкновенного травы</w:t>
            </w:r>
            <w:proofErr w:type="gram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экстракт,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ЭКСТРАКТ ЖИДКИЙ ДЛЯ ПРИЕМА ВНУТРЬ И МЕСТНОГО ПРИМЕНЕНИЯ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Альтернативный вариант поставки: Календулы лекарственной </w:t>
            </w:r>
            <w:proofErr w:type="spellStart"/>
            <w:proofErr w:type="gram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цветков+Ромашки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аптечной </w:t>
            </w:r>
            <w:proofErr w:type="spellStart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цветков+Тысячелистника</w:t>
            </w:r>
            <w:proofErr w:type="spell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обыкновенного травы</w:t>
            </w:r>
            <w:proofErr w:type="gramEnd"/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экстракт,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ЭКСТРАКТ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2500,00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7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АЛГЕЛДРАТ+МАГНИЯ ГИДРОКСИД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АЛГЕЛДРАТ+МАГНИЯ ГИДРОКСИД</w:t>
            </w:r>
            <w:proofErr w:type="gramStart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,</w:t>
            </w:r>
            <w:proofErr w:type="gram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СУСПЕНЗИЯ ДЛЯ ПРИЕМА ВНУТРЬ 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АЛГЕЛДРАТ+МАГНИЯ ГИДРОКСИД</w:t>
            </w:r>
            <w:proofErr w:type="gramStart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,</w:t>
            </w:r>
            <w:proofErr w:type="gram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СУСПЕНЗИЯ ДЛЯ ПРИЕМА ВНУТРЬ 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мл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1800,00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8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БРИЛЛИАНТОВЫЙ ЗЕЛЕНЫЙ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БРИЛЛИАНТОВЫЙ ЗЕЛЕНЫЙ, РАСТВОР ДЛЯ НАРУЖНОГО ПРИМЕНЕНИЯ, 1%, 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Основной вариант поставки: 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БРИЛЛИАНТОВЫЙ ЗЕЛЕНЫЙ, РАСТВОР ДЛЯ НАРУЖНОГО ПРИМЕНЕНИЯ, 1%,  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250,00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9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ВАЗЕЛИН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ВАЗЕЛИН,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МАЗЬ ДЛЯ НАРУЖНОГО ПРИМЕНЕНИЯ (~),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</w:t>
            </w:r>
            <w:proofErr w:type="gramEnd"/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(г лекарственной формы)  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Основной вариант поставки: ВАЗЕЛИН,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МАЗЬ ДЛЯ НАРУЖНОГО ПРИМЕНЕНИЯ (~),30 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г (г лекарственной формы)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300,00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10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ДЕКСАМЕТАЗОН+НЕОМИЦИН+ПОЛИМИКСИН B+ФЕНИЛЭФРИН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ДЕКСАМЕТАЗОН+НЕОМИЦИН+ПОЛИМИКСИН B+ФЕНИЛЭФРИН,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СПРЕЙ НАЗАЛЬНЫЙ,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Основной вариант поставки: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ДЕКСАМЕТАЗОН+НЕОМИЦИН+ПОЛИМИКСИН B+ФЕНИЛЭФРИН,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СПРЕЙ НАЗАЛЬНЫЙ,15 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</w:rPr>
            </w:pPr>
          </w:p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</w:rPr>
            </w:pPr>
          </w:p>
          <w:p w:rsidR="00696439" w:rsidRPr="00696439" w:rsidRDefault="00696439" w:rsidP="0039194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6439">
              <w:rPr>
                <w:rFonts w:ascii="Times New Roman" w:hAnsi="Times New Roman" w:cs="Times New Roman"/>
                <w:sz w:val="20"/>
              </w:rPr>
              <w:t>75,00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11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АКТИВИРОВАННЫЙ УГОЛЬ+ЖЕЛЧЬ+КРАПИВЫ ДВУДОМНОЙ ЛИСТЬЯ+ЧЕСНОКА ПОСЕВНОГО ЛУКОВИЦЫ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АКТИВИРОВАННЫЙ УГОЛЬ+ЖЕЛЧЬ+КРАПИВЫ ДВУДОМНОЙ ЛИСТЬЯ+ЧЕСНОКА ПОСЕВНОГО ЛУКОВИЦЫ,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ТАБЛЕТКИ ПОКРЫТЫЕ ОБОЛОЧКОЙ,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шт. (таблетка)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Основной вариант поставки: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АКТИВИРОВАННЫЙ УГОЛЬ+ЖЕЛЧЬ+КРАПИВЫ ДВУДОМНОЙ ЛИСТЬЯ+ЧЕСНОКА ПОСЕВНОГО ЛУКОВИЦЫ,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ТАБЛЕТКИ ПОКРЫТЫЕ ОБОЛОЧКОЙ, </w:t>
            </w:r>
            <w:r w:rsidRPr="00696439">
              <w:rPr>
                <w:rFonts w:ascii="Times New Roman" w:hAnsi="Times New Roman" w:cs="Times New Roman"/>
              </w:rPr>
              <w:t xml:space="preserve">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шт. (таблетка)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500,00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96439" w:rsidRPr="00696439" w:rsidTr="00391943">
        <w:trPr>
          <w:trHeight w:val="1548"/>
        </w:trPr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lastRenderedPageBreak/>
              <w:t>12</w:t>
            </w:r>
          </w:p>
        </w:tc>
        <w:tc>
          <w:tcPr>
            <w:tcW w:w="3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ПАПАВЕРИН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Нет</w:t>
            </w:r>
          </w:p>
        </w:tc>
        <w:tc>
          <w:tcPr>
            <w:tcW w:w="5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ПАПАВЕРИН, РАСТВОР ДЛЯ ИНЪЕКЦИЙ (20 мг/мл), 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Основной вариант поставки: </w:t>
            </w:r>
            <w:r w:rsidRPr="00696439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 xml:space="preserve"> ПАПАВЕРИН, РАСТВОР ДЛЯ ИНЪЕКЦИЙ (20 мг/мл), 2 мл</w:t>
            </w:r>
          </w:p>
          <w:p w:rsidR="00696439" w:rsidRPr="00696439" w:rsidRDefault="00696439" w:rsidP="00391943">
            <w:pPr>
              <w:spacing w:line="229" w:lineRule="auto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left w:w="29" w:type="dxa"/>
              <w:right w:w="29" w:type="dxa"/>
            </w:tcMar>
          </w:tcPr>
          <w:p w:rsidR="00696439" w:rsidRPr="00696439" w:rsidRDefault="00696439" w:rsidP="00391943">
            <w:pPr>
              <w:spacing w:line="229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0"/>
              </w:rPr>
            </w:pPr>
            <w:r w:rsidRPr="00696439">
              <w:rPr>
                <w:rFonts w:ascii="Times New Roman" w:hAnsi="Times New Roman" w:cs="Times New Roman"/>
                <w:color w:val="000000"/>
                <w:spacing w:val="-2"/>
                <w:sz w:val="20"/>
              </w:rPr>
              <w:t>40,00</w:t>
            </w:r>
          </w:p>
        </w:tc>
        <w:tc>
          <w:tcPr>
            <w:tcW w:w="1199" w:type="dxa"/>
            <w:tcBorders>
              <w:left w:val="single" w:sz="5" w:space="0" w:color="000000"/>
            </w:tcBorders>
          </w:tcPr>
          <w:p w:rsidR="00696439" w:rsidRPr="00696439" w:rsidRDefault="00696439" w:rsidP="00391943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00623D" w:rsidRPr="004415E6" w:rsidRDefault="00F832BE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2753B6" w:rsidRPr="002753B6" w:rsidRDefault="006B0223" w:rsidP="002753B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</w:t>
      </w:r>
      <w:r w:rsidR="002753B6" w:rsidRPr="002753B6">
        <w:rPr>
          <w:rFonts w:ascii="Times New Roman" w:hAnsi="Times New Roman" w:cs="Times New Roman"/>
          <w:sz w:val="20"/>
          <w:szCs w:val="20"/>
        </w:rPr>
        <w:t>) Возможен альтернативный вариант поставки:</w:t>
      </w:r>
    </w:p>
    <w:p w:rsidR="002753B6" w:rsidRPr="002753B6" w:rsidRDefault="002753B6" w:rsidP="002753B6">
      <w:pPr>
        <w:jc w:val="both"/>
        <w:rPr>
          <w:rFonts w:ascii="Times New Roman" w:hAnsi="Times New Roman" w:cs="Times New Roman"/>
          <w:sz w:val="20"/>
          <w:szCs w:val="20"/>
        </w:rPr>
      </w:pPr>
      <w:r w:rsidRPr="002753B6">
        <w:rPr>
          <w:rFonts w:ascii="Times New Roman" w:hAnsi="Times New Roman" w:cs="Times New Roman"/>
          <w:sz w:val="20"/>
          <w:szCs w:val="20"/>
        </w:rPr>
        <w:t>- с учетом правил взаимозаменяемости лекарственных препаратов для медицинского применения, согласно требованиям Постановления Правительства РФ от 15.11.2017 № 1380 «Об особенностях описания лекарственных препаратов для медицинского применения, являющихся объектом закупки для обеспечения государственных и муниципальных нужд»;</w:t>
      </w:r>
    </w:p>
    <w:p w:rsidR="002753B6" w:rsidRPr="002753B6" w:rsidRDefault="002753B6" w:rsidP="002753B6">
      <w:pPr>
        <w:jc w:val="both"/>
        <w:rPr>
          <w:rFonts w:ascii="Times New Roman" w:hAnsi="Times New Roman" w:cs="Times New Roman"/>
          <w:sz w:val="20"/>
          <w:szCs w:val="20"/>
        </w:rPr>
      </w:pPr>
      <w:r w:rsidRPr="002753B6">
        <w:rPr>
          <w:rFonts w:ascii="Times New Roman" w:hAnsi="Times New Roman" w:cs="Times New Roman"/>
          <w:sz w:val="20"/>
          <w:szCs w:val="20"/>
        </w:rPr>
        <w:t>- в кратной дозировке с двойным количеством образующей то же количественное содержание действующего вещества, с пересчетом количества единиц в упаковке без уменьшения общего количества лекарственного препарата, требуемого к поставке;</w:t>
      </w:r>
    </w:p>
    <w:p w:rsidR="002753B6" w:rsidRPr="002753B6" w:rsidRDefault="002753B6" w:rsidP="002753B6">
      <w:pPr>
        <w:jc w:val="both"/>
        <w:rPr>
          <w:rFonts w:ascii="Times New Roman" w:hAnsi="Times New Roman" w:cs="Times New Roman"/>
          <w:sz w:val="20"/>
          <w:szCs w:val="20"/>
        </w:rPr>
      </w:pPr>
      <w:r w:rsidRPr="002753B6">
        <w:rPr>
          <w:rFonts w:ascii="Times New Roman" w:hAnsi="Times New Roman" w:cs="Times New Roman"/>
          <w:sz w:val="20"/>
          <w:szCs w:val="20"/>
        </w:rPr>
        <w:t>- в эквивалентной лекарственной форме с тем же количественным содержанием действующего вещества, с пересчетом количества единиц в упаковке без уменьшения общего количества лекарственного препарата, требуемого к поставке.</w:t>
      </w:r>
    </w:p>
    <w:p w:rsidR="006B0223" w:rsidRPr="006B0223" w:rsidRDefault="002753B6" w:rsidP="006B0223">
      <w:pPr>
        <w:rPr>
          <w:sz w:val="24"/>
          <w:szCs w:val="24"/>
        </w:rPr>
      </w:pPr>
      <w:r w:rsidRPr="002753B6">
        <w:rPr>
          <w:rFonts w:ascii="Times New Roman" w:hAnsi="Times New Roman" w:cs="Times New Roman"/>
          <w:sz w:val="20"/>
          <w:szCs w:val="20"/>
        </w:rPr>
        <w:t xml:space="preserve">2) </w:t>
      </w:r>
      <w:r w:rsidRPr="002753B6">
        <w:rPr>
          <w:rFonts w:ascii="Times New Roman" w:eastAsia="Times New Roman" w:hAnsi="Times New Roman" w:cs="Times New Roman"/>
          <w:sz w:val="20"/>
          <w:szCs w:val="20"/>
        </w:rPr>
        <w:t>Требование к остаточному сроку годности установлено на момент поставки, является безусловным к исполнению и не требует отдельного подтверждения (указания) в составе заявки.</w:t>
      </w:r>
    </w:p>
    <w:p w:rsidR="006B0223" w:rsidRDefault="006B0223" w:rsidP="006B0223">
      <w:pPr>
        <w:rPr>
          <w:sz w:val="24"/>
          <w:szCs w:val="24"/>
        </w:rPr>
      </w:pPr>
    </w:p>
    <w:p w:rsidR="002753B6" w:rsidRPr="006B0223" w:rsidRDefault="002753B6" w:rsidP="006B0223">
      <w:pPr>
        <w:rPr>
          <w:sz w:val="24"/>
          <w:szCs w:val="24"/>
        </w:rPr>
        <w:sectPr w:rsidR="002753B6" w:rsidRPr="006B0223" w:rsidSect="006B0223">
          <w:pgSz w:w="16838" w:h="11906" w:orient="landscape"/>
          <w:pgMar w:top="284" w:right="1134" w:bottom="851" w:left="1134" w:header="850" w:footer="1651" w:gutter="0"/>
          <w:cols w:space="720"/>
        </w:sectPr>
      </w:pPr>
    </w:p>
    <w:tbl>
      <w:tblPr>
        <w:tblW w:w="92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6"/>
      </w:tblGrid>
      <w:tr w:rsidR="00310EA3" w:rsidRPr="004415E6" w:rsidTr="005D0ED2">
        <w:trPr>
          <w:trHeight w:val="645"/>
        </w:trPr>
        <w:tc>
          <w:tcPr>
            <w:tcW w:w="9256" w:type="dxa"/>
            <w:shd w:val="clear" w:color="auto" w:fill="auto"/>
          </w:tcPr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ab/>
              <w:t>1.1 Минимально необходимые требования, предъявляемые к предмету контракта:</w:t>
            </w:r>
          </w:p>
          <w:p w:rsidR="00310EA3" w:rsidRPr="004415E6" w:rsidRDefault="00310EA3"/>
        </w:tc>
      </w:tr>
      <w:tr w:rsidR="00310EA3" w:rsidRPr="004415E6" w:rsidTr="005D0ED2">
        <w:trPr>
          <w:trHeight w:val="114"/>
        </w:trPr>
        <w:tc>
          <w:tcPr>
            <w:tcW w:w="9256" w:type="dxa"/>
          </w:tcPr>
          <w:p w:rsidR="00310EA3" w:rsidRPr="004415E6" w:rsidRDefault="00310EA3"/>
        </w:tc>
      </w:tr>
      <w:tr w:rsidR="00310EA3" w:rsidRPr="004415E6" w:rsidTr="005D0ED2">
        <w:trPr>
          <w:trHeight w:val="1261"/>
        </w:trPr>
        <w:tc>
          <w:tcPr>
            <w:tcW w:w="9256" w:type="dxa"/>
            <w:shd w:val="clear" w:color="auto" w:fill="auto"/>
          </w:tcPr>
          <w:p w:rsidR="00310EA3" w:rsidRPr="006B0223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6B022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1 </w:t>
            </w:r>
            <w:r w:rsidR="006B0223" w:rsidRPr="006B022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ЛИДОКАИН+ФЕНАЗОН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6B022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6B022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6B022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310EA3" w:rsidRPr="004415E6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</w:tr>
      <w:tr w:rsidR="00310EA3" w:rsidRPr="004415E6" w:rsidTr="005D0ED2">
        <w:trPr>
          <w:trHeight w:val="115"/>
        </w:trPr>
        <w:tc>
          <w:tcPr>
            <w:tcW w:w="9256" w:type="dxa"/>
          </w:tcPr>
          <w:p w:rsidR="00310EA3" w:rsidRPr="004415E6" w:rsidRDefault="00310EA3"/>
        </w:tc>
      </w:tr>
      <w:tr w:rsidR="00310EA3" w:rsidRPr="004415E6" w:rsidTr="005D0ED2">
        <w:trPr>
          <w:trHeight w:val="1261"/>
        </w:trPr>
        <w:tc>
          <w:tcPr>
            <w:tcW w:w="9256" w:type="dxa"/>
            <w:shd w:val="clear" w:color="auto" w:fill="auto"/>
          </w:tcPr>
          <w:p w:rsidR="004D1C12" w:rsidRPr="004D1C12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2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КАМФОРА+ХЛОРОБУТАНОЛ+ЭВКАЛИПТА ЛИСТЬЕВ МАСЛО+ЛЕВОМЕНТОЛ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 w:rsidP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</w:tc>
      </w:tr>
      <w:tr w:rsidR="00310EA3" w:rsidRPr="004415E6" w:rsidTr="005D0ED2">
        <w:trPr>
          <w:trHeight w:val="114"/>
        </w:trPr>
        <w:tc>
          <w:tcPr>
            <w:tcW w:w="9256" w:type="dxa"/>
          </w:tcPr>
          <w:p w:rsidR="00310EA3" w:rsidRPr="004D1C12" w:rsidRDefault="009E1A09" w:rsidP="009E1A09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3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МЯТЫ ПЕРЕЧНОЙ ЛИСТЬЕВ МАСЛО+СУЛЬФАНИЛАМИД+СУЛЬФАТИАЗОЛ+ТИМОЛ+ЭВКАЛИПТА ЛИСТЬЕВ МАСЛО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</w:p>
        </w:tc>
      </w:tr>
      <w:tr w:rsidR="00310EA3" w:rsidRPr="004415E6" w:rsidTr="005D0ED2">
        <w:trPr>
          <w:trHeight w:val="1562"/>
        </w:trPr>
        <w:tc>
          <w:tcPr>
            <w:tcW w:w="9256" w:type="dxa"/>
            <w:shd w:val="clear" w:color="auto" w:fill="auto"/>
          </w:tcPr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момент поставки н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4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НИМЕСУЛИД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5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СУЛЬФАЦЕТАМИД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6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Календулы лекарственной </w:t>
            </w:r>
            <w:proofErr w:type="spellStart"/>
            <w:proofErr w:type="gramStart"/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цветков+Ромашки</w:t>
            </w:r>
            <w:proofErr w:type="spellEnd"/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аптечной </w:t>
            </w:r>
            <w:proofErr w:type="spellStart"/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цветков+Тысячелистника</w:t>
            </w:r>
            <w:proofErr w:type="spellEnd"/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обыкновенного травы</w:t>
            </w:r>
            <w:proofErr w:type="gramEnd"/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экстракт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7 </w:t>
            </w:r>
            <w:r w:rsidR="00E9712A" w:rsidRPr="00E9712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АЛГЕЛДРАТ+МАГНИЯ ГИДРОКСИД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годности на моме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8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БРИЛЛИАНТОВЫЙ ЗЕЛЕНЫЙ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9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ВАЗЕЛИН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10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ДЕКСАМЕТАЗОН+НЕОМИЦИН+ПОЛИМИКСИН B+ФЕНИЛЭФРИН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11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АКТИВИРОВАННЫЙ УГОЛЬ+ЖЕЛЧЬ+КРАПИВЫ ДВУДОМНОЙ ЛИСТЬЯ+ЧЕСНОКА ПОСЕВНОГО ЛУКОВИЦЫ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12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</w:t>
            </w:r>
            <w:r w:rsidR="004D1C12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ПАПАВЕРИН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415E6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Остаточный срок годност</w:t>
            </w:r>
            <w:r w:rsidR="004415E6"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>и на момент поставки не менее 11</w:t>
            </w:r>
            <w:r w:rsidRPr="004D1C12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  <w:t xml:space="preserve"> месяцев</w:t>
            </w:r>
          </w:p>
          <w:p w:rsidR="009E1A09" w:rsidRPr="004D1C12" w:rsidRDefault="009E1A09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Pr="004D1C12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</w:pPr>
            <w:r w:rsidRPr="004D1C12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  <w:t xml:space="preserve">Указанные минимально необходимые требования, предъявляемые к предмету </w:t>
            </w:r>
            <w:r w:rsidRPr="004D1C12"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8"/>
              </w:rPr>
              <w:lastRenderedPageBreak/>
              <w:t>контракта, указаны в целях включения данной информации в Контракт. Подача заявки на участие в закупке означает согласие участника закупки, подавшего такую заявку, на поставку товара на условиях, предусмотренных п. 1.1 файла «Описание объекта закупки».</w:t>
            </w:r>
          </w:p>
        </w:tc>
      </w:tr>
      <w:tr w:rsidR="00310EA3" w:rsidTr="005D0ED2">
        <w:trPr>
          <w:trHeight w:val="2780"/>
        </w:trPr>
        <w:tc>
          <w:tcPr>
            <w:tcW w:w="9256" w:type="dxa"/>
            <w:vMerge w:val="restart"/>
            <w:shd w:val="clear" w:color="auto" w:fill="auto"/>
          </w:tcPr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ab/>
              <w:t xml:space="preserve">2. Гарантийные обязательства поставщика (подрядчика, исполнителя):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3. Требования к гарантии качества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4. Требования к гарантийному сроку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5. Требования к объему предоставления гарантий качества товара, работы, услуги: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6. Требования к гарантийному обслуживанию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7. Требования к предоставлению гарантии производителя и (или) поставщика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8. Требования к расходам на эксплуатацию товара: не установлено </w:t>
            </w:r>
          </w:p>
          <w:p w:rsidR="00310EA3" w:rsidRPr="004415E6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 xml:space="preserve">9. Требования к обязательности осуществления монтажа и наладки товара: не установлено </w:t>
            </w:r>
          </w:p>
          <w:p w:rsidR="00310EA3" w:rsidRDefault="00504155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  <w:r w:rsidRPr="004415E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ab/>
              <w:t>10. Требования к обучению лиц, осуществляющих использование и обслуживание товара: не установлено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310EA3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Default="00310EA3">
            <w:pPr>
              <w:spacing w:line="229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</w:rPr>
            </w:pPr>
          </w:p>
          <w:p w:rsidR="00310EA3" w:rsidRDefault="00310EA3"/>
        </w:tc>
      </w:tr>
      <w:tr w:rsidR="00310EA3" w:rsidTr="005D0ED2">
        <w:trPr>
          <w:trHeight w:val="2779"/>
        </w:trPr>
        <w:tc>
          <w:tcPr>
            <w:tcW w:w="9256" w:type="dxa"/>
            <w:vMerge/>
            <w:shd w:val="clear" w:color="auto" w:fill="auto"/>
          </w:tcPr>
          <w:p w:rsidR="00310EA3" w:rsidRDefault="00310EA3"/>
        </w:tc>
      </w:tr>
      <w:tr w:rsidR="00310EA3" w:rsidTr="005D0ED2">
        <w:trPr>
          <w:trHeight w:val="344"/>
        </w:trPr>
        <w:tc>
          <w:tcPr>
            <w:tcW w:w="9256" w:type="dxa"/>
          </w:tcPr>
          <w:p w:rsidR="00310EA3" w:rsidRDefault="00310EA3"/>
        </w:tc>
      </w:tr>
    </w:tbl>
    <w:p w:rsidR="00261722" w:rsidRDefault="00261722"/>
    <w:sectPr w:rsidR="00261722">
      <w:pgSz w:w="11906" w:h="16838"/>
      <w:pgMar w:top="1134" w:right="850" w:bottom="1084" w:left="1701" w:header="1134" w:footer="10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EA3"/>
    <w:rsid w:val="0000623D"/>
    <w:rsid w:val="00101717"/>
    <w:rsid w:val="00132BBC"/>
    <w:rsid w:val="001B7847"/>
    <w:rsid w:val="00261722"/>
    <w:rsid w:val="002753B6"/>
    <w:rsid w:val="002E40FC"/>
    <w:rsid w:val="002F084A"/>
    <w:rsid w:val="00310EA3"/>
    <w:rsid w:val="00340B7F"/>
    <w:rsid w:val="003B26D2"/>
    <w:rsid w:val="003B7C68"/>
    <w:rsid w:val="003D6641"/>
    <w:rsid w:val="003F1BE1"/>
    <w:rsid w:val="003F60CC"/>
    <w:rsid w:val="00410191"/>
    <w:rsid w:val="004415E6"/>
    <w:rsid w:val="00447DD0"/>
    <w:rsid w:val="0047355D"/>
    <w:rsid w:val="004A13BA"/>
    <w:rsid w:val="004B4E0B"/>
    <w:rsid w:val="004D1C12"/>
    <w:rsid w:val="004D2783"/>
    <w:rsid w:val="00502C55"/>
    <w:rsid w:val="00504155"/>
    <w:rsid w:val="00527243"/>
    <w:rsid w:val="005323F5"/>
    <w:rsid w:val="00574931"/>
    <w:rsid w:val="005C11B1"/>
    <w:rsid w:val="005D0ED2"/>
    <w:rsid w:val="005E482F"/>
    <w:rsid w:val="00630E8A"/>
    <w:rsid w:val="006741A7"/>
    <w:rsid w:val="00675FCD"/>
    <w:rsid w:val="00696439"/>
    <w:rsid w:val="006B0223"/>
    <w:rsid w:val="006D1F3F"/>
    <w:rsid w:val="0072794F"/>
    <w:rsid w:val="007405BD"/>
    <w:rsid w:val="00746DD6"/>
    <w:rsid w:val="00765587"/>
    <w:rsid w:val="007D0F05"/>
    <w:rsid w:val="007E0A63"/>
    <w:rsid w:val="0081266B"/>
    <w:rsid w:val="00832B59"/>
    <w:rsid w:val="00845A4D"/>
    <w:rsid w:val="009144EC"/>
    <w:rsid w:val="00971711"/>
    <w:rsid w:val="0097190A"/>
    <w:rsid w:val="009E1A09"/>
    <w:rsid w:val="00A3293F"/>
    <w:rsid w:val="00A4317B"/>
    <w:rsid w:val="00B37C58"/>
    <w:rsid w:val="00B64688"/>
    <w:rsid w:val="00B70680"/>
    <w:rsid w:val="00BA6DCB"/>
    <w:rsid w:val="00C36E2A"/>
    <w:rsid w:val="00C5417D"/>
    <w:rsid w:val="00C755CF"/>
    <w:rsid w:val="00C955EC"/>
    <w:rsid w:val="00D36C87"/>
    <w:rsid w:val="00DA7912"/>
    <w:rsid w:val="00E11578"/>
    <w:rsid w:val="00E17881"/>
    <w:rsid w:val="00E74723"/>
    <w:rsid w:val="00E7662F"/>
    <w:rsid w:val="00E9712A"/>
    <w:rsid w:val="00EB110B"/>
    <w:rsid w:val="00ED0E96"/>
    <w:rsid w:val="00F378D6"/>
    <w:rsid w:val="00F423AF"/>
    <w:rsid w:val="00F53E7B"/>
    <w:rsid w:val="00F832BE"/>
    <w:rsid w:val="00F8465B"/>
    <w:rsid w:val="00FA3146"/>
    <w:rsid w:val="00FD24DE"/>
    <w:rsid w:val="00FD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qFormat/>
    <w:rsid w:val="00E74723"/>
    <w:pPr>
      <w:widowControl w:val="0"/>
      <w:shd w:val="clear" w:color="auto" w:fill="FFFFFF"/>
      <w:suppressAutoHyphens/>
      <w:spacing w:before="360" w:after="600" w:line="0" w:lineRule="atLeast"/>
      <w:jc w:val="center"/>
    </w:pPr>
    <w:rPr>
      <w:rFonts w:ascii="Times New Roman" w:eastAsia="SimSu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1">
    <w:name w:val="Без интервала1"/>
    <w:rsid w:val="006B0223"/>
    <w:pPr>
      <w:suppressAutoHyphens/>
      <w:spacing w:after="0" w:line="240" w:lineRule="auto"/>
    </w:pPr>
    <w:rPr>
      <w:rFonts w:ascii="Calibri" w:eastAsia="SimSun" w:hAnsi="Calibri" w:cs="Calibri"/>
      <w:color w:val="00000A"/>
      <w:kern w:val="1"/>
      <w:lang w:eastAsia="zh-CN"/>
    </w:rPr>
  </w:style>
  <w:style w:type="character" w:customStyle="1" w:styleId="highlightcolor">
    <w:name w:val="highlightcolor"/>
    <w:basedOn w:val="a0"/>
    <w:rsid w:val="00727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qFormat/>
    <w:rsid w:val="00E74723"/>
    <w:pPr>
      <w:widowControl w:val="0"/>
      <w:shd w:val="clear" w:color="auto" w:fill="FFFFFF"/>
      <w:suppressAutoHyphens/>
      <w:spacing w:before="360" w:after="600" w:line="0" w:lineRule="atLeast"/>
      <w:jc w:val="center"/>
    </w:pPr>
    <w:rPr>
      <w:rFonts w:ascii="Times New Roman" w:eastAsia="SimSun" w:hAnsi="Times New Roman" w:cs="Times New Roman"/>
      <w:color w:val="00000A"/>
      <w:kern w:val="1"/>
      <w:sz w:val="20"/>
      <w:szCs w:val="20"/>
      <w:lang w:eastAsia="zh-CN"/>
    </w:rPr>
  </w:style>
  <w:style w:type="paragraph" w:customStyle="1" w:styleId="1">
    <w:name w:val="Без интервала1"/>
    <w:rsid w:val="006B0223"/>
    <w:pPr>
      <w:suppressAutoHyphens/>
      <w:spacing w:after="0" w:line="240" w:lineRule="auto"/>
    </w:pPr>
    <w:rPr>
      <w:rFonts w:ascii="Calibri" w:eastAsia="SimSun" w:hAnsi="Calibri" w:cs="Calibri"/>
      <w:color w:val="00000A"/>
      <w:kern w:val="1"/>
      <w:lang w:eastAsia="zh-CN"/>
    </w:rPr>
  </w:style>
  <w:style w:type="character" w:customStyle="1" w:styleId="highlightcolor">
    <w:name w:val="highlightcolor"/>
    <w:basedOn w:val="a0"/>
    <w:rsid w:val="00727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6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Description_Purchase_Object_PILOT_(Sti)</vt:lpstr>
    </vt:vector>
  </TitlesOfParts>
  <Company>Stimulsoft Reports 2020.5.2 from 26 November 2020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Description_Purchase_Object_PILOT_(Sti)</dc:title>
  <dc:subject>Description_Purchase_Object_PILOT_(Sti)</dc:subject>
  <dc:creator>gba</dc:creator>
  <dc:description>Описание объекта закупки ПИЛОТ</dc:description>
  <cp:lastModifiedBy>Ведяшкина_АН</cp:lastModifiedBy>
  <cp:revision>8</cp:revision>
  <dcterms:created xsi:type="dcterms:W3CDTF">2026-07-20T01:40:00Z</dcterms:created>
  <dcterms:modified xsi:type="dcterms:W3CDTF">2026-08-03T03:32:00Z</dcterms:modified>
</cp:coreProperties>
</file>