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rPr>
      </w:pPr>
      <w:r>
        <w:rPr>
          <w:b/>
          <w:bCs/>
        </w:rPr>
        <w:t xml:space="preserve">Контракт № </w:t>
      </w:r>
    </w:p>
    <w:p>
      <w:pPr>
        <w:pStyle w:val="Normal"/>
        <w:jc w:val="center"/>
        <w:rPr>
          <w:b/>
          <w:b/>
        </w:rPr>
      </w:pPr>
      <w:r>
        <w:rPr>
          <w:b/>
        </w:rPr>
        <w:t>на поставку товаров для государственных нужд</w:t>
      </w:r>
    </w:p>
    <w:p>
      <w:pPr>
        <w:pStyle w:val="Normal"/>
        <w:jc w:val="center"/>
        <w:rPr>
          <w:b/>
          <w:b/>
          <w:highlight w:val="yellow"/>
        </w:rPr>
      </w:pPr>
      <w:r>
        <w:rPr>
          <w:b/>
          <w:highlight w:val="yellow"/>
        </w:rPr>
      </w:r>
    </w:p>
    <w:p>
      <w:pPr>
        <w:pStyle w:val="Normal"/>
        <w:widowControl w:val="false"/>
        <w:jc w:val="both"/>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 202</w:t>
      </w:r>
      <w:r>
        <w:rPr>
          <w:rFonts w:eastAsia="Times New Roman" w:cs="Times New Roman"/>
          <w:color w:val="auto"/>
          <w:kern w:val="0"/>
          <w:sz w:val="20"/>
          <w:szCs w:val="20"/>
          <w:lang w:val="ru-RU" w:eastAsia="ru-RU" w:bidi="ar-SA"/>
        </w:rPr>
        <w:t>6</w:t>
      </w:r>
      <w:r>
        <w:rPr/>
        <w:t>г.</w:t>
      </w:r>
      <w:bookmarkEnd w:id="0"/>
    </w:p>
    <w:p>
      <w:pPr>
        <w:pStyle w:val="Normal"/>
        <w:spacing w:before="0" w:after="60"/>
        <w:jc w:val="both"/>
        <w:rPr/>
      </w:pPr>
      <w:r>
        <w:rPr/>
      </w:r>
    </w:p>
    <w:p>
      <w:pPr>
        <w:pStyle w:val="Normal"/>
        <w:jc w:val="both"/>
        <w:rPr/>
      </w:pPr>
      <w:r>
        <w:rPr>
          <w:b/>
          <w:bCs/>
        </w:rPr>
        <w:tab/>
      </w: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Семенкова Александра Викторовича действующего на основании доверенности от </w:t>
      </w:r>
      <w:r>
        <w:rPr>
          <w:rFonts w:eastAsia="Times New Roman" w:cs="Times New Roman"/>
          <w:color w:val="000000"/>
          <w:kern w:val="0"/>
          <w:sz w:val="20"/>
          <w:szCs w:val="20"/>
          <w:lang w:val="ru-RU" w:eastAsia="ru-RU" w:bidi="ar-SA"/>
        </w:rPr>
        <w:t>29</w:t>
      </w:r>
      <w:r>
        <w:rPr/>
        <w:t>.</w:t>
      </w:r>
      <w:r>
        <w:rPr>
          <w:rFonts w:eastAsia="Times New Roman" w:cs="Times New Roman"/>
          <w:color w:val="000000"/>
          <w:kern w:val="0"/>
          <w:sz w:val="20"/>
          <w:szCs w:val="20"/>
          <w:lang w:val="ru-RU" w:eastAsia="ru-RU" w:bidi="ar-SA"/>
        </w:rPr>
        <w:t>12</w:t>
      </w:r>
      <w:r>
        <w:rPr/>
        <w:t>.2025г, именуемое в дальнейшем «Заказчик», с одной стороны, и _____________________, в лице ____________, действующего на основании _____, именуем</w:t>
      </w:r>
      <w:r>
        <w:rPr>
          <w:rFonts w:eastAsia="Times New Roman" w:cs="Times New Roman"/>
          <w:color w:val="000000"/>
          <w:kern w:val="0"/>
          <w:sz w:val="20"/>
          <w:szCs w:val="20"/>
          <w:lang w:val="ru-RU" w:eastAsia="ru-RU" w:bidi="ar-SA"/>
        </w:rPr>
        <w:t>ое</w:t>
      </w:r>
      <w:r>
        <w:rPr/>
        <w:t xml:space="preserve"> в дальнейшем «Поставщик», с другой стороны,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left="0" w:right="0" w:hanging="0"/>
        <w:jc w:val="both"/>
        <w:rPr/>
      </w:pPr>
      <w:r>
        <w:rPr/>
        <w:t xml:space="preserve">1.1. Поставщик по настоящему </w:t>
      </w:r>
      <w:r>
        <w:rPr>
          <w:bCs/>
        </w:rPr>
        <w:t>Контракту</w:t>
      </w:r>
      <w:r>
        <w:rPr/>
        <w:t xml:space="preserve"> обязуется поставить товар: </w:t>
      </w:r>
      <w:r>
        <w:rPr>
          <w:b/>
          <w:bCs/>
          <w:lang w:val="en-US"/>
        </w:rPr>
        <w:t>Телевизор</w:t>
      </w:r>
      <w:r>
        <w:rPr>
          <w:rFonts w:eastAsia="Times New Roman" w:cs="Times New Roman"/>
          <w:b/>
          <w:bCs/>
          <w:color w:val="000000"/>
          <w:kern w:val="0"/>
          <w:sz w:val="20"/>
          <w:szCs w:val="20"/>
          <w:lang w:val="en-US" w:eastAsia="ru-RU" w:bidi="ar-SA"/>
        </w:rPr>
        <w:t>ы</w:t>
      </w:r>
      <w:r>
        <w:rPr>
          <w:b/>
          <w:bCs/>
          <w:lang w:val="en-US"/>
        </w:rPr>
        <w:t xml:space="preserve"> и кронштейн</w:t>
      </w:r>
      <w:r>
        <w:rPr>
          <w:rFonts w:eastAsia="Times New Roman" w:cs="Times New Roman"/>
          <w:b/>
          <w:bCs/>
          <w:color w:val="000000"/>
          <w:kern w:val="0"/>
          <w:sz w:val="20"/>
          <w:szCs w:val="20"/>
          <w:lang w:val="en-US" w:eastAsia="ru-RU" w:bidi="ar-SA"/>
        </w:rPr>
        <w:t>ы</w:t>
      </w:r>
      <w:r>
        <w:rPr>
          <w:b/>
          <w:bCs/>
          <w:lang w:val="en-US"/>
        </w:rPr>
        <w:t xml:space="preserve"> настенны</w:t>
      </w:r>
      <w:r>
        <w:rPr>
          <w:rFonts w:eastAsia="Times New Roman" w:cs="Times New Roman"/>
          <w:b/>
          <w:bCs/>
          <w:color w:val="000000"/>
          <w:kern w:val="0"/>
          <w:sz w:val="20"/>
          <w:szCs w:val="20"/>
          <w:lang w:val="en-US" w:eastAsia="ru-RU" w:bidi="ar-SA"/>
        </w:rPr>
        <w:t>е</w:t>
      </w:r>
      <w:r>
        <w:rPr>
          <w:b/>
          <w:bCs/>
          <w:lang w:val="en-US"/>
        </w:rPr>
        <w:t xml:space="preserve"> к ним</w:t>
      </w:r>
      <w:bookmarkStart w:id="2" w:name="_Hlk174882135"/>
      <w:r>
        <w:rPr/>
        <w:t xml:space="preserve"> </w:t>
      </w:r>
      <w:bookmarkEnd w:id="2"/>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Style30"/>
        <w:jc w:val="center"/>
        <w:rPr>
          <w:b/>
          <w:b/>
          <w:lang w:val="ru-RU"/>
        </w:rPr>
      </w:pPr>
      <w:r>
        <w:rPr>
          <w:b/>
          <w:lang w:val="ru-RU"/>
        </w:rPr>
      </w:r>
    </w:p>
    <w:p>
      <w:pPr>
        <w:pStyle w:val="Style30"/>
        <w:ind w:left="0" w:right="0" w:hanging="0"/>
        <w:jc w:val="center"/>
        <w:rPr>
          <w:b/>
          <w:b/>
          <w:lang w:val="ru-RU"/>
        </w:rPr>
      </w:pPr>
      <w:r>
        <w:rPr>
          <w:b/>
          <w:lang w:val="ru-RU"/>
        </w:rPr>
        <w:t>2. Цена Контракта и порядок расчетов</w:t>
      </w:r>
    </w:p>
    <w:p>
      <w:pPr>
        <w:pStyle w:val="Annotationtext"/>
        <w:jc w:val="both"/>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lang w:val="ru-RU" w:eastAsia="ru-RU" w:bidi="ar-SA"/>
        </w:rPr>
        <w:t>в том числе НДС ___% ______ руб. (____________ рублей ___ копеек)</w:t>
      </w:r>
      <w:r>
        <w:rPr/>
        <w:t xml:space="preserve"> </w:t>
      </w:r>
      <w:r>
        <w:rPr>
          <w:i/>
          <w:iCs/>
        </w:rPr>
        <w:t>(НДС не предусмотрен</w:t>
      </w:r>
      <w:r>
        <w:rPr>
          <w:i/>
          <w:iCs/>
          <w:shd w:fill="auto" w:val="clear"/>
        </w:rPr>
        <w:t xml:space="preserve"> в связи с применением Поставщиком упрощенной системы налогообложения)</w:t>
      </w:r>
      <w:r>
        <w:rPr>
          <w:shd w:fill="auto" w:val="clear"/>
        </w:rPr>
        <w:t xml:space="preserve">. </w:t>
      </w:r>
      <w:r>
        <w:rPr>
          <w:bCs/>
          <w:shd w:fill="auto" w:val="clear"/>
        </w:rPr>
        <w:t xml:space="preserve"> </w:t>
      </w:r>
      <w:r>
        <w:rPr>
          <w:shd w:fill="auto" w:val="clea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shd w:fill="auto" w:val="clear"/>
        </w:rPr>
        <w:t xml:space="preserve">2.2. Цена Контракта является твердой и определяется на весь срок исполнения Контракта. </w:t>
      </w:r>
    </w:p>
    <w:p>
      <w:pPr>
        <w:pStyle w:val="Style30"/>
        <w:tabs>
          <w:tab w:val="clear" w:pos="531"/>
          <w:tab w:val="left" w:pos="540" w:leader="none"/>
        </w:tabs>
        <w:ind w:left="0" w:right="0" w:hanging="0"/>
        <w:rPr/>
      </w:pPr>
      <w:r>
        <w:rPr>
          <w:lang w:val="ru-RU"/>
        </w:rPr>
        <w:t xml:space="preserve">2.3. </w:t>
      </w:r>
      <w:r>
        <w:rPr>
          <w:rFonts w:eastAsia="Times New Roman"/>
          <w:color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Style30"/>
        <w:tabs>
          <w:tab w:val="clear" w:pos="531"/>
          <w:tab w:val="left" w:pos="540" w:leader="none"/>
        </w:tabs>
        <w:ind w:left="0" w:right="0" w:hanging="0"/>
        <w:rPr>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Style30"/>
        <w:tabs>
          <w:tab w:val="clear" w:pos="531"/>
          <w:tab w:val="left" w:pos="540" w:leader="none"/>
        </w:tabs>
        <w:ind w:left="0" w:right="0" w:hanging="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pPr>
      <w:r>
        <w:rPr/>
        <w:t>2.5. Источник финансирования:</w:t>
      </w:r>
      <w:bookmarkStart w:id="4" w:name="_Hlk174882174"/>
      <w:r>
        <w:rPr/>
        <w:t xml:space="preserve"> </w:t>
      </w:r>
      <w:bookmarkEnd w:id="4"/>
      <w:r>
        <w:rPr/>
        <w:t>средства бюджетного учреждения.</w:t>
      </w:r>
    </w:p>
    <w:p>
      <w:pPr>
        <w:pStyle w:val="Normal"/>
        <w:rPr>
          <w:b/>
          <w:b/>
        </w:rPr>
      </w:pPr>
      <w:r>
        <w:rPr>
          <w:b/>
        </w:rPr>
      </w:r>
    </w:p>
    <w:p>
      <w:pPr>
        <w:pStyle w:val="Normal"/>
        <w:jc w:val="center"/>
        <w:rPr>
          <w:b/>
          <w:b/>
        </w:rPr>
      </w:pPr>
      <w:r>
        <w:rPr>
          <w:b/>
        </w:rPr>
        <w:t>3. Права и обязанности сторон</w:t>
      </w:r>
    </w:p>
    <w:p>
      <w:pPr>
        <w:pStyle w:val="Style30"/>
        <w:tabs>
          <w:tab w:val="clear" w:pos="531"/>
          <w:tab w:val="left" w:pos="0" w:leader="none"/>
        </w:tabs>
        <w:ind w:left="0" w:right="0" w:hanging="0"/>
        <w:rPr/>
      </w:pPr>
      <w:r>
        <w:rPr>
          <w:b/>
          <w:lang w:val="ru-RU"/>
        </w:rPr>
        <w:t>3.1.</w:t>
      </w:r>
      <w:r>
        <w:rPr>
          <w:b/>
        </w:rPr>
        <w:t> </w:t>
      </w:r>
      <w:r>
        <w:rPr>
          <w:b/>
          <w:lang w:val="ru-RU"/>
        </w:rPr>
        <w:t>Заказчик по Контракту вправе:</w:t>
      </w:r>
    </w:p>
    <w:p>
      <w:pPr>
        <w:pStyle w:val="Style30"/>
        <w:tabs>
          <w:tab w:val="clear" w:pos="531"/>
          <w:tab w:val="left" w:pos="0" w:leader="none"/>
        </w:tabs>
        <w:ind w:left="0" w:right="0" w:hanging="0"/>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Style30"/>
        <w:tabs>
          <w:tab w:val="clear" w:pos="531"/>
          <w:tab w:val="left" w:pos="0" w:leader="none"/>
        </w:tabs>
        <w:ind w:left="0" w:right="0" w:hanging="0"/>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Style30"/>
        <w:tabs>
          <w:tab w:val="clear" w:pos="531"/>
          <w:tab w:val="left" w:pos="0" w:leader="none"/>
        </w:tabs>
        <w:ind w:left="0" w:right="0" w:hanging="0"/>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Style30"/>
        <w:tabs>
          <w:tab w:val="clear" w:pos="531"/>
          <w:tab w:val="left" w:pos="0" w:leader="none"/>
        </w:tabs>
        <w:ind w:left="0" w:right="0" w:hanging="0"/>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Style30"/>
        <w:tabs>
          <w:tab w:val="clear" w:pos="531"/>
          <w:tab w:val="left" w:pos="0" w:leader="none"/>
        </w:tabs>
        <w:ind w:left="0" w:right="0" w:hanging="0"/>
        <w:rPr/>
      </w:pPr>
      <w:r>
        <w:rPr>
          <w:lang w:val="ru-RU"/>
        </w:rPr>
        <w:t>3.1.5.</w:t>
      </w:r>
      <w:r>
        <w:rPr/>
        <w:t> </w:t>
      </w:r>
      <w:r>
        <w:rPr>
          <w:lang w:val="ru-RU"/>
        </w:rPr>
        <w:t xml:space="preserve">При обнаружении недостатков Товара, требовать их устранения. </w:t>
      </w:r>
    </w:p>
    <w:p>
      <w:pPr>
        <w:pStyle w:val="Style30"/>
        <w:tabs>
          <w:tab w:val="clear" w:pos="531"/>
          <w:tab w:val="left" w:pos="0" w:leader="none"/>
        </w:tabs>
        <w:ind w:left="0" w:right="0"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Style30"/>
        <w:tabs>
          <w:tab w:val="clear" w:pos="531"/>
          <w:tab w:val="left" w:pos="0" w:leader="none"/>
        </w:tabs>
        <w:ind w:left="0" w:right="0" w:hanging="0"/>
        <w:rPr/>
      </w:pPr>
      <w:r>
        <w:rPr>
          <w:lang w:val="ru-RU"/>
        </w:rPr>
        <w:t>3.1.7.</w:t>
      </w:r>
      <w:r>
        <w:rPr/>
        <w:t> </w:t>
      </w:r>
      <w:r>
        <w:rPr>
          <w:lang w:val="ru-RU"/>
        </w:rPr>
        <w:t>Определять лиц, непосредственно участвующих в контроле за ходом поставки Товара.</w:t>
      </w:r>
    </w:p>
    <w:p>
      <w:pPr>
        <w:pStyle w:val="Style30"/>
        <w:tabs>
          <w:tab w:val="clear" w:pos="531"/>
          <w:tab w:val="left" w:pos="0" w:leader="none"/>
        </w:tabs>
        <w:ind w:left="0" w:right="0"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Style30"/>
        <w:tabs>
          <w:tab w:val="clear" w:pos="531"/>
          <w:tab w:val="left" w:pos="0" w:leader="none"/>
        </w:tabs>
        <w:ind w:left="0" w:right="0" w:hanging="0"/>
        <w:rPr/>
      </w:pPr>
      <w:r>
        <w:rPr>
          <w:b/>
          <w:lang w:val="ru-RU"/>
        </w:rPr>
        <w:t>3.2.</w:t>
      </w:r>
      <w:r>
        <w:rPr>
          <w:b/>
        </w:rPr>
        <w:t> </w:t>
      </w:r>
      <w:r>
        <w:rPr>
          <w:b/>
          <w:lang w:val="ru-RU"/>
        </w:rPr>
        <w:t>Заказчик по Контракту обязан:</w:t>
      </w:r>
    </w:p>
    <w:p>
      <w:pPr>
        <w:pStyle w:val="Style30"/>
        <w:tabs>
          <w:tab w:val="clear" w:pos="531"/>
          <w:tab w:val="left" w:pos="0" w:leader="none"/>
        </w:tabs>
        <w:ind w:left="0" w:right="0" w:hanging="0"/>
        <w:rPr/>
      </w:pPr>
      <w:r>
        <w:rPr>
          <w:lang w:val="ru-RU"/>
        </w:rPr>
        <w:t>3.2.1.</w:t>
      </w:r>
      <w:r>
        <w:rPr/>
        <w:t> </w:t>
      </w:r>
      <w:r>
        <w:rPr>
          <w:lang w:val="ru-RU"/>
        </w:rPr>
        <w:t>Произвести оплату в соответствии с условиями Контракта.</w:t>
      </w:r>
    </w:p>
    <w:p>
      <w:pPr>
        <w:pStyle w:val="Style30"/>
        <w:tabs>
          <w:tab w:val="clear" w:pos="531"/>
          <w:tab w:val="left" w:pos="0" w:leader="none"/>
        </w:tabs>
        <w:ind w:left="0" w:right="0" w:hanging="0"/>
        <w:rPr/>
      </w:pPr>
      <w:r>
        <w:rPr>
          <w:lang w:val="ru-RU"/>
        </w:rPr>
        <w:t>3.2.2.</w:t>
      </w:r>
      <w:r>
        <w:rPr/>
        <w:t> </w:t>
      </w:r>
      <w:r>
        <w:rPr>
          <w:lang w:val="ru-RU"/>
        </w:rPr>
        <w:t>Надлежаще исполнять иные принятые на себя обязательства.</w:t>
      </w:r>
    </w:p>
    <w:p>
      <w:pPr>
        <w:pStyle w:val="Style30"/>
        <w:tabs>
          <w:tab w:val="clear" w:pos="531"/>
          <w:tab w:val="left" w:pos="0" w:leader="none"/>
        </w:tabs>
        <w:ind w:left="0" w:right="0" w:hanging="0"/>
        <w:rPr>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Style30"/>
        <w:tabs>
          <w:tab w:val="clear" w:pos="531"/>
          <w:tab w:val="left" w:pos="0" w:leader="none"/>
        </w:tabs>
        <w:ind w:left="0" w:right="0" w:hanging="0"/>
        <w:rPr/>
      </w:pPr>
      <w:r>
        <w:rPr>
          <w:b/>
          <w:lang w:val="ru-RU"/>
        </w:rPr>
        <w:t>3.3.</w:t>
      </w:r>
      <w:r>
        <w:rPr>
          <w:b/>
        </w:rPr>
        <w:t> </w:t>
      </w:r>
      <w:r>
        <w:rPr>
          <w:b/>
          <w:lang w:val="ru-RU"/>
        </w:rPr>
        <w:t>Поставщик по Контракту вправе:</w:t>
      </w:r>
    </w:p>
    <w:p>
      <w:pPr>
        <w:pStyle w:val="Style30"/>
        <w:tabs>
          <w:tab w:val="clear" w:pos="531"/>
          <w:tab w:val="left" w:pos="0" w:leader="none"/>
        </w:tabs>
        <w:ind w:left="0" w:right="0" w:hanging="0"/>
        <w:rPr/>
      </w:pPr>
      <w:r>
        <w:rPr>
          <w:lang w:val="ru-RU"/>
        </w:rPr>
        <w:t>3.3.1.</w:t>
      </w:r>
      <w:r>
        <w:rPr/>
        <w:t> </w:t>
      </w:r>
      <w:r>
        <w:rPr>
          <w:lang w:val="ru-RU"/>
        </w:rPr>
        <w:t xml:space="preserve">Получить своевременную оплату принятого Заказчиком Товара. </w:t>
      </w:r>
    </w:p>
    <w:p>
      <w:pPr>
        <w:pStyle w:val="Style30"/>
        <w:tabs>
          <w:tab w:val="clear" w:pos="531"/>
          <w:tab w:val="left" w:pos="0" w:leader="none"/>
        </w:tabs>
        <w:ind w:left="0" w:right="0" w:hanging="0"/>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Style30"/>
        <w:tabs>
          <w:tab w:val="clear" w:pos="531"/>
          <w:tab w:val="left" w:pos="0" w:leader="none"/>
        </w:tabs>
        <w:ind w:left="0" w:right="0" w:hanging="0"/>
        <w:rPr/>
      </w:pPr>
      <w:r>
        <w:rPr>
          <w:b/>
          <w:lang w:val="ru-RU"/>
        </w:rPr>
        <w:t>3.4.</w:t>
      </w:r>
      <w:r>
        <w:rPr>
          <w:b/>
        </w:rPr>
        <w:t> </w:t>
      </w:r>
      <w:r>
        <w:rPr>
          <w:b/>
          <w:lang w:val="ru-RU"/>
        </w:rPr>
        <w:t>Поставщик по Контракту обязан:</w:t>
      </w:r>
    </w:p>
    <w:p>
      <w:pPr>
        <w:pStyle w:val="Style30"/>
        <w:tabs>
          <w:tab w:val="clear" w:pos="531"/>
          <w:tab w:val="left" w:pos="0" w:leader="none"/>
        </w:tabs>
        <w:ind w:left="0" w:right="0" w:hanging="0"/>
        <w:rPr/>
      </w:pPr>
      <w:r>
        <w:rPr>
          <w:lang w:val="ru-RU"/>
        </w:rPr>
        <w:t>3.4.1.</w:t>
      </w:r>
      <w:r>
        <w:rPr/>
        <w:t> </w:t>
      </w:r>
      <w:r>
        <w:rPr>
          <w:lang w:val="ru-RU"/>
        </w:rPr>
        <w:t>Осуществить поставку Товара в соответствии с принятыми на себя обязательствами.</w:t>
      </w:r>
    </w:p>
    <w:p>
      <w:pPr>
        <w:pStyle w:val="Style30"/>
        <w:tabs>
          <w:tab w:val="clear" w:pos="531"/>
          <w:tab w:val="left" w:pos="0" w:leader="none"/>
        </w:tabs>
        <w:ind w:left="0" w:right="0"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Style30"/>
        <w:tabs>
          <w:tab w:val="clear" w:pos="531"/>
          <w:tab w:val="left" w:pos="0" w:leader="none"/>
        </w:tabs>
        <w:ind w:left="0" w:right="0"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Style30"/>
        <w:tabs>
          <w:tab w:val="clear" w:pos="531"/>
          <w:tab w:val="left" w:pos="0" w:leader="none"/>
        </w:tabs>
        <w:ind w:left="0" w:right="0"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Style30"/>
        <w:tabs>
          <w:tab w:val="clear" w:pos="531"/>
          <w:tab w:val="left" w:pos="0" w:leader="none"/>
        </w:tabs>
        <w:ind w:left="0" w:right="0" w:hanging="0"/>
        <w:rPr>
          <w:lang w:val="ru-RU"/>
        </w:rPr>
      </w:pPr>
      <w:r>
        <w:rPr>
          <w:lang w:val="ru-RU"/>
        </w:rPr>
        <w:t>3.4.5. Надлежаще исполнять иные принятые на себя обязательства.</w:t>
      </w:r>
    </w:p>
    <w:p>
      <w:pPr>
        <w:pStyle w:val="Style30"/>
        <w:tabs>
          <w:tab w:val="clear" w:pos="531"/>
          <w:tab w:val="left" w:pos="0" w:leader="none"/>
        </w:tabs>
        <w:ind w:left="0" w:right="0" w:hanging="0"/>
        <w:rPr>
          <w:lang w:val="ru-RU"/>
        </w:rPr>
      </w:pPr>
      <w:r>
        <w:rPr>
          <w:lang w:val="ru-RU"/>
        </w:rPr>
      </w:r>
    </w:p>
    <w:p>
      <w:pPr>
        <w:pStyle w:val="Normal"/>
        <w:shd w:fill="FFFFFF" w:val="clear"/>
        <w:tabs>
          <w:tab w:val="clear" w:pos="531"/>
          <w:tab w:val="left" w:pos="0" w:leader="none"/>
          <w:tab w:val="left" w:pos="900" w:leader="none"/>
        </w:tabs>
        <w:jc w:val="center"/>
        <w:rPr>
          <w:b/>
          <w:b/>
        </w:rPr>
      </w:pPr>
      <w:r>
        <w:rPr>
          <w:b/>
        </w:rPr>
        <w:t>4. Сроки и условия поставки Товара</w:t>
      </w:r>
    </w:p>
    <w:p>
      <w:pPr>
        <w:pStyle w:val="Normal"/>
        <w:shd w:fill="FFFFFF" w:val="clear"/>
        <w:tabs>
          <w:tab w:val="clear" w:pos="531"/>
          <w:tab w:val="left" w:pos="0" w:leader="none"/>
          <w:tab w:val="left" w:pos="900" w:leader="none"/>
        </w:tabs>
        <w:jc w:val="both"/>
        <w:rPr/>
      </w:pPr>
      <w:r>
        <w:rPr/>
        <w:t xml:space="preserve">4.1. Поставка товара осуществляется </w:t>
      </w:r>
      <w:r>
        <w:rPr>
          <w:b/>
          <w:bCs/>
        </w:rPr>
        <w:t xml:space="preserve">с даты заключения контракта по </w:t>
      </w:r>
      <w:r>
        <w:rPr>
          <w:rFonts w:eastAsia="Times New Roman" w:cs="Times New Roman"/>
          <w:b/>
          <w:bCs/>
          <w:color w:val="000000"/>
          <w:kern w:val="0"/>
          <w:sz w:val="20"/>
          <w:szCs w:val="20"/>
          <w:lang w:val="ru-RU" w:eastAsia="ru-RU" w:bidi="ar-SA"/>
        </w:rPr>
        <w:t>30.04.2026</w:t>
      </w:r>
      <w:r>
        <w:rPr>
          <w:b/>
          <w:bCs/>
        </w:rPr>
        <w:t xml:space="preserve"> г.</w:t>
      </w:r>
      <w:r>
        <w:rPr/>
        <w:t xml:space="preserve"> </w:t>
      </w:r>
      <w:r>
        <w:rPr>
          <w:highlight w:val="yellow"/>
        </w:rPr>
        <w:t xml:space="preserve"> </w:t>
      </w:r>
    </w:p>
    <w:p>
      <w:pPr>
        <w:pStyle w:val="Normal"/>
        <w:shd w:fill="FFFFFF" w:val="clear"/>
        <w:tabs>
          <w:tab w:val="clear" w:pos="531"/>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fill="FFFFFF" w:val="clear"/>
        <w:tabs>
          <w:tab w:val="clear" w:pos="531"/>
          <w:tab w:val="left" w:pos="0" w:leader="none"/>
          <w:tab w:val="left" w:pos="900" w:leader="none"/>
        </w:tabs>
        <w:jc w:val="both"/>
        <w:rPr/>
      </w:pPr>
      <w:r>
        <w:rPr/>
        <w:t xml:space="preserve">4.3. </w:t>
      </w:r>
      <w:r>
        <w:rPr>
          <w:color w:val="000000"/>
        </w:rPr>
        <w:t>Датой поставки Товара считается дата подписания Заказчиком счет-фактуры (УПД) или товарной накладной.</w:t>
      </w:r>
    </w:p>
    <w:p>
      <w:pPr>
        <w:pStyle w:val="Normal"/>
        <w:jc w:val="both"/>
        <w:rPr>
          <w:color w:val="000000"/>
        </w:rPr>
      </w:pPr>
      <w:r>
        <w:rPr>
          <w:color w:val="000000"/>
        </w:rPr>
        <w:t>4.4. Вместе с Товаром Поставщик передает Заказчику оригиналы следующих документов:</w:t>
      </w:r>
    </w:p>
    <w:p>
      <w:pPr>
        <w:pStyle w:val="Normal"/>
        <w:shd w:fill="FFFFFF" w:val="clear"/>
        <w:tabs>
          <w:tab w:val="clear" w:pos="531"/>
          <w:tab w:val="left" w:pos="0" w:leader="none"/>
          <w:tab w:val="left" w:pos="900" w:leader="none"/>
        </w:tabs>
        <w:jc w:val="both"/>
        <w:rPr/>
      </w:pPr>
      <w:r>
        <w:rPr>
          <w:color w:val="000000"/>
        </w:rPr>
        <w:t> </w:t>
      </w:r>
      <w:r>
        <w:rPr>
          <w:color w:val="000000"/>
        </w:rPr>
        <w:t>- Счет-фактура – 2 экз. или Универсальный передаточный документ (УПД) – 2 экз. (по 1 экз. Заказчику и Поставщику).</w:t>
      </w:r>
    </w:p>
    <w:p>
      <w:pPr>
        <w:pStyle w:val="Style30"/>
        <w:jc w:val="center"/>
        <w:rPr>
          <w:b/>
          <w:b/>
          <w:lang w:val="ru-RU"/>
        </w:rPr>
      </w:pPr>
      <w:r>
        <w:rPr>
          <w:b/>
          <w:lang w:val="ru-RU"/>
        </w:rPr>
      </w:r>
    </w:p>
    <w:p>
      <w:pPr>
        <w:pStyle w:val="Style30"/>
        <w:ind w:left="0" w:right="0" w:hanging="0"/>
        <w:jc w:val="center"/>
        <w:rPr>
          <w:b/>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Style30"/>
        <w:ind w:left="0" w:right="0" w:hanging="0"/>
        <w:jc w:val="center"/>
        <w:rPr>
          <w:b/>
          <w:b/>
          <w:lang w:val="ru-RU"/>
        </w:rPr>
      </w:pPr>
      <w:r>
        <w:rPr>
          <w:b/>
          <w:lang w:val="ru-RU"/>
        </w:rPr>
        <w:t>6. Гарантия качества</w:t>
      </w:r>
    </w:p>
    <w:p>
      <w:pPr>
        <w:pStyle w:val="Normal"/>
        <w:numPr>
          <w:ilvl w:val="0"/>
          <w:numId w:val="0"/>
        </w:numPr>
        <w:ind w:left="0" w:right="0" w:hanging="0"/>
        <w:jc w:val="both"/>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6" w:name="_Hlk177570061"/>
      <w:r>
        <w:rPr/>
        <w:t>Остаточный срок годности товара должен составлять не менее десяти месяцев со дня поставки на склад Заказчика.</w:t>
      </w:r>
      <w:bookmarkEnd w:id="6"/>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Style30"/>
        <w:ind w:left="0" w:right="0"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Style30"/>
        <w:ind w:left="0" w:right="0" w:hanging="0"/>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000,00</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hanging="0"/>
        <w:jc w:val="both"/>
        <w:rPr/>
      </w:pPr>
      <w:r>
        <w:rPr/>
      </w:r>
    </w:p>
    <w:p>
      <w:pPr>
        <w:pStyle w:val="Style30"/>
        <w:ind w:left="0" w:right="0" w:hanging="0"/>
        <w:jc w:val="center"/>
        <w:rPr>
          <w:b/>
          <w:b/>
          <w:lang w:val="ru-RU"/>
        </w:rPr>
      </w:pPr>
      <w:r>
        <w:rPr>
          <w:b/>
          <w:lang w:val="ru-RU"/>
        </w:rPr>
        <w:t>9. Срок действия, изменение и прекращение Контракта</w:t>
      </w:r>
    </w:p>
    <w:p>
      <w:pPr>
        <w:pStyle w:val="ConsPlusNormal1"/>
        <w:widowControl/>
        <w:ind w:left="0" w:right="0" w:hanging="0"/>
        <w:jc w:val="both"/>
        <w:rPr/>
      </w:pPr>
      <w:r>
        <w:rPr>
          <w:rFonts w:cs="Times New Roman" w:ascii="Times New Roman" w:hAnsi="Times New Roman"/>
          <w:sz w:val="20"/>
          <w:szCs w:val="20"/>
        </w:rPr>
        <w:t xml:space="preserve">9.1. Настоящий Контракт вступает в силу с момента его </w:t>
      </w:r>
      <w:r>
        <w:rPr>
          <w:rFonts w:eastAsia="Calibri" w:cs="Times New Roman" w:ascii="Times New Roman" w:hAnsi="Times New Roman"/>
          <w:color w:val="auto"/>
          <w:kern w:val="0"/>
          <w:sz w:val="20"/>
          <w:szCs w:val="20"/>
          <w:lang w:val="ru-RU" w:eastAsia="ru-RU" w:bidi="ar-SA"/>
        </w:rPr>
        <w:t>подписания Сторонами</w:t>
      </w:r>
      <w:r>
        <w:rPr>
          <w:rFonts w:cs="Times New Roman" w:ascii="Times New Roman" w:hAnsi="Times New Roman"/>
          <w:sz w:val="20"/>
          <w:szCs w:val="20"/>
        </w:rPr>
        <w:t xml:space="preserve"> и действует </w:t>
      </w:r>
      <w:r>
        <w:rPr>
          <w:rFonts w:cs="Times New Roman" w:ascii="Times New Roman" w:hAnsi="Times New Roman"/>
          <w:b/>
          <w:bCs/>
          <w:sz w:val="20"/>
          <w:szCs w:val="20"/>
        </w:rPr>
        <w:t xml:space="preserve">до </w:t>
      </w:r>
      <w:r>
        <w:rPr>
          <w:rFonts w:eastAsia="Calibri" w:cs="Times New Roman" w:ascii="Times New Roman" w:hAnsi="Times New Roman"/>
          <w:b/>
          <w:bCs/>
          <w:color w:val="000000"/>
          <w:kern w:val="0"/>
          <w:sz w:val="20"/>
          <w:szCs w:val="20"/>
          <w:lang w:val="ru-RU" w:eastAsia="ru-RU" w:bidi="ar-SA"/>
        </w:rPr>
        <w:t>29.05.2026г</w:t>
      </w:r>
      <w:r>
        <w:rPr>
          <w:rFonts w:cs="Times New Roman" w:ascii="Times New Roman" w:hAnsi="Times New Roman"/>
          <w:b w:val="false"/>
          <w:bCs w:val="false"/>
          <w:sz w:val="20"/>
          <w:szCs w:val="20"/>
        </w:rPr>
        <w:t>,</w:t>
      </w:r>
      <w:r>
        <w:rPr>
          <w:rFonts w:cs="Times New Roman" w:ascii="Times New Roman" w:hAnsi="Times New Roman"/>
          <w:sz w:val="20"/>
          <w:szCs w:val="20"/>
        </w:rPr>
        <w:t xml:space="preserve"> а в части оплаты – до исполнения обязатель</w:t>
      </w:r>
      <w:bookmarkStart w:id="8" w:name="_Hlk177570138"/>
      <w:bookmarkEnd w:id="8"/>
      <w:r>
        <w:rPr>
          <w:rFonts w:cs="Times New Roman" w:ascii="Times New Roman" w:hAnsi="Times New Roman"/>
          <w:sz w:val="20"/>
          <w:szCs w:val="20"/>
        </w:rPr>
        <w:t>ств.</w:t>
      </w:r>
    </w:p>
    <w:p>
      <w:pPr>
        <w:pStyle w:val="ConsPlusNormal1"/>
        <w:ind w:left="0" w:right="0" w:hanging="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left="0" w:right="0" w:hanging="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left="0" w:right="0" w:hanging="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left="0" w:right="0" w:hanging="0"/>
        <w:jc w:val="both"/>
        <w:rPr>
          <w:rFonts w:ascii="Times New Roman" w:hAnsi="Times New Roman" w:cs="Times New Roman"/>
          <w:sz w:val="20"/>
          <w:szCs w:val="20"/>
        </w:rPr>
      </w:pPr>
      <w:r>
        <w:rPr>
          <w:rFonts w:cs="Times New Roman" w:ascii="Times New Roman" w:hAnsi="Times New Roman"/>
          <w:sz w:val="20"/>
          <w:szCs w:val="20"/>
        </w:rPr>
      </w:r>
    </w:p>
    <w:p>
      <w:pPr>
        <w:pStyle w:val="Normal"/>
        <w:shd w:fill="FFFFFF" w:val="clear"/>
        <w:jc w:val="center"/>
        <w:rPr>
          <w:b/>
          <w:b/>
        </w:rPr>
      </w:pPr>
      <w:r>
        <w:rPr>
          <w:b/>
        </w:rPr>
        <w:t>10. Переход права собственности и риск случайной гибели Товара</w:t>
      </w:r>
    </w:p>
    <w:p>
      <w:pPr>
        <w:pStyle w:val="Normal"/>
        <w:shd w:fill="FFFFFF" w:val="clear"/>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fill="FFFFFF" w:val="clear"/>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fill="FFFFFF" w:val="clear"/>
        <w:tabs>
          <w:tab w:val="clear" w:pos="531"/>
          <w:tab w:val="left" w:pos="540" w:leader="none"/>
          <w:tab w:val="left" w:pos="1248" w:leader="none"/>
        </w:tabs>
        <w:jc w:val="both"/>
        <w:rPr/>
      </w:pPr>
      <w:r>
        <w:rPr/>
      </w:r>
    </w:p>
    <w:p>
      <w:pPr>
        <w:pStyle w:val="Normal"/>
        <w:shd w:fill="FFFFFF" w:val="clear"/>
        <w:tabs>
          <w:tab w:val="clear" w:pos="531"/>
          <w:tab w:val="left" w:pos="540" w:leader="none"/>
          <w:tab w:val="left" w:pos="1248" w:leader="none"/>
        </w:tabs>
        <w:jc w:val="center"/>
        <w:rPr>
          <w:b/>
          <w:b/>
        </w:rPr>
      </w:pPr>
      <w:r>
        <w:rPr>
          <w:b/>
        </w:rPr>
        <w:t>11. Противодействие коррупции</w:t>
      </w:r>
    </w:p>
    <w:p>
      <w:pPr>
        <w:pStyle w:val="Normal"/>
        <w:shd w:fill="FFFFFF" w:val="clear"/>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fill="FFFFFF" w:val="clear"/>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fill="FFFFFF" w:val="clear"/>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fill="FFFFFF" w:val="clear"/>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fill="FFFFFF" w:val="clear"/>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fill="FFFFFF" w:val="clear"/>
        <w:tabs>
          <w:tab w:val="clear" w:pos="531"/>
          <w:tab w:val="left" w:pos="540" w:leader="none"/>
          <w:tab w:val="left" w:pos="1248" w:leader="none"/>
        </w:tabs>
        <w:jc w:val="center"/>
        <w:rPr/>
      </w:pPr>
      <w:r>
        <w:rPr/>
      </w:r>
    </w:p>
    <w:p>
      <w:pPr>
        <w:pStyle w:val="Normal"/>
        <w:shd w:fill="FFFFFF" w:val="clear"/>
        <w:tabs>
          <w:tab w:val="clear" w:pos="531"/>
          <w:tab w:val="left" w:pos="540" w:leader="none"/>
          <w:tab w:val="left" w:pos="1248" w:leader="none"/>
        </w:tabs>
        <w:jc w:val="center"/>
        <w:rPr>
          <w:b/>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fill="FFFFFF" w:val="clear"/>
        <w:tabs>
          <w:tab w:val="clear" w:pos="531"/>
          <w:tab w:val="left" w:pos="540" w:leader="none"/>
          <w:tab w:val="left" w:pos="1248" w:leader="none"/>
        </w:tabs>
        <w:jc w:val="both"/>
        <w:rPr/>
      </w:pPr>
      <w:r>
        <w:rPr/>
      </w:r>
    </w:p>
    <w:p>
      <w:pPr>
        <w:pStyle w:val="Style30"/>
        <w:ind w:left="0" w:right="0" w:hanging="0"/>
        <w:jc w:val="center"/>
        <w:rPr>
          <w:b/>
          <w:b/>
          <w:lang w:val="ru-RU"/>
        </w:rPr>
      </w:pPr>
      <w:r>
        <w:rPr>
          <w:b/>
          <w:lang w:val="ru-RU"/>
        </w:rPr>
        <w:t>13. Заключительные условия</w:t>
      </w:r>
    </w:p>
    <w:p>
      <w:pPr>
        <w:pStyle w:val="Normal"/>
        <w:tabs>
          <w:tab w:val="clear" w:pos="531"/>
          <w:tab w:val="left" w:pos="540" w:leader="none"/>
        </w:tabs>
        <w:ind w:left="0" w:right="-142" w:hanging="0"/>
        <w:jc w:val="both"/>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left="0" w:right="-142" w:hanging="0"/>
        <w:jc w:val="both"/>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left="0" w:right="-142" w:hanging="0"/>
        <w:jc w:val="both"/>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left="0" w:right="-142" w:hanging="0"/>
        <w:jc w:val="both"/>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left="0" w:right="-142" w:hanging="0"/>
        <w:jc w:val="both"/>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left="0" w:right="-142" w:hanging="0"/>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left="0" w:right="-142" w:hanging="0"/>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left="0" w:right="-142" w:hanging="0"/>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left="0" w:right="-142" w:hanging="0"/>
        <w:jc w:val="both"/>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left="0" w:right="-142" w:hanging="0"/>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left="0" w:right="-142" w:hanging="0"/>
        <w:jc w:val="both"/>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both"/>
        <w:rPr>
          <w:b/>
          <w:b/>
        </w:rPr>
      </w:pPr>
      <w:r>
        <w:rPr>
          <w:b/>
        </w:rPr>
      </w:r>
    </w:p>
    <w:p>
      <w:pPr>
        <w:pStyle w:val="Normal"/>
        <w:keepNext w:val="true"/>
        <w:spacing w:before="60" w:after="0"/>
        <w:jc w:val="center"/>
        <w:rPr>
          <w:b/>
          <w:b/>
        </w:rPr>
      </w:pPr>
      <w:r>
        <w:rPr>
          <w:b/>
        </w:rPr>
        <w:t>14. Адреса, реквизиты и подписи Сторон</w:t>
      </w:r>
    </w:p>
    <w:tbl>
      <w:tblPr>
        <w:tblW w:w="10456" w:type="dxa"/>
        <w:jc w:val="center"/>
        <w:tblInd w:w="0" w:type="dxa"/>
        <w:tblCellMar>
          <w:top w:w="0" w:type="dxa"/>
          <w:left w:w="108" w:type="dxa"/>
          <w:bottom w:w="0" w:type="dxa"/>
          <w:right w:w="108" w:type="dxa"/>
        </w:tblCellMar>
      </w:tblPr>
      <w:tblGrid>
        <w:gridCol w:w="5733"/>
        <w:gridCol w:w="4723"/>
      </w:tblGrid>
      <w:tr>
        <w:trPr>
          <w:trHeight w:val="7632" w:hRule="atLeast"/>
        </w:trPr>
        <w:tc>
          <w:tcPr>
            <w:tcW w:w="5733" w:type="dxa"/>
            <w:tcBorders/>
          </w:tcPr>
          <w:p>
            <w:pPr>
              <w:pStyle w:val="Normal"/>
              <w:numPr>
                <w:ilvl w:val="0"/>
                <w:numId w:val="0"/>
              </w:numPr>
              <w:snapToGrid w:val="false"/>
              <w:ind w:left="0" w:right="0" w:hanging="0"/>
              <w:jc w:val="both"/>
              <w:rPr>
                <w:b/>
                <w:b/>
                <w:iCs/>
                <w:sz w:val="20"/>
                <w:szCs w:val="20"/>
              </w:rPr>
            </w:pPr>
            <w:r>
              <w:rPr>
                <w:b/>
                <w:iCs/>
                <w:sz w:val="20"/>
                <w:szCs w:val="20"/>
              </w:rPr>
            </w:r>
          </w:p>
          <w:p>
            <w:pPr>
              <w:pStyle w:val="Normal"/>
              <w:widowControl/>
              <w:jc w:val="left"/>
              <w:rPr>
                <w:rFonts w:eastAsia="Calibri"/>
                <w:b/>
                <w:b/>
                <w:bCs/>
                <w:sz w:val="20"/>
                <w:szCs w:val="20"/>
                <w:lang w:eastAsia="en-US"/>
              </w:rPr>
            </w:pPr>
            <w:bookmarkStart w:id="9" w:name="_Hlk179380629"/>
            <w:r>
              <w:rPr>
                <w:rFonts w:eastAsia="Calibri"/>
                <w:b/>
                <w:bCs/>
                <w:sz w:val="20"/>
                <w:szCs w:val="20"/>
                <w:lang w:eastAsia="en-US"/>
              </w:rPr>
              <w:t>Заказчик:</w:t>
            </w:r>
            <w:bookmarkEnd w:id="9"/>
          </w:p>
          <w:p>
            <w:pPr>
              <w:pStyle w:val="Normal"/>
              <w:widowControl/>
              <w:jc w:val="left"/>
              <w:rPr>
                <w:rFonts w:eastAsia="Calibri"/>
                <w:sz w:val="20"/>
                <w:szCs w:val="20"/>
                <w:lang w:eastAsia="en-US"/>
              </w:rPr>
            </w:pPr>
            <w:r>
              <w:rPr>
                <w:rFonts w:eastAsia="Calibri"/>
                <w:sz w:val="20"/>
                <w:szCs w:val="20"/>
                <w:lang w:eastAsia="en-US"/>
              </w:rPr>
              <w:t>Федеральное государственное бюджетное научное учреждение «Научно-исследовательский институт комплексных проблем сердечно-сосудистых заболеваний»                                                                        УФК по Новосибирской области (НИИ КПССЗ л/с 20396Х66880)</w:t>
            </w:r>
          </w:p>
          <w:p>
            <w:pPr>
              <w:pStyle w:val="Normal"/>
              <w:widowControl/>
              <w:jc w:val="left"/>
              <w:rPr>
                <w:rFonts w:eastAsia="Calibri"/>
                <w:sz w:val="20"/>
                <w:szCs w:val="20"/>
                <w:lang w:eastAsia="en-US"/>
              </w:rPr>
            </w:pPr>
            <w:r>
              <w:rPr>
                <w:rFonts w:eastAsia="Calibri"/>
                <w:sz w:val="20"/>
                <w:szCs w:val="20"/>
                <w:lang w:eastAsia="en-US"/>
              </w:rPr>
              <w:t>УФК по Новосибирской области (НИИ КПССЗ л/с 22396Х66880)</w:t>
            </w:r>
          </w:p>
          <w:p>
            <w:pPr>
              <w:pStyle w:val="Normal"/>
              <w:widowControl/>
              <w:jc w:val="left"/>
              <w:rPr>
                <w:rFonts w:eastAsia="Calibri"/>
                <w:sz w:val="20"/>
                <w:szCs w:val="20"/>
                <w:lang w:eastAsia="en-US"/>
              </w:rPr>
            </w:pPr>
            <w:r>
              <w:rPr>
                <w:rFonts w:eastAsia="Calibri"/>
                <w:sz w:val="20"/>
                <w:szCs w:val="20"/>
                <w:lang w:eastAsia="en-US"/>
              </w:rPr>
              <w:t>УФК по Новосибирской области (НИИ КПССЗ л/с 21396Х66880)</w:t>
            </w:r>
          </w:p>
          <w:p>
            <w:pPr>
              <w:pStyle w:val="Normal"/>
              <w:widowControl/>
              <w:jc w:val="left"/>
              <w:rPr>
                <w:rFonts w:eastAsia="Calibri"/>
                <w:sz w:val="20"/>
                <w:szCs w:val="20"/>
                <w:lang w:eastAsia="en-US"/>
              </w:rPr>
            </w:pPr>
            <w:r>
              <w:rPr>
                <w:rFonts w:eastAsia="Calibri"/>
                <w:sz w:val="20"/>
                <w:szCs w:val="20"/>
                <w:lang w:eastAsia="en-US"/>
              </w:rPr>
              <w:t>ИНН 4205012290  КПП 420501001</w:t>
            </w:r>
          </w:p>
          <w:p>
            <w:pPr>
              <w:pStyle w:val="Normal"/>
              <w:widowControl/>
              <w:jc w:val="left"/>
              <w:rPr/>
            </w:pPr>
            <w:r>
              <w:rPr>
                <w:rFonts w:eastAsia="Calibri" w:cs="Times New Roman"/>
                <w:color w:val="auto"/>
                <w:kern w:val="0"/>
                <w:sz w:val="20"/>
                <w:szCs w:val="20"/>
                <w:lang w:val="ru-RU" w:eastAsia="en-US" w:bidi="ar-SA"/>
              </w:rPr>
              <w:t>КС</w:t>
            </w:r>
            <w:r>
              <w:rPr>
                <w:rFonts w:eastAsia="Calibri"/>
                <w:sz w:val="20"/>
                <w:szCs w:val="20"/>
                <w:lang w:eastAsia="en-US"/>
              </w:rPr>
              <w:t xml:space="preserve"> 03214643000000015106</w:t>
            </w:r>
          </w:p>
          <w:p>
            <w:pPr>
              <w:pStyle w:val="Normal"/>
              <w:widowControl/>
              <w:jc w:val="left"/>
              <w:rPr>
                <w:rFonts w:eastAsia="Calibri"/>
                <w:sz w:val="20"/>
                <w:szCs w:val="20"/>
                <w:lang w:eastAsia="en-US"/>
              </w:rPr>
            </w:pPr>
            <w:r>
              <w:rPr>
                <w:rFonts w:eastAsia="Calibri"/>
                <w:sz w:val="20"/>
                <w:szCs w:val="20"/>
                <w:lang w:eastAsia="en-US"/>
              </w:rPr>
              <w:t>ОКЦ № 1 СибГУ Банка России//УФК по Новосибирской области г. Новосибирск</w:t>
            </w:r>
          </w:p>
          <w:p>
            <w:pPr>
              <w:pStyle w:val="Normal"/>
              <w:widowControl/>
              <w:jc w:val="left"/>
              <w:rPr/>
            </w:pPr>
            <w:r>
              <w:rPr>
                <w:rFonts w:eastAsia="Calibri"/>
                <w:sz w:val="20"/>
                <w:szCs w:val="20"/>
                <w:lang w:eastAsia="en-US"/>
              </w:rPr>
              <w:t xml:space="preserve">БИК 015004950                                                                                     </w:t>
            </w:r>
            <w:r>
              <w:rPr>
                <w:rFonts w:eastAsia="Calibri" w:cs="Times New Roman"/>
                <w:color w:val="auto"/>
                <w:kern w:val="0"/>
                <w:sz w:val="20"/>
                <w:szCs w:val="20"/>
                <w:lang w:val="ru-RU" w:eastAsia="en-US" w:bidi="ar-SA"/>
              </w:rPr>
              <w:t>ЕКС</w:t>
            </w:r>
            <w:r>
              <w:rPr>
                <w:rFonts w:eastAsia="Calibri"/>
                <w:sz w:val="20"/>
                <w:szCs w:val="20"/>
                <w:lang w:eastAsia="en-US"/>
              </w:rPr>
              <w:t xml:space="preserve"> 40102810445370000043                                                         КБК 00000000000000000130</w:t>
            </w:r>
          </w:p>
          <w:p>
            <w:pPr>
              <w:pStyle w:val="Normal"/>
              <w:widowControl/>
              <w:jc w:val="left"/>
              <w:rPr>
                <w:rFonts w:eastAsia="Calibri"/>
                <w:sz w:val="20"/>
                <w:szCs w:val="20"/>
                <w:lang w:eastAsia="en-US"/>
              </w:rPr>
            </w:pPr>
            <w:r>
              <w:rPr>
                <w:rFonts w:eastAsia="Calibri"/>
                <w:sz w:val="20"/>
                <w:szCs w:val="20"/>
                <w:lang w:eastAsia="en-US"/>
              </w:rPr>
              <w:t>ОГРН 1034205024479      ОКПО 55608705</w:t>
            </w:r>
          </w:p>
          <w:p>
            <w:pPr>
              <w:pStyle w:val="Normal"/>
              <w:widowControl/>
              <w:jc w:val="left"/>
              <w:rPr>
                <w:rFonts w:eastAsia="Calibri"/>
                <w:sz w:val="20"/>
                <w:szCs w:val="20"/>
                <w:lang w:eastAsia="en-US"/>
              </w:rPr>
            </w:pPr>
            <w:r>
              <w:rPr>
                <w:rFonts w:eastAsia="Calibri"/>
                <w:sz w:val="20"/>
                <w:szCs w:val="20"/>
                <w:lang w:eastAsia="en-US"/>
              </w:rPr>
              <w:t>ОКАТО 32401000000      ОКТМО 32701000</w:t>
            </w:r>
          </w:p>
          <w:p>
            <w:pPr>
              <w:pStyle w:val="Normal"/>
              <w:widowControl/>
              <w:jc w:val="left"/>
              <w:rPr>
                <w:rFonts w:eastAsia="Calibri"/>
                <w:sz w:val="20"/>
                <w:szCs w:val="20"/>
                <w:lang w:eastAsia="en-US"/>
              </w:rPr>
            </w:pPr>
            <w:r>
              <w:rPr>
                <w:rFonts w:eastAsia="Calibri"/>
                <w:sz w:val="20"/>
                <w:szCs w:val="20"/>
                <w:lang w:eastAsia="en-US"/>
              </w:rPr>
              <w:t>ОКОГУ 1330612              ОКФС 12</w:t>
            </w:r>
          </w:p>
          <w:p>
            <w:pPr>
              <w:pStyle w:val="Normal"/>
              <w:widowControl/>
              <w:jc w:val="left"/>
              <w:rPr>
                <w:rFonts w:eastAsia="Calibri"/>
                <w:sz w:val="20"/>
                <w:szCs w:val="20"/>
                <w:lang w:eastAsia="en-US"/>
              </w:rPr>
            </w:pPr>
            <w:r>
              <w:rPr>
                <w:rFonts w:eastAsia="Calibri"/>
                <w:sz w:val="20"/>
                <w:szCs w:val="20"/>
                <w:lang w:eastAsia="en-US"/>
              </w:rPr>
              <w:t>ОКОПФ 75103                 ОКВЭД 72.19</w:t>
            </w:r>
          </w:p>
          <w:p>
            <w:pPr>
              <w:pStyle w:val="Normal"/>
              <w:widowControl/>
              <w:jc w:val="left"/>
              <w:rPr/>
            </w:pPr>
            <w:r>
              <w:rPr>
                <w:sz w:val="20"/>
                <w:szCs w:val="20"/>
                <w:lang w:eastAsia="en-US"/>
              </w:rPr>
              <w:t>Адрес: 650002, г. Кемерово, р-н Рудничный,</w:t>
            </w:r>
            <w:r>
              <w:rPr>
                <w:i/>
                <w:iCs/>
                <w:sz w:val="20"/>
                <w:szCs w:val="20"/>
                <w:lang w:eastAsia="en-US"/>
              </w:rPr>
              <w:t xml:space="preserve"> </w:t>
            </w:r>
            <w:r>
              <w:rPr>
                <w:sz w:val="20"/>
                <w:szCs w:val="20"/>
                <w:lang w:eastAsia="en-US"/>
              </w:rPr>
              <w:t>бульвар имени академика Л.С.Барбараша, стр. 6</w:t>
            </w:r>
          </w:p>
          <w:p>
            <w:pPr>
              <w:pStyle w:val="Normal"/>
              <w:widowControl/>
              <w:jc w:val="both"/>
              <w:rPr>
                <w:rFonts w:eastAsia="Calibri"/>
                <w:sz w:val="20"/>
                <w:szCs w:val="20"/>
                <w:lang w:eastAsia="en-US"/>
              </w:rPr>
            </w:pPr>
            <w:r>
              <w:rPr>
                <w:rFonts w:eastAsia="Calibri"/>
                <w:sz w:val="20"/>
                <w:szCs w:val="20"/>
                <w:lang w:eastAsia="en-US"/>
              </w:rPr>
              <w:t>Тел.: +7 (3842) 64-33-08</w:t>
            </w:r>
          </w:p>
          <w:p>
            <w:pPr>
              <w:pStyle w:val="Normal"/>
              <w:widowControl/>
              <w:jc w:val="both"/>
              <w:rPr>
                <w:rFonts w:eastAsia="Calibri"/>
                <w:sz w:val="20"/>
                <w:szCs w:val="20"/>
                <w:lang w:eastAsia="en-US"/>
              </w:rPr>
            </w:pPr>
            <w:r>
              <w:rPr>
                <w:rFonts w:eastAsia="Calibri"/>
                <w:sz w:val="20"/>
                <w:szCs w:val="20"/>
                <w:lang w:eastAsia="en-US"/>
              </w:rPr>
              <w:t>Эл.почта: reception@kemcardio.ru</w:t>
            </w:r>
          </w:p>
          <w:p>
            <w:pPr>
              <w:pStyle w:val="Normal"/>
              <w:widowControl/>
              <w:jc w:val="both"/>
              <w:rPr>
                <w:rFonts w:eastAsia="Calibri"/>
                <w:sz w:val="20"/>
                <w:szCs w:val="20"/>
                <w:lang w:eastAsia="en-US"/>
              </w:rPr>
            </w:pPr>
            <w:r>
              <w:rPr>
                <w:rFonts w:eastAsia="Calibri"/>
                <w:sz w:val="20"/>
                <w:szCs w:val="20"/>
                <w:lang w:eastAsia="en-US"/>
              </w:rPr>
            </w:r>
          </w:p>
          <w:p>
            <w:pPr>
              <w:pStyle w:val="Normal"/>
              <w:spacing w:lineRule="auto" w:line="240" w:before="0" w:after="0"/>
              <w:contextualSpacing/>
              <w:jc w:val="both"/>
              <w:rPr>
                <w:rFonts w:eastAsia="Times New Roman" w:cs="Times New Roman"/>
                <w:bCs/>
                <w:color w:val="auto"/>
                <w:sz w:val="20"/>
                <w:szCs w:val="20"/>
                <w:lang w:val="ru-RU" w:eastAsia="zh-CN" w:bidi="ar-SA"/>
              </w:rPr>
            </w:pPr>
            <w:r>
              <w:rPr>
                <w:rFonts w:eastAsia="Times New Roman" w:cs="Times New Roman"/>
                <w:bCs/>
                <w:color w:val="auto"/>
                <w:sz w:val="20"/>
                <w:szCs w:val="20"/>
                <w:lang w:val="ru-RU" w:eastAsia="zh-CN" w:bidi="ar-SA"/>
              </w:rPr>
              <w:t>Начальник отдела материально-</w:t>
            </w:r>
          </w:p>
          <w:p>
            <w:pPr>
              <w:pStyle w:val="Normal"/>
              <w:spacing w:lineRule="auto" w:line="240" w:before="0" w:after="0"/>
              <w:contextualSpacing/>
              <w:jc w:val="both"/>
              <w:rPr>
                <w:rFonts w:eastAsia="Times New Roman" w:cs="Times New Roman"/>
                <w:bCs/>
                <w:color w:val="auto"/>
                <w:sz w:val="20"/>
                <w:szCs w:val="20"/>
                <w:lang w:val="ru-RU" w:eastAsia="zh-CN" w:bidi="ar-SA"/>
              </w:rPr>
            </w:pPr>
            <w:r>
              <w:rPr>
                <w:rFonts w:eastAsia="Times New Roman" w:cs="Times New Roman"/>
                <w:bCs/>
                <w:color w:val="auto"/>
                <w:sz w:val="20"/>
                <w:szCs w:val="20"/>
                <w:lang w:val="ru-RU" w:eastAsia="zh-CN" w:bidi="ar-SA"/>
              </w:rPr>
              <w:t>технического снабжения</w:t>
            </w:r>
          </w:p>
          <w:p>
            <w:pPr>
              <w:pStyle w:val="Normal"/>
              <w:spacing w:lineRule="auto" w:line="240" w:before="0" w:after="0"/>
              <w:contextualSpacing/>
              <w:jc w:val="both"/>
              <w:rPr>
                <w:rFonts w:eastAsia="Times New Roman" w:cs="Times New Roman"/>
                <w:bCs/>
                <w:color w:val="auto"/>
                <w:sz w:val="20"/>
                <w:szCs w:val="20"/>
                <w:lang w:val="ru-RU" w:eastAsia="zh-CN" w:bidi="ar-SA"/>
              </w:rPr>
            </w:pPr>
            <w:r>
              <w:rPr>
                <w:rFonts w:eastAsia="Times New Roman" w:cs="Times New Roman"/>
                <w:bCs/>
                <w:color w:val="auto"/>
                <w:sz w:val="20"/>
                <w:szCs w:val="20"/>
                <w:lang w:val="ru-RU" w:eastAsia="zh-CN" w:bidi="ar-SA"/>
              </w:rPr>
            </w:r>
          </w:p>
          <w:p>
            <w:pPr>
              <w:pStyle w:val="Normal"/>
              <w:spacing w:lineRule="auto" w:line="240" w:before="0" w:after="0"/>
              <w:contextualSpacing/>
              <w:jc w:val="both"/>
              <w:rPr>
                <w:rFonts w:eastAsia="Times New Roman" w:cs="Times New Roman"/>
                <w:bCs/>
                <w:color w:val="auto"/>
                <w:sz w:val="20"/>
                <w:szCs w:val="20"/>
                <w:lang w:val="ru-RU" w:eastAsia="zh-CN" w:bidi="ar-SA"/>
              </w:rPr>
            </w:pPr>
            <w:r>
              <w:rPr>
                <w:rFonts w:eastAsia="Times New Roman" w:cs="Times New Roman"/>
                <w:bCs/>
                <w:color w:val="auto"/>
                <w:sz w:val="20"/>
                <w:szCs w:val="20"/>
                <w:lang w:val="ru-RU" w:eastAsia="zh-CN" w:bidi="ar-SA"/>
              </w:rPr>
              <w:t>____________  А.В. Семенков</w:t>
            </w:r>
          </w:p>
          <w:p>
            <w:pPr>
              <w:pStyle w:val="Normal"/>
              <w:widowControl/>
              <w:numPr>
                <w:ilvl w:val="0"/>
                <w:numId w:val="0"/>
              </w:numPr>
              <w:spacing w:lineRule="auto" w:line="240" w:before="0" w:after="0"/>
              <w:ind w:left="0" w:right="0" w:hanging="0"/>
              <w:contextualSpacing/>
              <w:jc w:val="both"/>
              <w:rPr>
                <w:rFonts w:eastAsia="Times New Roman" w:cs="Times New Roman"/>
                <w:bCs/>
                <w:color w:val="auto"/>
                <w:sz w:val="20"/>
                <w:szCs w:val="20"/>
                <w:lang w:val="ru-RU" w:eastAsia="zh-CN" w:bidi="ar-SA"/>
              </w:rPr>
            </w:pPr>
            <w:r>
              <w:rPr>
                <w:rFonts w:eastAsia="Times New Roman" w:cs="Times New Roman"/>
                <w:bCs/>
                <w:color w:val="auto"/>
                <w:sz w:val="20"/>
                <w:szCs w:val="20"/>
                <w:lang w:val="ru-RU" w:eastAsia="zh-CN" w:bidi="ar-SA"/>
              </w:rPr>
              <w:t>м.п.</w:t>
            </w:r>
          </w:p>
        </w:tc>
        <w:tc>
          <w:tcPr>
            <w:tcW w:w="4723" w:type="dxa"/>
            <w:tcBorders/>
          </w:tcPr>
          <w:p>
            <w:pPr>
              <w:pStyle w:val="Normal"/>
              <w:snapToGrid w:val="false"/>
              <w:jc w:val="both"/>
              <w:rPr/>
            </w:pPr>
            <w:r>
              <w:rPr/>
            </w:r>
          </w:p>
          <w:p>
            <w:pPr>
              <w:pStyle w:val="Normal"/>
              <w:jc w:val="both"/>
              <w:rPr>
                <w:b/>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default" r:id="rId2"/>
          <w:type w:val="nextPage"/>
          <w:pgSz w:w="11906" w:h="16838"/>
          <w:pgMar w:left="851" w:right="567" w:header="0" w:top="709" w:footer="0" w:bottom="1134" w:gutter="0"/>
          <w:pgNumType w:fmt="decimal"/>
          <w:formProt w:val="false"/>
          <w:textDirection w:val="lrTb"/>
          <w:docGrid w:type="default" w:linePitch="360" w:charSpace="16384"/>
        </w:sectPr>
      </w:pPr>
    </w:p>
    <w:p>
      <w:pPr>
        <w:pStyle w:val="Normal"/>
        <w:spacing w:before="0" w:after="60"/>
        <w:jc w:val="right"/>
        <w:rPr/>
      </w:pPr>
      <w:r>
        <w:rPr/>
        <w:t xml:space="preserve">Приложение № 1 </w:t>
      </w:r>
    </w:p>
    <w:p>
      <w:pPr>
        <w:pStyle w:val="Normal"/>
        <w:spacing w:before="0" w:after="60"/>
        <w:jc w:val="right"/>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pPr>
      <w:r>
        <w:rPr>
          <w:rFonts w:eastAsia="Times New Roman" w:cs="Times New Roman"/>
        </w:rPr>
        <w:t xml:space="preserve">                                                                                                                                </w:t>
      </w:r>
      <w:r>
        <w:rPr>
          <w:rFonts w:eastAsia="Calibri"/>
          <w:lang w:eastAsia="en-US"/>
        </w:rPr>
        <w:t>«__» ______ 202</w:t>
      </w:r>
      <w:r>
        <w:rPr>
          <w:rFonts w:eastAsia="Calibri" w:cs="Times New Roman"/>
          <w:color w:val="auto"/>
          <w:kern w:val="0"/>
          <w:sz w:val="20"/>
          <w:szCs w:val="20"/>
          <w:lang w:val="ru-RU" w:eastAsia="en-US" w:bidi="ar-SA"/>
        </w:rPr>
        <w:t>6</w:t>
      </w:r>
      <w:r>
        <w:rPr>
          <w:rFonts w:eastAsia="Calibri"/>
          <w:lang w:eastAsia="en-US"/>
        </w:rPr>
        <w:t>г.</w:t>
      </w:r>
      <w:bookmarkStart w:id="10" w:name="_Hlk180496427"/>
      <w:bookmarkEnd w:id="10"/>
    </w:p>
    <w:p>
      <w:pPr>
        <w:pStyle w:val="Normal"/>
        <w:spacing w:before="0" w:after="60"/>
        <w:jc w:val="center"/>
        <w:rPr>
          <w:b/>
          <w:b/>
          <w:bCs/>
          <w:sz w:val="24"/>
          <w:szCs w:val="24"/>
        </w:rPr>
      </w:pPr>
      <w:r>
        <w:rPr>
          <w:b/>
          <w:bCs/>
          <w:sz w:val="24"/>
          <w:szCs w:val="24"/>
        </w:rPr>
      </w:r>
    </w:p>
    <w:p>
      <w:pPr>
        <w:pStyle w:val="Normal"/>
        <w:spacing w:before="0" w:after="60"/>
        <w:jc w:val="center"/>
        <w:rPr>
          <w:b/>
          <w:b/>
          <w:bCs/>
        </w:rPr>
      </w:pPr>
      <w:r>
        <w:rPr>
          <w:b/>
          <w:bCs/>
        </w:rPr>
        <w:t>Спецификация</w:t>
      </w:r>
    </w:p>
    <w:tbl>
      <w:tblPr>
        <w:tblW w:w="15751" w:type="dxa"/>
        <w:jc w:val="left"/>
        <w:tblInd w:w="55" w:type="dxa"/>
        <w:tblCellMar>
          <w:top w:w="55" w:type="dxa"/>
          <w:left w:w="55" w:type="dxa"/>
          <w:bottom w:w="55" w:type="dxa"/>
          <w:right w:w="55" w:type="dxa"/>
        </w:tblCellMar>
      </w:tblPr>
      <w:tblGrid>
        <w:gridCol w:w="599"/>
        <w:gridCol w:w="5777"/>
        <w:gridCol w:w="401"/>
        <w:gridCol w:w="1135"/>
        <w:gridCol w:w="22"/>
        <w:gridCol w:w="210"/>
        <w:gridCol w:w="1067"/>
        <w:gridCol w:w="1559"/>
        <w:gridCol w:w="1416"/>
        <w:gridCol w:w="1565"/>
        <w:gridCol w:w="1920"/>
        <w:gridCol w:w="40"/>
        <w:gridCol w:w="40"/>
      </w:tblGrid>
      <w:tr>
        <w:trPr>
          <w:trHeight w:val="572" w:hRule="atLeast"/>
        </w:trPr>
        <w:tc>
          <w:tcPr>
            <w:tcW w:w="599"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7"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8"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7"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59"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6" w:type="dxa"/>
            <w:tcBorders>
              <w:top w:val="single" w:sz="4" w:space="0" w:color="000000"/>
              <w:left w:val="single" w:sz="4" w:space="0" w:color="000000"/>
              <w:bottom w:val="single" w:sz="4" w:space="0" w:color="000000"/>
            </w:tcBorders>
            <w:vAlign w:val="center"/>
          </w:tcPr>
          <w:p>
            <w:pPr>
              <w:pStyle w:val="Normal"/>
              <w:widowControl w:val="false"/>
              <w:shd w:fill="FFFFFF" w:val="clear"/>
              <w:jc w:val="center"/>
              <w:rPr>
                <w:color w:val="000000"/>
                <w:spacing w:val="-11"/>
              </w:rPr>
            </w:pPr>
            <w:r>
              <w:rPr>
                <w:color w:val="000000"/>
                <w:spacing w:val="-11"/>
              </w:rPr>
              <w:t xml:space="preserve">Стоимость единицы, рублей </w:t>
            </w:r>
          </w:p>
        </w:tc>
        <w:tc>
          <w:tcPr>
            <w:tcW w:w="1565" w:type="dxa"/>
            <w:tcBorders>
              <w:top w:val="single" w:sz="4" w:space="0" w:color="000000"/>
              <w:left w:val="single" w:sz="4" w:space="0" w:color="000000"/>
              <w:bottom w:val="single" w:sz="4" w:space="0" w:color="000000"/>
            </w:tcBorders>
            <w:vAlign w:val="center"/>
          </w:tcPr>
          <w:p>
            <w:pPr>
              <w:pStyle w:val="Normal"/>
              <w:widowControl w:val="false"/>
              <w:shd w:fill="FFFFFF" w:val="clear"/>
              <w:jc w:val="center"/>
              <w:rPr>
                <w:color w:val="000000"/>
                <w:spacing w:val="-11"/>
              </w:rPr>
            </w:pPr>
            <w:r>
              <w:rPr>
                <w:color w:val="000000"/>
                <w:spacing w:val="-11"/>
              </w:rPr>
              <w:t>В том числе НДС, рублей</w:t>
            </w:r>
          </w:p>
        </w:tc>
        <w:tc>
          <w:tcPr>
            <w:tcW w:w="200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fill="FFFFFF" w:val="clear"/>
              <w:jc w:val="center"/>
              <w:rPr>
                <w:color w:val="000000"/>
                <w:spacing w:val="-11"/>
              </w:rPr>
            </w:pPr>
            <w:r>
              <w:rPr>
                <w:color w:val="000000"/>
                <w:spacing w:val="-11"/>
              </w:rPr>
              <w:t>Общая стоимость с НДС, рублей</w:t>
            </w:r>
          </w:p>
        </w:tc>
      </w:tr>
      <w:tr>
        <w:trPr>
          <w:trHeight w:val="405" w:hRule="atLeast"/>
        </w:trPr>
        <w:tc>
          <w:tcPr>
            <w:tcW w:w="599" w:type="dxa"/>
            <w:tcBorders>
              <w:left w:val="single" w:sz="4" w:space="0" w:color="000000"/>
              <w:bottom w:val="single" w:sz="4" w:space="0" w:color="000000"/>
            </w:tcBorders>
            <w:vAlign w:val="center"/>
          </w:tcPr>
          <w:p>
            <w:pPr>
              <w:pStyle w:val="Normal"/>
              <w:jc w:val="center"/>
              <w:rPr/>
            </w:pPr>
            <w:r>
              <w:rPr/>
              <w:t>1</w:t>
            </w:r>
          </w:p>
        </w:tc>
        <w:tc>
          <w:tcPr>
            <w:tcW w:w="5777" w:type="dxa"/>
            <w:tcBorders>
              <w:left w:val="single" w:sz="4" w:space="0" w:color="000000"/>
              <w:bottom w:val="single" w:sz="4" w:space="0" w:color="000000"/>
            </w:tcBorders>
          </w:tcPr>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Телевизор</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Технические характеристики:</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Тип экрана - Жидкокристаллический;</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Разрешение экрана - 4K UHD;</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Диагональ экрана - ≥ 43 и &lt; 45 Дюймов (25,4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Класс энергетической эффективности - не ниже А;</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Наличие Smart TV - Да;</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Частота обновления экрана - не менее 60 Герц;</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Наличие Wi-Fi - Да;</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Мощность звука - ≥ 20 и &lt; 30 Ватт;</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Угол обзора - &gt; 170 град.;</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Функции и возможности - Bluetooth, Airplay, Miracast;</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Цифровые тюнеры - DVB-C, DVB-S, DVB-S2, DVB-T2;</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Разъемы - Выход на наушники, Коаксиальный, Композитный, HDMI, LAN, mini-Jack (3.5mm), USB;</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Стандарт крепления - 200x200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Объем оперативной памяти - ≥ 2 Гигабайт;</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Объем памяти встроенного накопителя - ≥ 8 Гигабайт;</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Тип подсветки экрана - Direct LED;</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Операционная система - Салют ТВ;</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Толщина телевизора - ≤ 100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ОКПД2  26.40.20.122</w:t>
            </w:r>
          </w:p>
        </w:tc>
        <w:tc>
          <w:tcPr>
            <w:tcW w:w="1558" w:type="dxa"/>
            <w:gridSpan w:val="3"/>
            <w:tcBorders>
              <w:left w:val="single" w:sz="4" w:space="0" w:color="000000"/>
              <w:bottom w:val="single" w:sz="4" w:space="0" w:color="000000"/>
            </w:tcBorders>
          </w:tcPr>
          <w:p>
            <w:pPr>
              <w:pStyle w:val="Normal"/>
              <w:snapToGrid w:val="false"/>
              <w:jc w:val="center"/>
              <w:rPr>
                <w:lang w:val="en-US"/>
              </w:rPr>
            </w:pPr>
            <w:r>
              <w:rPr>
                <w:lang w:val="en-US"/>
              </w:rPr>
              <w:t>Россия или страны ЕАЭС</w:t>
            </w:r>
          </w:p>
        </w:tc>
        <w:tc>
          <w:tcPr>
            <w:tcW w:w="1277" w:type="dxa"/>
            <w:gridSpan w:val="2"/>
            <w:tcBorders>
              <w:left w:val="single" w:sz="4" w:space="0" w:color="000000"/>
              <w:bottom w:val="single" w:sz="4" w:space="0" w:color="000000"/>
            </w:tcBorders>
          </w:tcPr>
          <w:p>
            <w:pPr>
              <w:pStyle w:val="Normal"/>
              <w:jc w:val="center"/>
              <w:rPr>
                <w:rFonts w:eastAsia="Times New Roman" w:cs="Times New Roman"/>
                <w:color w:val="000000"/>
                <w:kern w:val="0"/>
                <w:sz w:val="20"/>
                <w:szCs w:val="20"/>
                <w:lang w:val="en-US" w:eastAsia="ru-RU" w:bidi="ar-SA"/>
              </w:rPr>
            </w:pPr>
            <w:r>
              <w:rPr>
                <w:rFonts w:eastAsia="Times New Roman" w:cs="Times New Roman"/>
                <w:color w:val="000000"/>
                <w:kern w:val="0"/>
                <w:sz w:val="20"/>
                <w:szCs w:val="20"/>
                <w:lang w:val="en-US" w:eastAsia="ru-RU" w:bidi="ar-SA"/>
              </w:rPr>
              <w:t>2</w:t>
            </w:r>
          </w:p>
        </w:tc>
        <w:tc>
          <w:tcPr>
            <w:tcW w:w="1559" w:type="dxa"/>
            <w:tcBorders>
              <w:left w:val="single" w:sz="4" w:space="0" w:color="000000"/>
              <w:bottom w:val="single" w:sz="4" w:space="0" w:color="000000"/>
            </w:tcBorders>
          </w:tcPr>
          <w:p>
            <w:pPr>
              <w:pStyle w:val="Normal"/>
              <w:jc w:val="center"/>
              <w:rPr>
                <w:rFonts w:eastAsia="Times New Roman" w:cs="Times New Roman"/>
                <w:color w:val="000000"/>
                <w:kern w:val="0"/>
                <w:sz w:val="20"/>
                <w:szCs w:val="20"/>
                <w:lang w:val="en-US" w:eastAsia="ru-RU" w:bidi="ar-SA"/>
              </w:rPr>
            </w:pPr>
            <w:r>
              <w:rPr>
                <w:rFonts w:eastAsia="Times New Roman" w:cs="Times New Roman"/>
                <w:color w:val="000000"/>
                <w:kern w:val="0"/>
                <w:sz w:val="20"/>
                <w:szCs w:val="20"/>
                <w:lang w:val="en-US" w:eastAsia="ru-RU" w:bidi="ar-SA"/>
              </w:rPr>
              <w:t>шт</w:t>
            </w:r>
          </w:p>
        </w:tc>
        <w:tc>
          <w:tcPr>
            <w:tcW w:w="1416" w:type="dxa"/>
            <w:tcBorders>
              <w:left w:val="single" w:sz="4" w:space="0" w:color="000000"/>
              <w:bottom w:val="single" w:sz="4" w:space="0" w:color="000000"/>
            </w:tcBorders>
            <w:vAlign w:val="center"/>
          </w:tcPr>
          <w:p>
            <w:pPr>
              <w:pStyle w:val="Normal"/>
              <w:snapToGrid w:val="false"/>
              <w:jc w:val="center"/>
              <w:rPr/>
            </w:pPr>
            <w:r>
              <w:rPr/>
            </w:r>
          </w:p>
        </w:tc>
        <w:tc>
          <w:tcPr>
            <w:tcW w:w="1565" w:type="dxa"/>
            <w:tcBorders>
              <w:left w:val="single" w:sz="4" w:space="0" w:color="000000"/>
              <w:bottom w:val="single" w:sz="4" w:space="0" w:color="000000"/>
            </w:tcBorders>
            <w:vAlign w:val="center"/>
          </w:tcPr>
          <w:p>
            <w:pPr>
              <w:pStyle w:val="Normal"/>
              <w:snapToGrid w:val="false"/>
              <w:spacing w:lineRule="atLeast" w:line="57"/>
              <w:jc w:val="center"/>
              <w:rPr/>
            </w:pPr>
            <w:r>
              <w:rPr/>
            </w:r>
          </w:p>
        </w:tc>
        <w:tc>
          <w:tcPr>
            <w:tcW w:w="2000" w:type="dxa"/>
            <w:gridSpan w:val="3"/>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
                <w:bCs/>
              </w:rPr>
            </w:pPr>
            <w:r>
              <w:rPr>
                <w:b/>
                <w:bCs/>
              </w:rPr>
            </w:r>
          </w:p>
        </w:tc>
      </w:tr>
      <w:tr>
        <w:trPr>
          <w:trHeight w:val="405" w:hRule="atLeast"/>
        </w:trPr>
        <w:tc>
          <w:tcPr>
            <w:tcW w:w="599" w:type="dxa"/>
            <w:tcBorders>
              <w:left w:val="single" w:sz="4" w:space="0" w:color="000000"/>
              <w:bottom w:val="single" w:sz="4" w:space="0" w:color="000000"/>
            </w:tcBorders>
            <w:vAlign w:val="center"/>
          </w:tcPr>
          <w:p>
            <w:pPr>
              <w:pStyle w:val="Normal"/>
              <w:jc w:val="center"/>
              <w:rPr>
                <w:rFonts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2</w:t>
            </w:r>
          </w:p>
        </w:tc>
        <w:tc>
          <w:tcPr>
            <w:tcW w:w="5777" w:type="dxa"/>
            <w:tcBorders>
              <w:left w:val="single" w:sz="4" w:space="0" w:color="000000"/>
              <w:bottom w:val="single" w:sz="4" w:space="0" w:color="000000"/>
            </w:tcBorders>
          </w:tcPr>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Телевизор</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Технические характеристики:</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Тип экрана - Жидкокристаллический;</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Разрешение экрана - 1080p Full HD;</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Диагональ экрана - ≥ 30 и &lt; 35 Дюймов (25,4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Класс энергетической эффективности - не ниже А;</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Наличие Smart TV - Да;</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Частота обновления экрана - не менее 60 Герц;</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Наличие Wi-Fi - Да;</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Мощность звука - ≥ 10 и &lt; 20 Ватт;</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Угол обзора - &gt; 170 град.;</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Функции и возможности - Bluetooth, Airplay;</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Цифровые тюнеры - DVB-C, DVB-S, DVB-S2, DVB-T2;</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Разъемы - Выход на наушники, Коаксиальный, оптический, HDMI, LAN, mini-Jack (3.5mm), USB;</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Стандарт крепления - 100x100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Объем оперативной памяти - ≥ 1,5 Гигабайт;</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Объем памяти встроенного накопителя - ≥ 8 Гигабайт;</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Тип подсветки экрана - Direct LED;</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Операционная система - Салют ТВ;</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Толщина телевизора - ≤ 100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ОКПД2  26.40.20.122</w:t>
            </w:r>
          </w:p>
        </w:tc>
        <w:tc>
          <w:tcPr>
            <w:tcW w:w="1558" w:type="dxa"/>
            <w:gridSpan w:val="3"/>
            <w:tcBorders>
              <w:left w:val="single" w:sz="4" w:space="0" w:color="000000"/>
              <w:bottom w:val="single" w:sz="4" w:space="0" w:color="000000"/>
            </w:tcBorders>
          </w:tcPr>
          <w:p>
            <w:pPr>
              <w:pStyle w:val="Normal"/>
              <w:snapToGrid w:val="false"/>
              <w:jc w:val="center"/>
              <w:rPr>
                <w:lang w:val="en-US"/>
              </w:rPr>
            </w:pPr>
            <w:r>
              <w:rPr>
                <w:lang w:val="en-US"/>
              </w:rPr>
              <w:t>Россия или страны ЕАЭС</w:t>
            </w:r>
          </w:p>
        </w:tc>
        <w:tc>
          <w:tcPr>
            <w:tcW w:w="1277" w:type="dxa"/>
            <w:gridSpan w:val="2"/>
            <w:tcBorders>
              <w:left w:val="single" w:sz="4" w:space="0" w:color="000000"/>
              <w:bottom w:val="single" w:sz="4" w:space="0" w:color="000000"/>
            </w:tcBorders>
          </w:tcPr>
          <w:p>
            <w:pPr>
              <w:pStyle w:val="Normal"/>
              <w:jc w:val="center"/>
              <w:rPr>
                <w:rFonts w:eastAsia="Times New Roman" w:cs="Times New Roman"/>
                <w:color w:val="000000"/>
                <w:kern w:val="0"/>
                <w:sz w:val="20"/>
                <w:szCs w:val="20"/>
                <w:lang w:val="en-US" w:eastAsia="ru-RU" w:bidi="ar-SA"/>
              </w:rPr>
            </w:pPr>
            <w:r>
              <w:rPr>
                <w:rFonts w:eastAsia="Times New Roman" w:cs="Times New Roman"/>
                <w:color w:val="000000"/>
                <w:kern w:val="0"/>
                <w:sz w:val="20"/>
                <w:szCs w:val="20"/>
                <w:lang w:val="en-US" w:eastAsia="ru-RU" w:bidi="ar-SA"/>
              </w:rPr>
              <w:t>4</w:t>
            </w:r>
          </w:p>
        </w:tc>
        <w:tc>
          <w:tcPr>
            <w:tcW w:w="1559" w:type="dxa"/>
            <w:tcBorders>
              <w:left w:val="single" w:sz="4" w:space="0" w:color="000000"/>
              <w:bottom w:val="single" w:sz="4" w:space="0" w:color="000000"/>
            </w:tcBorders>
          </w:tcPr>
          <w:p>
            <w:pPr>
              <w:pStyle w:val="Normal"/>
              <w:jc w:val="center"/>
              <w:rPr>
                <w:rFonts w:eastAsia="Times New Roman" w:cs="Times New Roman"/>
                <w:color w:val="000000"/>
                <w:kern w:val="0"/>
                <w:sz w:val="20"/>
                <w:szCs w:val="20"/>
                <w:lang w:val="en-US" w:eastAsia="ru-RU" w:bidi="ar-SA"/>
              </w:rPr>
            </w:pPr>
            <w:r>
              <w:rPr>
                <w:rFonts w:eastAsia="Times New Roman" w:cs="Times New Roman"/>
                <w:color w:val="000000"/>
                <w:kern w:val="0"/>
                <w:sz w:val="20"/>
                <w:szCs w:val="20"/>
                <w:lang w:val="en-US" w:eastAsia="ru-RU" w:bidi="ar-SA"/>
              </w:rPr>
              <w:t>шт</w:t>
            </w:r>
          </w:p>
        </w:tc>
        <w:tc>
          <w:tcPr>
            <w:tcW w:w="1416" w:type="dxa"/>
            <w:tcBorders>
              <w:left w:val="single" w:sz="4" w:space="0" w:color="000000"/>
              <w:bottom w:val="single" w:sz="4" w:space="0" w:color="000000"/>
            </w:tcBorders>
            <w:vAlign w:val="center"/>
          </w:tcPr>
          <w:p>
            <w:pPr>
              <w:pStyle w:val="Normal"/>
              <w:snapToGrid w:val="false"/>
              <w:jc w:val="center"/>
              <w:rPr/>
            </w:pPr>
            <w:r>
              <w:rPr/>
            </w:r>
          </w:p>
        </w:tc>
        <w:tc>
          <w:tcPr>
            <w:tcW w:w="1565" w:type="dxa"/>
            <w:tcBorders>
              <w:left w:val="single" w:sz="4" w:space="0" w:color="000000"/>
              <w:bottom w:val="single" w:sz="4" w:space="0" w:color="000000"/>
            </w:tcBorders>
            <w:vAlign w:val="center"/>
          </w:tcPr>
          <w:p>
            <w:pPr>
              <w:pStyle w:val="Normal"/>
              <w:snapToGrid w:val="false"/>
              <w:spacing w:lineRule="atLeast" w:line="57"/>
              <w:jc w:val="center"/>
              <w:rPr/>
            </w:pPr>
            <w:r>
              <w:rPr/>
            </w:r>
          </w:p>
        </w:tc>
        <w:tc>
          <w:tcPr>
            <w:tcW w:w="2000" w:type="dxa"/>
            <w:gridSpan w:val="3"/>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
                <w:bCs/>
              </w:rPr>
            </w:pPr>
            <w:r>
              <w:rPr>
                <w:b/>
                <w:bCs/>
              </w:rPr>
            </w:r>
          </w:p>
        </w:tc>
      </w:tr>
      <w:tr>
        <w:trPr>
          <w:trHeight w:val="405" w:hRule="atLeast"/>
        </w:trPr>
        <w:tc>
          <w:tcPr>
            <w:tcW w:w="599" w:type="dxa"/>
            <w:tcBorders>
              <w:left w:val="single" w:sz="4" w:space="0" w:color="000000"/>
              <w:bottom w:val="single" w:sz="4" w:space="0" w:color="000000"/>
            </w:tcBorders>
            <w:vAlign w:val="center"/>
          </w:tcPr>
          <w:p>
            <w:pPr>
              <w:pStyle w:val="Normal"/>
              <w:jc w:val="center"/>
              <w:rPr>
                <w:rFonts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3</w:t>
            </w:r>
          </w:p>
        </w:tc>
        <w:tc>
          <w:tcPr>
            <w:tcW w:w="5777" w:type="dxa"/>
            <w:tcBorders>
              <w:left w:val="single" w:sz="4" w:space="0" w:color="000000"/>
              <w:bottom w:val="single" w:sz="4" w:space="0" w:color="000000"/>
            </w:tcBorders>
          </w:tcPr>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Кронштейн для настенного крепления телевизора</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Технические характеристики:</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Место крепления кронштейна - К стене;</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Способ регулировки - Наклон и поворот;</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Минимальная диагональ экрана - Не более 17 Дюймов (25,4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Максимальная диагональ экрана - Не менее 43 Дюймов (25,4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Максимальная нагрузка - Не менее 30кг;</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Размер VESA -100 x 100 мм, 200 x 200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Угол поворота ответной части - Не менее 180 град;</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Угол наклона вверх - Не менее 5 град;</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Угол наклона вниз - Не менее 8 град;</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Регулировка расстояния до стены - Да;</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Минимальное расстояние от стены - Не более 50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Максимальное расстояние от стены - Не менее 500 мм;</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w:t>
            </w:r>
            <w:r>
              <w:rPr>
                <w:rFonts w:eastAsia="Times New Roman" w:cs="Times New Roman"/>
                <w:color w:val="000000"/>
                <w:kern w:val="0"/>
                <w:sz w:val="20"/>
                <w:szCs w:val="20"/>
                <w:lang w:val="ru-RU" w:eastAsia="ru-RU" w:bidi="ar-SA"/>
              </w:rPr>
              <w:t xml:space="preserve"> </w:t>
            </w:r>
            <w:r>
              <w:rPr>
                <w:rFonts w:eastAsia="Times New Roman" w:cs="Times New Roman"/>
                <w:color w:val="000000"/>
                <w:kern w:val="0"/>
                <w:sz w:val="20"/>
                <w:szCs w:val="20"/>
                <w:lang w:val="ru-RU" w:eastAsia="ru-RU" w:bidi="ar-SA"/>
              </w:rPr>
              <w:t>Количество колен - Не менее 2шт.</w:t>
            </w:r>
          </w:p>
          <w:p>
            <w:pPr>
              <w:pStyle w:val="Normal"/>
              <w:widowControl w:val="false"/>
              <w:snapToGrid w:val="false"/>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p>
            <w:pPr>
              <w:pStyle w:val="Normal"/>
              <w:widowControl w:val="false"/>
              <w:snapToGrid w:val="false"/>
              <w:rPr/>
            </w:pPr>
            <w:r>
              <w:rPr>
                <w:rFonts w:eastAsia="Times New Roman" w:cs="Times New Roman"/>
                <w:color w:val="000000"/>
                <w:kern w:val="0"/>
                <w:sz w:val="20"/>
                <w:szCs w:val="20"/>
                <w:lang w:val="ru-RU" w:eastAsia="ru-RU" w:bidi="ar-SA"/>
              </w:rPr>
              <w:t>ОКПД2  26.40.20.122</w:t>
            </w:r>
          </w:p>
        </w:tc>
        <w:tc>
          <w:tcPr>
            <w:tcW w:w="1558"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7" w:type="dxa"/>
            <w:gridSpan w:val="2"/>
            <w:tcBorders>
              <w:left w:val="single" w:sz="4" w:space="0" w:color="000000"/>
              <w:bottom w:val="single" w:sz="4" w:space="0" w:color="000000"/>
            </w:tcBorders>
          </w:tcPr>
          <w:p>
            <w:pPr>
              <w:pStyle w:val="Normal"/>
              <w:jc w:val="center"/>
              <w:rPr>
                <w:rFonts w:eastAsia="Times New Roman" w:cs="Times New Roman"/>
                <w:color w:val="000000"/>
                <w:kern w:val="0"/>
                <w:sz w:val="20"/>
                <w:szCs w:val="20"/>
                <w:lang w:val="en-US" w:eastAsia="ru-RU" w:bidi="ar-SA"/>
              </w:rPr>
            </w:pPr>
            <w:r>
              <w:rPr>
                <w:rFonts w:eastAsia="Times New Roman" w:cs="Times New Roman"/>
                <w:color w:val="000000"/>
                <w:kern w:val="0"/>
                <w:sz w:val="20"/>
                <w:szCs w:val="20"/>
                <w:lang w:val="en-US" w:eastAsia="ru-RU" w:bidi="ar-SA"/>
              </w:rPr>
              <w:t>6</w:t>
            </w:r>
          </w:p>
        </w:tc>
        <w:tc>
          <w:tcPr>
            <w:tcW w:w="1559" w:type="dxa"/>
            <w:tcBorders>
              <w:left w:val="single" w:sz="4" w:space="0" w:color="000000"/>
              <w:bottom w:val="single" w:sz="4" w:space="0" w:color="000000"/>
            </w:tcBorders>
          </w:tcPr>
          <w:p>
            <w:pPr>
              <w:pStyle w:val="Normal"/>
              <w:jc w:val="center"/>
              <w:rPr>
                <w:rFonts w:eastAsia="Times New Roman" w:cs="Times New Roman"/>
                <w:color w:val="000000"/>
                <w:kern w:val="0"/>
                <w:sz w:val="20"/>
                <w:szCs w:val="20"/>
                <w:lang w:val="en-US" w:eastAsia="ru-RU" w:bidi="ar-SA"/>
              </w:rPr>
            </w:pPr>
            <w:r>
              <w:rPr>
                <w:rFonts w:eastAsia="Times New Roman" w:cs="Times New Roman"/>
                <w:color w:val="000000"/>
                <w:kern w:val="0"/>
                <w:sz w:val="20"/>
                <w:szCs w:val="20"/>
                <w:lang w:val="en-US" w:eastAsia="ru-RU" w:bidi="ar-SA"/>
              </w:rPr>
              <w:t>шт</w:t>
            </w:r>
          </w:p>
        </w:tc>
        <w:tc>
          <w:tcPr>
            <w:tcW w:w="1416" w:type="dxa"/>
            <w:tcBorders>
              <w:left w:val="single" w:sz="4" w:space="0" w:color="000000"/>
              <w:bottom w:val="single" w:sz="4" w:space="0" w:color="000000"/>
            </w:tcBorders>
            <w:vAlign w:val="center"/>
          </w:tcPr>
          <w:p>
            <w:pPr>
              <w:pStyle w:val="Normal"/>
              <w:snapToGrid w:val="false"/>
              <w:jc w:val="center"/>
              <w:rPr/>
            </w:pPr>
            <w:r>
              <w:rPr/>
            </w:r>
          </w:p>
        </w:tc>
        <w:tc>
          <w:tcPr>
            <w:tcW w:w="1565" w:type="dxa"/>
            <w:tcBorders>
              <w:left w:val="single" w:sz="4" w:space="0" w:color="000000"/>
              <w:bottom w:val="single" w:sz="4" w:space="0" w:color="000000"/>
            </w:tcBorders>
            <w:vAlign w:val="center"/>
          </w:tcPr>
          <w:p>
            <w:pPr>
              <w:pStyle w:val="Normal"/>
              <w:snapToGrid w:val="false"/>
              <w:spacing w:lineRule="atLeast" w:line="57"/>
              <w:jc w:val="center"/>
              <w:rPr/>
            </w:pPr>
            <w:r>
              <w:rPr/>
            </w:r>
          </w:p>
        </w:tc>
        <w:tc>
          <w:tcPr>
            <w:tcW w:w="2000" w:type="dxa"/>
            <w:gridSpan w:val="3"/>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
                <w:bCs/>
              </w:rPr>
            </w:pPr>
            <w:r>
              <w:rPr>
                <w:b/>
                <w:bCs/>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b/>
                <w:b/>
                <w:bCs/>
              </w:rPr>
            </w:pPr>
            <w:r>
              <w:rPr>
                <w:b/>
                <w:bCs/>
              </w:rPr>
              <w:t>ИТОГО:</w:t>
            </w:r>
          </w:p>
        </w:tc>
        <w:tc>
          <w:tcPr>
            <w:tcW w:w="2000" w:type="dxa"/>
            <w:gridSpan w:val="3"/>
            <w:tcBorders>
              <w:left w:val="single" w:sz="4" w:space="0" w:color="000000"/>
              <w:bottom w:val="single" w:sz="4" w:space="0" w:color="000000"/>
              <w:right w:val="single" w:sz="4" w:space="0" w:color="000000"/>
            </w:tcBorders>
          </w:tcPr>
          <w:p>
            <w:pPr>
              <w:pStyle w:val="Normal"/>
              <w:snapToGrid w:val="false"/>
              <w:jc w:val="center"/>
              <w:rPr>
                <w:b/>
                <w:b/>
                <w:bCs/>
              </w:rPr>
            </w:pPr>
            <w:r>
              <w:rPr>
                <w:b/>
                <w:bCs/>
              </w:rPr>
            </w:r>
          </w:p>
        </w:tc>
      </w:tr>
      <w:tr>
        <w:trPr>
          <w:trHeight w:val="1824" w:hRule="atLeast"/>
        </w:trPr>
        <w:tc>
          <w:tcPr>
            <w:tcW w:w="6777" w:type="dxa"/>
            <w:gridSpan w:val="3"/>
            <w:tcBorders/>
            <w:tcMar>
              <w:top w:w="0" w:type="dxa"/>
              <w:left w:w="0" w:type="dxa"/>
              <w:bottom w:w="0" w:type="dxa"/>
              <w:right w:w="0" w:type="dxa"/>
            </w:tcMar>
          </w:tcPr>
          <w:p>
            <w:pPr>
              <w:pStyle w:val="Normal"/>
              <w:tabs>
                <w:tab w:val="clear" w:pos="531"/>
                <w:tab w:val="left" w:pos="7680" w:leader="none"/>
              </w:tabs>
              <w:snapToGrid w:val="false"/>
              <w:rPr>
                <w:b/>
                <w:b/>
                <w:bCs/>
                <w:color w:val="000000"/>
                <w:highlight w:val="yellow"/>
              </w:rPr>
            </w:pPr>
            <w:r>
              <w:rPr>
                <w:b/>
                <w:bCs/>
                <w:color w:val="000000"/>
                <w:highlight w:val="yellow"/>
              </w:rPr>
            </w:r>
          </w:p>
          <w:p>
            <w:pPr>
              <w:pStyle w:val="Normal"/>
              <w:tabs>
                <w:tab w:val="clear" w:pos="531"/>
                <w:tab w:val="left" w:pos="7680" w:leader="none"/>
              </w:tabs>
              <w:rPr>
                <w:b/>
                <w:b/>
                <w:color w:val="000000"/>
              </w:rPr>
            </w:pPr>
            <w:r>
              <w:rPr>
                <w:b/>
                <w:color w:val="000000"/>
              </w:rPr>
              <w:t>Заказчик:</w:t>
            </w:r>
          </w:p>
          <w:p>
            <w:pPr>
              <w:pStyle w:val="Normal"/>
              <w:rPr/>
            </w:pPr>
            <w:r>
              <w:rPr/>
              <w:t>Начальник отдела</w:t>
            </w:r>
          </w:p>
          <w:p>
            <w:pPr>
              <w:pStyle w:val="Normal"/>
              <w:rPr/>
            </w:pPr>
            <w:r>
              <w:rPr/>
              <w:t>материально-технического снабжения</w:t>
            </w:r>
          </w:p>
          <w:p>
            <w:pPr>
              <w:pStyle w:val="Normal"/>
              <w:rPr/>
            </w:pPr>
            <w:r>
              <w:rPr/>
            </w:r>
          </w:p>
          <w:p>
            <w:pPr>
              <w:pStyle w:val="Normal"/>
              <w:rPr/>
            </w:pPr>
            <w:r>
              <w:rPr/>
              <w:t>____________ А.В. Семенков</w:t>
            </w:r>
          </w:p>
          <w:p>
            <w:pPr>
              <w:pStyle w:val="Normal"/>
              <w:tabs>
                <w:tab w:val="clear" w:pos="531"/>
                <w:tab w:val="left" w:pos="7680" w:leader="none"/>
              </w:tabs>
              <w:rPr/>
            </w:pPr>
            <w:r>
              <w:rPr/>
              <w:t>м.п.</w:t>
            </w:r>
          </w:p>
        </w:tc>
        <w:tc>
          <w:tcPr>
            <w:tcW w:w="1135" w:type="dxa"/>
            <w:tcBorders/>
            <w:tcMar>
              <w:top w:w="0" w:type="dxa"/>
              <w:left w:w="0" w:type="dxa"/>
              <w:bottom w:w="0" w:type="dxa"/>
              <w:right w:w="0" w:type="dxa"/>
            </w:tcMar>
          </w:tcPr>
          <w:p>
            <w:pPr>
              <w:pStyle w:val="Normal"/>
              <w:tabs>
                <w:tab w:val="clear" w:pos="531"/>
                <w:tab w:val="left" w:pos="7680" w:leader="none"/>
              </w:tabs>
              <w:snapToGrid w:val="false"/>
              <w:rPr>
                <w:b/>
                <w:b/>
                <w:color w:val="000000"/>
              </w:rPr>
            </w:pPr>
            <w:r>
              <w:rPr>
                <w:b/>
                <w:color w:val="000000"/>
              </w:rPr>
            </w:r>
          </w:p>
        </w:tc>
        <w:tc>
          <w:tcPr>
            <w:tcW w:w="232" w:type="dxa"/>
            <w:gridSpan w:val="2"/>
            <w:tcBorders/>
            <w:tcMar>
              <w:top w:w="0" w:type="dxa"/>
              <w:left w:w="0" w:type="dxa"/>
              <w:bottom w:w="0" w:type="dxa"/>
              <w:right w:w="0" w:type="dxa"/>
            </w:tcMar>
          </w:tcPr>
          <w:p>
            <w:pPr>
              <w:pStyle w:val="Normal"/>
              <w:tabs>
                <w:tab w:val="clear" w:pos="531"/>
                <w:tab w:val="left" w:pos="7680" w:leader="none"/>
              </w:tabs>
              <w:snapToGrid w:val="false"/>
              <w:rPr>
                <w:b/>
                <w:b/>
                <w:color w:val="000000"/>
              </w:rPr>
            </w:pPr>
            <w:r>
              <w:rPr>
                <w:b/>
                <w:color w:val="000000"/>
              </w:rPr>
            </w:r>
          </w:p>
        </w:tc>
        <w:tc>
          <w:tcPr>
            <w:tcW w:w="2626" w:type="dxa"/>
            <w:gridSpan w:val="2"/>
            <w:tcBorders/>
            <w:tcMar>
              <w:top w:w="0" w:type="dxa"/>
              <w:left w:w="0" w:type="dxa"/>
              <w:bottom w:w="0" w:type="dxa"/>
              <w:right w:w="0" w:type="dxa"/>
            </w:tcMar>
          </w:tcPr>
          <w:p>
            <w:pPr>
              <w:pStyle w:val="Normal"/>
              <w:snapToGrid w:val="false"/>
              <w:rPr>
                <w:b/>
                <w:b/>
                <w:color w:val="000000"/>
              </w:rPr>
            </w:pPr>
            <w:r>
              <w:rPr>
                <w:b/>
                <w:color w:val="000000"/>
              </w:rPr>
            </w:r>
          </w:p>
        </w:tc>
        <w:tc>
          <w:tcPr>
            <w:tcW w:w="4901" w:type="dxa"/>
            <w:gridSpan w:val="3"/>
            <w:tcBorders/>
            <w:tcMar>
              <w:top w:w="0" w:type="dxa"/>
              <w:left w:w="0" w:type="dxa"/>
              <w:bottom w:w="0" w:type="dxa"/>
              <w:right w:w="0" w:type="dxa"/>
            </w:tcMar>
          </w:tcPr>
          <w:p>
            <w:pPr>
              <w:pStyle w:val="Normal"/>
              <w:tabs>
                <w:tab w:val="clear" w:pos="531"/>
                <w:tab w:val="left" w:pos="7680" w:leader="none"/>
              </w:tabs>
              <w:snapToGrid w:val="false"/>
              <w:rPr>
                <w:b/>
                <w:b/>
                <w:color w:val="000000"/>
              </w:rPr>
            </w:pPr>
            <w:r>
              <w:rPr>
                <w:b/>
                <w:color w:val="000000"/>
              </w:rPr>
            </w:r>
          </w:p>
          <w:p>
            <w:pPr>
              <w:pStyle w:val="Normal"/>
              <w:tabs>
                <w:tab w:val="clear" w:pos="531"/>
                <w:tab w:val="left" w:pos="7680" w:leader="none"/>
              </w:tabs>
              <w:rPr>
                <w:b/>
                <w:b/>
                <w:color w:val="000000"/>
              </w:rPr>
            </w:pPr>
            <w:r>
              <w:rPr>
                <w:b/>
                <w:color w:val="000000"/>
              </w:rPr>
              <w:t>Поставщик:</w:t>
            </w:r>
          </w:p>
          <w:p>
            <w:pPr>
              <w:pStyle w:val="Normal"/>
              <w:tabs>
                <w:tab w:val="clear" w:pos="531"/>
                <w:tab w:val="left" w:pos="7680" w:leader="none"/>
              </w:tabs>
              <w:rPr>
                <w:b/>
                <w:b/>
                <w:color w:val="000000"/>
              </w:rPr>
            </w:pPr>
            <w:r>
              <w:rPr>
                <w:b/>
                <w:color w:val="000000"/>
              </w:rPr>
            </w:r>
          </w:p>
          <w:p>
            <w:pPr>
              <w:pStyle w:val="Normal"/>
              <w:rPr>
                <w:b/>
                <w:b/>
                <w:color w:val="000000"/>
              </w:rPr>
            </w:pPr>
            <w:r>
              <w:rPr>
                <w:b/>
                <w:color w:val="000000"/>
              </w:rPr>
            </w:r>
          </w:p>
          <w:p>
            <w:pPr>
              <w:pStyle w:val="Normal"/>
              <w:rPr/>
            </w:pPr>
            <w:r>
              <w:rPr/>
              <w:t xml:space="preserve">___________                                                       </w:t>
            </w:r>
          </w:p>
          <w:p>
            <w:pPr>
              <w:pStyle w:val="Normal"/>
              <w:rPr/>
            </w:pPr>
            <w:r>
              <w:rPr/>
              <w:t>м.п.</w:t>
            </w:r>
          </w:p>
        </w:tc>
        <w:tc>
          <w:tcPr>
            <w:tcW w:w="40" w:type="dxa"/>
            <w:tcBorders/>
            <w:tcMar>
              <w:top w:w="0" w:type="dxa"/>
              <w:left w:w="0" w:type="dxa"/>
              <w:bottom w:w="0" w:type="dxa"/>
              <w:right w:w="0" w:type="dxa"/>
            </w:tcMar>
          </w:tcPr>
          <w:p>
            <w:pPr>
              <w:pStyle w:val="Normal"/>
              <w:snapToGrid w:val="false"/>
              <w:rPr/>
            </w:pPr>
            <w:r>
              <w:rPr/>
            </w:r>
          </w:p>
        </w:tc>
        <w:tc>
          <w:tcPr>
            <w:tcW w:w="40" w:type="dxa"/>
            <w:tcBorders/>
            <w:tcMar>
              <w:top w:w="0" w:type="dxa"/>
              <w:left w:w="0" w:type="dxa"/>
              <w:bottom w:w="0" w:type="dxa"/>
              <w:right w:w="0" w:type="dxa"/>
            </w:tcMar>
          </w:tcPr>
          <w:p>
            <w:pPr>
              <w:pStyle w:val="Normal"/>
              <w:snapToGrid w:val="false"/>
              <w:rPr/>
            </w:pPr>
            <w:r>
              <w:rPr/>
            </w:r>
          </w:p>
        </w:tc>
      </w:tr>
    </w:tbl>
    <w:p>
      <w:pPr>
        <w:pStyle w:val="Normal"/>
        <w:spacing w:before="0" w:after="60"/>
        <w:rPr/>
      </w:pPr>
      <w:r>
        <w:rPr/>
      </w:r>
    </w:p>
    <w:sectPr>
      <w:footerReference w:type="default" r:id="rId3"/>
      <w:type w:val="nextPage"/>
      <w:pgSz w:orient="landscape" w:w="16838" w:h="11906"/>
      <w:pgMar w:left="720" w:right="720" w:header="0" w:top="720" w:footer="709" w:bottom="766"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right"/>
      <w:rPr>
        <w:sz w:val="24"/>
        <w:szCs w:val="24"/>
      </w:rPr>
    </w:pPr>
    <w:r>
      <w:rPr>
        <w:sz w:val="24"/>
        <w:szCs w:val="24"/>
      </w:rPr>
      <w:fldChar w:fldCharType="begin"/>
    </w:r>
    <w:r>
      <w:rPr>
        <w:sz w:val="24"/>
        <w:szCs w:val="24"/>
      </w:rPr>
      <w:instrText> PAGE </w:instrText>
    </w:r>
    <w:r>
      <w:rPr>
        <w:sz w:val="24"/>
        <w:szCs w:val="24"/>
      </w:rPr>
      <w:fldChar w:fldCharType="separate"/>
    </w:r>
    <w:r>
      <w:rPr>
        <w:sz w:val="24"/>
        <w:szCs w:val="24"/>
      </w:rPr>
      <w:t>5</w:t>
    </w:r>
    <w:r>
      <w:rPr>
        <w:sz w:val="24"/>
        <w:szCs w:val="24"/>
      </w:rPr>
      <w:fldChar w:fldCharType="end"/>
    </w:r>
  </w:p>
  <w:p>
    <w:pPr>
      <w:pStyle w:val="Style33"/>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right"/>
      <w:rPr>
        <w:sz w:val="24"/>
        <w:szCs w:val="24"/>
      </w:rPr>
    </w:pPr>
    <w:r>
      <w:rPr>
        <w:sz w:val="24"/>
        <w:szCs w:val="24"/>
      </w:rPr>
      <w:fldChar w:fldCharType="begin"/>
    </w:r>
    <w:r>
      <w:rPr>
        <w:sz w:val="24"/>
        <w:szCs w:val="24"/>
      </w:rPr>
      <w:instrText> PAGE </w:instrText>
    </w:r>
    <w:r>
      <w:rPr>
        <w:sz w:val="24"/>
        <w:szCs w:val="24"/>
      </w:rPr>
      <w:fldChar w:fldCharType="separate"/>
    </w:r>
    <w:r>
      <w:rPr>
        <w:sz w:val="24"/>
        <w:szCs w:val="24"/>
      </w:rPr>
      <w:t>9</w:t>
    </w:r>
    <w:r>
      <w:rPr>
        <w:sz w:val="24"/>
        <w:szCs w:val="24"/>
      </w:rPr>
      <w:fldChar w:fldCharType="end"/>
    </w:r>
  </w:p>
  <w:p>
    <w:pPr>
      <w:pStyle w:val="Style33"/>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tabs>
          <w:tab w:val="num" w:pos="0"/>
        </w:tabs>
        <w:ind w:left="0" w:hanging="0"/>
      </w:pPr>
      <w:rPr/>
    </w:lvl>
    <w:lvl w:ilvl="1">
      <w:start w:val="1"/>
      <w:pStyle w:val="2"/>
      <w:numFmt w:val="none"/>
      <w:suff w:val="nothing"/>
      <w:lvlText w:val=""/>
      <w:lvlJc w:val="left"/>
      <w:pPr>
        <w:tabs>
          <w:tab w:val="num" w:pos="0"/>
        </w:tabs>
        <w:ind w:left="0" w:hanging="0"/>
      </w:pPr>
      <w:rPr/>
    </w:lvl>
    <w:lvl w:ilvl="2">
      <w:start w:val="1"/>
      <w:pStyle w:val="3"/>
      <w:numFmt w:val="none"/>
      <w:suff w:val="nothing"/>
      <w:lvlText w:val=""/>
      <w:lvlJc w:val="left"/>
      <w:pPr>
        <w:tabs>
          <w:tab w:val="num" w:pos="0"/>
        </w:tabs>
        <w:ind w:left="0" w:hanging="0"/>
      </w:pPr>
      <w:rPr/>
    </w:lvl>
    <w:lvl w:ilvl="3">
      <w:start w:val="1"/>
      <w:pStyle w:val="4"/>
      <w:numFmt w:val="none"/>
      <w:suff w:val="nothing"/>
      <w:lvlText w:val=""/>
      <w:lvlJc w:val="left"/>
      <w:pPr>
        <w:tabs>
          <w:tab w:val="num" w:pos="0"/>
        </w:tabs>
        <w:ind w:left="0" w:hanging="0"/>
      </w:pPr>
      <w:rPr/>
    </w:lvl>
    <w:lvl w:ilvl="4">
      <w:start w:val="1"/>
      <w:pStyle w:val="5"/>
      <w:numFmt w:val="none"/>
      <w:suff w:val="nothing"/>
      <w:lvlText w:val=""/>
      <w:lvlJc w:val="left"/>
      <w:pPr>
        <w:tabs>
          <w:tab w:val="num" w:pos="0"/>
        </w:tabs>
        <w:ind w:left="0" w:hanging="0"/>
      </w:pPr>
      <w:rPr/>
    </w:lvl>
    <w:lvl w:ilvl="5">
      <w:start w:val="1"/>
      <w:pStyle w:val="6"/>
      <w:numFmt w:val="none"/>
      <w:suff w:val="nothing"/>
      <w:lvlText w:val=""/>
      <w:lvlJc w:val="left"/>
      <w:pPr>
        <w:tabs>
          <w:tab w:val="num" w:pos="0"/>
        </w:tabs>
        <w:ind w:left="0" w:hanging="0"/>
      </w:pPr>
      <w:rPr/>
    </w:lvl>
    <w:lvl w:ilvl="6">
      <w:start w:val="1"/>
      <w:pStyle w:val="7"/>
      <w:numFmt w:val="none"/>
      <w:suff w:val="nothing"/>
      <w:lvlText w:val=""/>
      <w:lvlJc w:val="left"/>
      <w:pPr>
        <w:tabs>
          <w:tab w:val="num" w:pos="0"/>
        </w:tabs>
        <w:ind w:left="0" w:hanging="0"/>
      </w:pPr>
      <w:rPr/>
    </w:lvl>
    <w:lvl w:ilvl="7">
      <w:start w:val="1"/>
      <w:pStyle w:val="8"/>
      <w:numFmt w:val="none"/>
      <w:suff w:val="nothing"/>
      <w:lvlText w:val=""/>
      <w:lvlJc w:val="left"/>
      <w:pPr>
        <w:tabs>
          <w:tab w:val="num" w:pos="0"/>
        </w:tabs>
        <w:ind w:left="0" w:hanging="0"/>
      </w:pPr>
      <w:rPr/>
    </w:lvl>
    <w:lvl w:ilvl="8">
      <w:start w:val="1"/>
      <w:pStyle w:val="9"/>
      <w:numFmt w:val="none"/>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val="bestFit" w:percent="105"/>
  <w:defaultTabStop w:val="531"/>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1">
    <w:name w:val="Заголовок 1 Знак"/>
    <w:basedOn w:val="DefaultParagraphFont"/>
    <w:qFormat/>
    <w:rPr>
      <w:rFonts w:ascii="Arial" w:hAnsi="Arial" w:eastAsia="Arial" w:cs="Arial"/>
      <w:sz w:val="40"/>
      <w:szCs w:val="40"/>
    </w:rPr>
  </w:style>
  <w:style w:type="character" w:styleId="21">
    <w:name w:val="Заголовок 2 Знак"/>
    <w:basedOn w:val="DefaultParagraphFont"/>
    <w:qFormat/>
    <w:rPr>
      <w:rFonts w:ascii="Arial" w:hAnsi="Arial" w:eastAsia="Arial" w:cs="Arial"/>
      <w:sz w:val="34"/>
    </w:rPr>
  </w:style>
  <w:style w:type="character" w:styleId="31">
    <w:name w:val="Заголовок 3 Знак"/>
    <w:basedOn w:val="DefaultParagraphFont"/>
    <w:qFormat/>
    <w:rPr>
      <w:rFonts w:ascii="Arial" w:hAnsi="Arial" w:eastAsia="Arial" w:cs="Arial"/>
      <w:sz w:val="30"/>
      <w:szCs w:val="30"/>
    </w:rPr>
  </w:style>
  <w:style w:type="character" w:styleId="41">
    <w:name w:val="Заголовок 4 Знак"/>
    <w:basedOn w:val="DefaultParagraphFont"/>
    <w:qFormat/>
    <w:rPr>
      <w:rFonts w:ascii="Arial" w:hAnsi="Arial" w:eastAsia="Arial" w:cs="Arial"/>
      <w:b/>
      <w:bCs/>
      <w:sz w:val="26"/>
      <w:szCs w:val="26"/>
    </w:rPr>
  </w:style>
  <w:style w:type="character" w:styleId="51">
    <w:name w:val="Заголовок 5 Знак"/>
    <w:basedOn w:val="DefaultParagraphFont"/>
    <w:qFormat/>
    <w:rPr>
      <w:rFonts w:ascii="Arial" w:hAnsi="Arial" w:eastAsia="Arial" w:cs="Arial"/>
      <w:b/>
      <w:bCs/>
      <w:sz w:val="24"/>
      <w:szCs w:val="24"/>
    </w:rPr>
  </w:style>
  <w:style w:type="character" w:styleId="61">
    <w:name w:val="Заголовок 6 Знак"/>
    <w:basedOn w:val="DefaultParagraphFont"/>
    <w:qFormat/>
    <w:rPr>
      <w:rFonts w:ascii="Arial" w:hAnsi="Arial" w:eastAsia="Arial" w:cs="Arial"/>
      <w:b/>
      <w:bCs/>
      <w:sz w:val="22"/>
      <w:szCs w:val="22"/>
    </w:rPr>
  </w:style>
  <w:style w:type="character" w:styleId="71">
    <w:name w:val="Заголовок 7 Знак"/>
    <w:basedOn w:val="DefaultParagraphFont"/>
    <w:qFormat/>
    <w:rPr>
      <w:rFonts w:ascii="Arial" w:hAnsi="Arial" w:eastAsia="Arial" w:cs="Arial"/>
      <w:b/>
      <w:bCs/>
      <w:i/>
      <w:iCs/>
      <w:sz w:val="22"/>
      <w:szCs w:val="22"/>
    </w:rPr>
  </w:style>
  <w:style w:type="character" w:styleId="81">
    <w:name w:val="Заголовок 8 Знак"/>
    <w:basedOn w:val="DefaultParagraphFont"/>
    <w:qFormat/>
    <w:rPr>
      <w:rFonts w:ascii="Arial" w:hAnsi="Arial" w:eastAsia="Arial" w:cs="Arial"/>
      <w:i/>
      <w:iCs/>
      <w:sz w:val="22"/>
      <w:szCs w:val="22"/>
    </w:rPr>
  </w:style>
  <w:style w:type="character" w:styleId="91">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2">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Style9">
    <w:name w:val="Символ сноски"/>
    <w:qFormat/>
    <w:rPr>
      <w:vertAlign w:val="superscript"/>
    </w:rPr>
  </w:style>
  <w:style w:type="character" w:styleId="FootnoteCharacters">
    <w:name w:val="Footnote Characters"/>
    <w:basedOn w:val="DefaultParagraphFont"/>
    <w:qFormat/>
    <w:rPr>
      <w:vertAlign w:val="superscript"/>
    </w:rPr>
  </w:style>
  <w:style w:type="character" w:styleId="Style10">
    <w:name w:val="Текст концевой сноски Знак"/>
    <w:qFormat/>
    <w:rPr>
      <w:sz w:val="20"/>
    </w:rPr>
  </w:style>
  <w:style w:type="character" w:styleId="Style11">
    <w:name w:val="Символ концевой сноски"/>
    <w:qFormat/>
    <w:rPr>
      <w:vertAlign w:val="superscript"/>
    </w:rPr>
  </w:style>
  <w:style w:type="character" w:styleId="EndnoteCharacters">
    <w:name w:val="Endnote Characters"/>
    <w:basedOn w:val="DefaultParagraphFont"/>
    <w:qFormat/>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Style13">
    <w:name w:val="Выделение"/>
    <w:qFormat/>
    <w:rPr>
      <w:rFonts w:cs="Times New Roman"/>
      <w:i/>
    </w:rPr>
  </w:style>
  <w:style w:type="character" w:styleId="Style14">
    <w:name w:val="Верхний колонтитул Знак"/>
    <w:qFormat/>
    <w:rPr>
      <w:rFonts w:ascii="Times New Roman" w:hAnsi="Times New Roman" w:eastAsia="Times New Roman" w:cs="Times New Roman"/>
      <w:sz w:val="20"/>
      <w:szCs w:val="20"/>
    </w:rPr>
  </w:style>
  <w:style w:type="character" w:styleId="Style15">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Annotationreference">
    <w:name w:val="annotation reference"/>
    <w:basedOn w:val="DefaultParagraphFont"/>
    <w:qFormat/>
    <w:rPr>
      <w:sz w:val="16"/>
      <w:szCs w:val="16"/>
    </w:rPr>
  </w:style>
  <w:style w:type="character" w:styleId="Style16">
    <w:name w:val="Текст примечания Знак"/>
    <w:basedOn w:val="DefaultParagraphFont"/>
    <w:qFormat/>
    <w:rPr>
      <w:rFonts w:ascii="Times New Roman" w:hAnsi="Times New Roman" w:eastAsia="Times New Roman" w:cs="Times New Roman"/>
    </w:rPr>
  </w:style>
  <w:style w:type="character" w:styleId="Style17">
    <w:name w:val="Тема примечания Знак"/>
    <w:basedOn w:val="Style16"/>
    <w:qFormat/>
    <w:rPr>
      <w:rFonts w:ascii="Times New Roman" w:hAnsi="Times New Roman" w:eastAsia="Times New Roman" w:cs="Times New Roman"/>
      <w:b/>
      <w:bCs/>
    </w:rPr>
  </w:style>
  <w:style w:type="character" w:styleId="Style18">
    <w:name w:val="Текст выноски Знак"/>
    <w:basedOn w:val="DefaultParagraphFont"/>
    <w:qFormat/>
    <w:rPr>
      <w:rFonts w:ascii="Tahoma" w:hAnsi="Tahoma" w:eastAsia="Times New Roman" w:cs="Tahoma"/>
      <w:sz w:val="16"/>
      <w:szCs w:val="16"/>
    </w:rPr>
  </w:style>
  <w:style w:type="character" w:styleId="Style19">
    <w:name w:val="Без интервала Знак"/>
    <w:qFormat/>
    <w:rPr>
      <w:sz w:val="24"/>
      <w:szCs w:val="24"/>
    </w:rPr>
  </w:style>
  <w:style w:type="character" w:styleId="Style20">
    <w:name w:val="Интернет-ссылка"/>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21">
    <w:name w:val="Заголовок"/>
    <w:basedOn w:val="Normal"/>
    <w:next w:val="Style22"/>
    <w:qFormat/>
    <w:pPr>
      <w:keepNext w:val="true"/>
      <w:spacing w:before="240" w:after="120"/>
    </w:pPr>
    <w:rPr>
      <w:rFonts w:ascii="PT Astra Serif" w:hAnsi="PT Astra Serif" w:eastAsia="Tahoma" w:cs="Noto Sans Devanagari"/>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ascii="PT Astra Serif" w:hAnsi="PT Astra Serif" w:cs="Noto Sans Devanagari"/>
    </w:rPr>
  </w:style>
  <w:style w:type="paragraph" w:styleId="Style24">
    <w:name w:val="Caption"/>
    <w:basedOn w:val="Normal"/>
    <w:qFormat/>
    <w:pPr>
      <w:suppressLineNumbers/>
      <w:spacing w:before="120" w:after="120"/>
    </w:pPr>
    <w:rPr>
      <w:rFonts w:ascii="PT Astra Serif" w:hAnsi="PT Astra Serif" w:cs="Noto Sans Devanagari"/>
      <w:i/>
      <w:iCs/>
      <w:sz w:val="24"/>
      <w:szCs w:val="24"/>
    </w:rPr>
  </w:style>
  <w:style w:type="paragraph" w:styleId="Style25">
    <w:name w:val="Указатель"/>
    <w:basedOn w:val="Normal"/>
    <w:qFormat/>
    <w:pPr>
      <w:suppressLineNumbers/>
    </w:pPr>
    <w:rPr>
      <w:rFonts w:ascii="PT Astra Serif" w:hAnsi="PT Astra Serif" w:cs="Noto Sans Devanagari"/>
    </w:rPr>
  </w:style>
  <w:style w:type="paragraph" w:styleId="Style26">
    <w:name w:val="Title"/>
    <w:basedOn w:val="Normal"/>
    <w:next w:val="Style22"/>
    <w:qFormat/>
    <w:pPr>
      <w:spacing w:before="300" w:after="200"/>
      <w:contextualSpacing/>
    </w:pPr>
    <w:rPr>
      <w:sz w:val="48"/>
      <w:szCs w:val="48"/>
    </w:rPr>
  </w:style>
  <w:style w:type="paragraph" w:styleId="Caption">
    <w:name w:val="caption"/>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left="720" w:right="0" w:hanging="0"/>
      <w:contextualSpacing/>
    </w:pPr>
    <w:rPr/>
  </w:style>
  <w:style w:type="paragraph" w:styleId="Style27">
    <w:name w:val="Subtitle"/>
    <w:basedOn w:val="Normal"/>
    <w:next w:val="Normal"/>
    <w:qFormat/>
    <w:pPr>
      <w:spacing w:before="200" w:after="200"/>
    </w:pPr>
    <w:rPr>
      <w:sz w:val="24"/>
      <w:szCs w:val="24"/>
    </w:rPr>
  </w:style>
  <w:style w:type="paragraph" w:styleId="Quote">
    <w:name w:val="Quote"/>
    <w:basedOn w:val="Normal"/>
    <w:next w:val="Normal"/>
    <w:qFormat/>
    <w:pPr>
      <w:ind w:left="720" w:right="720" w:hanging="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fill="F2F2F2" w:val="clear"/>
      <w:ind w:left="720" w:right="720" w:hanging="0"/>
    </w:pPr>
    <w:rPr>
      <w:i/>
    </w:rPr>
  </w:style>
  <w:style w:type="paragraph" w:styleId="Style28">
    <w:name w:val="Footnote Text"/>
    <w:basedOn w:val="Normal"/>
    <w:pPr>
      <w:spacing w:before="0" w:after="40"/>
    </w:pPr>
    <w:rPr>
      <w:sz w:val="18"/>
    </w:rPr>
  </w:style>
  <w:style w:type="paragraph" w:styleId="Style29">
    <w:name w:val="Endnote Text"/>
    <w:basedOn w:val="Normal"/>
    <w:pPr/>
    <w:rPr/>
  </w:style>
  <w:style w:type="paragraph" w:styleId="12">
    <w:name w:val="TOC 1"/>
    <w:basedOn w:val="Normal"/>
    <w:next w:val="Normal"/>
    <w:pPr>
      <w:spacing w:before="0" w:after="57"/>
    </w:pPr>
    <w:rPr/>
  </w:style>
  <w:style w:type="paragraph" w:styleId="23">
    <w:name w:val="TOC 2"/>
    <w:basedOn w:val="Normal"/>
    <w:next w:val="Normal"/>
    <w:pPr>
      <w:spacing w:before="0" w:after="57"/>
      <w:ind w:left="283" w:right="0" w:hanging="0"/>
    </w:pPr>
    <w:rPr/>
  </w:style>
  <w:style w:type="paragraph" w:styleId="32">
    <w:name w:val="TOC 3"/>
    <w:basedOn w:val="Normal"/>
    <w:next w:val="Normal"/>
    <w:pPr>
      <w:spacing w:before="0" w:after="57"/>
      <w:ind w:left="567" w:right="0" w:hanging="0"/>
    </w:pPr>
    <w:rPr/>
  </w:style>
  <w:style w:type="paragraph" w:styleId="42">
    <w:name w:val="TOC 4"/>
    <w:basedOn w:val="Normal"/>
    <w:next w:val="Normal"/>
    <w:pPr>
      <w:spacing w:before="0" w:after="57"/>
      <w:ind w:left="850" w:right="0" w:hanging="0"/>
    </w:pPr>
    <w:rPr/>
  </w:style>
  <w:style w:type="paragraph" w:styleId="52">
    <w:name w:val="TOC 5"/>
    <w:basedOn w:val="Normal"/>
    <w:next w:val="Normal"/>
    <w:pPr>
      <w:spacing w:before="0" w:after="57"/>
      <w:ind w:left="1134" w:right="0" w:hanging="0"/>
    </w:pPr>
    <w:rPr/>
  </w:style>
  <w:style w:type="paragraph" w:styleId="62">
    <w:name w:val="TOC 6"/>
    <w:basedOn w:val="Normal"/>
    <w:next w:val="Normal"/>
    <w:pPr>
      <w:spacing w:before="0" w:after="57"/>
      <w:ind w:left="1417" w:right="0" w:hanging="0"/>
    </w:pPr>
    <w:rPr/>
  </w:style>
  <w:style w:type="paragraph" w:styleId="72">
    <w:name w:val="TOC 7"/>
    <w:basedOn w:val="Normal"/>
    <w:next w:val="Normal"/>
    <w:pPr>
      <w:spacing w:before="0" w:after="57"/>
      <w:ind w:left="1701" w:right="0" w:hanging="0"/>
    </w:pPr>
    <w:rPr/>
  </w:style>
  <w:style w:type="paragraph" w:styleId="82">
    <w:name w:val="TOC 8"/>
    <w:basedOn w:val="Normal"/>
    <w:next w:val="Normal"/>
    <w:pPr>
      <w:spacing w:before="0" w:after="57"/>
      <w:ind w:left="1984" w:right="0" w:hanging="0"/>
    </w:pPr>
    <w:rPr/>
  </w:style>
  <w:style w:type="paragraph" w:styleId="92">
    <w:name w:val="TOC 9"/>
    <w:basedOn w:val="Normal"/>
    <w:next w:val="Normal"/>
    <w:pPr>
      <w:spacing w:before="0" w:after="57"/>
      <w:ind w:left="2268" w:right="0" w:hanging="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Style30">
    <w:name w:val="Body Text Indent"/>
    <w:basedOn w:val="Normal"/>
    <w:pPr>
      <w:ind w:left="0" w:right="0" w:firstLine="709"/>
      <w:jc w:val="both"/>
    </w:pPr>
    <w:rPr>
      <w:rFonts w:eastAsia="Calibri"/>
      <w:lang w:val="en-US"/>
    </w:rPr>
  </w:style>
  <w:style w:type="paragraph" w:styleId="ConsPlusNormal1">
    <w:name w:val="ConsPlusNormal"/>
    <w:qFormat/>
    <w:pPr>
      <w:widowControl w:val="false"/>
      <w:suppressAutoHyphens w:val="true"/>
      <w:bidi w:val="0"/>
      <w:spacing w:before="0" w:after="0"/>
      <w:ind w:left="0" w:right="0" w:firstLine="72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31">
    <w:name w:val="Верхний и нижний колонтитулы"/>
    <w:basedOn w:val="Normal"/>
    <w:qFormat/>
    <w:pPr/>
    <w:rPr/>
  </w:style>
  <w:style w:type="paragraph" w:styleId="Style32">
    <w:name w:val="Header"/>
    <w:basedOn w:val="Normal"/>
    <w:pPr>
      <w:tabs>
        <w:tab w:val="clear" w:pos="531"/>
        <w:tab w:val="center" w:pos="4677" w:leader="none"/>
        <w:tab w:val="right" w:pos="9355" w:leader="none"/>
      </w:tabs>
    </w:pPr>
    <w:rPr/>
  </w:style>
  <w:style w:type="paragraph" w:styleId="Style33">
    <w:name w:val="Footer"/>
    <w:basedOn w:val="Normal"/>
    <w:pPr>
      <w:tabs>
        <w:tab w:val="clear" w:pos="531"/>
        <w:tab w:val="center" w:pos="4677" w:leader="none"/>
        <w:tab w:val="right" w:pos="9355" w:leader="none"/>
      </w:tabs>
    </w:pPr>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3">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34">
    <w:name w:val="Содержимое таблицы"/>
    <w:basedOn w:val="Normal"/>
    <w:qFormat/>
    <w:pPr>
      <w:suppressLineNumbers/>
    </w:pPr>
    <w:rPr/>
  </w:style>
  <w:style w:type="paragraph" w:styleId="Style35">
    <w:name w:val="Заголовок таблицы"/>
    <w:basedOn w:val="Style34"/>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194</TotalTime>
  <Application>LibreOffice/6.4.7.2$Linux_X86_64 LibreOffice_project/40$Build-2</Application>
  <Pages>9</Pages>
  <Words>3426</Words>
  <Characters>23606</Characters>
  <CharactersWithSpaces>28030</CharactersWithSpaces>
  <Paragraphs>220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2026-03-31T13:46:21Z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