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2806A3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ЛПМП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3D4960">
        <w:rPr>
          <w:b/>
          <w:sz w:val="20"/>
          <w:szCs w:val="20"/>
        </w:rPr>
        <w:t xml:space="preserve">им. Д.Г. </w:t>
      </w:r>
      <w:proofErr w:type="spellStart"/>
      <w:r w:rsidR="003D4960">
        <w:rPr>
          <w:b/>
          <w:sz w:val="20"/>
          <w:szCs w:val="20"/>
        </w:rPr>
        <w:t>Кнорре</w:t>
      </w:r>
      <w:proofErr w:type="spellEnd"/>
      <w:r w:rsidR="003D4960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2806A3">
        <w:rPr>
          <w:b/>
          <w:bCs/>
          <w:color w:val="000000"/>
          <w:sz w:val="20"/>
          <w:szCs w:val="20"/>
        </w:rPr>
        <w:t>вакуумного мембранного насоса</w:t>
      </w:r>
      <w:r w:rsidR="00D44EE8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2806A3">
        <w:rPr>
          <w:b/>
          <w:sz w:val="20"/>
          <w:szCs w:val="20"/>
        </w:rPr>
        <w:t>3</w:t>
      </w:r>
      <w:r w:rsidR="000C41FF">
        <w:rPr>
          <w:b/>
          <w:sz w:val="20"/>
          <w:szCs w:val="20"/>
        </w:rPr>
        <w:t>0</w:t>
      </w:r>
      <w:r w:rsidR="00507F54" w:rsidRPr="0012340B">
        <w:rPr>
          <w:b/>
          <w:sz w:val="20"/>
          <w:szCs w:val="20"/>
        </w:rPr>
        <w:t xml:space="preserve"> (</w:t>
      </w:r>
      <w:r w:rsidR="002806A3">
        <w:rPr>
          <w:b/>
          <w:sz w:val="20"/>
          <w:szCs w:val="20"/>
        </w:rPr>
        <w:t>тридцати</w:t>
      </w:r>
      <w:r w:rsidR="000F3652" w:rsidRPr="0012340B">
        <w:rPr>
          <w:b/>
          <w:sz w:val="20"/>
          <w:szCs w:val="20"/>
        </w:rPr>
        <w:t xml:space="preserve">) </w:t>
      </w:r>
      <w:r w:rsidR="000C41FF">
        <w:rPr>
          <w:b/>
          <w:sz w:val="20"/>
          <w:szCs w:val="20"/>
        </w:rPr>
        <w:t>рабочих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p w:rsidR="00622AB5" w:rsidRDefault="00622AB5"/>
    <w:tbl>
      <w:tblPr>
        <w:tblW w:w="152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6804"/>
        <w:gridCol w:w="1508"/>
        <w:gridCol w:w="1327"/>
        <w:gridCol w:w="670"/>
        <w:gridCol w:w="766"/>
        <w:gridCol w:w="1065"/>
        <w:gridCol w:w="1138"/>
      </w:tblGrid>
      <w:tr w:rsidR="000C41FF" w:rsidRPr="002806A3" w:rsidTr="004D0D09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№ 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bCs/>
                <w:sz w:val="20"/>
                <w:szCs w:val="20"/>
              </w:rPr>
            </w:pPr>
            <w:r w:rsidRPr="002806A3"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2806A3" w:rsidRDefault="000C41FF" w:rsidP="00C101BB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Стоимость с НДС, руб.</w:t>
            </w:r>
          </w:p>
        </w:tc>
      </w:tr>
      <w:tr w:rsidR="002806A3" w:rsidRPr="002806A3" w:rsidTr="004D0D09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806A3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Вакуумный мембранный насос PL.HM03.01.60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Вакуумный мембранный насос PL.HM03.01.60 предназначен для перекачки газов и паров, в числе которых высокоактивные и агрессивные. </w:t>
            </w:r>
            <w:bookmarkStart w:id="0" w:name="_GoBack"/>
            <w:bookmarkEnd w:id="0"/>
            <w:r w:rsidRPr="002806A3">
              <w:rPr>
                <w:b/>
                <w:bCs/>
                <w:sz w:val="20"/>
                <w:szCs w:val="20"/>
              </w:rPr>
              <w:t>Технические характеристики:</w:t>
            </w:r>
            <w:r w:rsidRPr="002806A3">
              <w:rPr>
                <w:sz w:val="20"/>
                <w:szCs w:val="20"/>
              </w:rPr>
              <w:br/>
              <w:t xml:space="preserve">Диаметр присоединительного штуцера — </w:t>
            </w:r>
            <w:r w:rsidRPr="002806A3">
              <w:rPr>
                <w:rFonts w:eastAsiaTheme="majorEastAsia"/>
                <w:sz w:val="20"/>
                <w:szCs w:val="20"/>
              </w:rPr>
              <w:t>9 мм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Материал клапана — </w:t>
            </w:r>
            <w:r w:rsidRPr="002806A3">
              <w:rPr>
                <w:rFonts w:eastAsiaTheme="majorEastAsia"/>
                <w:sz w:val="20"/>
                <w:szCs w:val="20"/>
              </w:rPr>
              <w:t>ВА-13Д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Рабочая среда — </w:t>
            </w:r>
            <w:r w:rsidRPr="002806A3">
              <w:rPr>
                <w:rFonts w:eastAsiaTheme="majorEastAsia"/>
                <w:sz w:val="20"/>
                <w:szCs w:val="20"/>
              </w:rPr>
              <w:t>газ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Мощность — </w:t>
            </w:r>
            <w:r w:rsidRPr="002806A3">
              <w:rPr>
                <w:rFonts w:eastAsiaTheme="majorEastAsia"/>
                <w:sz w:val="20"/>
                <w:szCs w:val="20"/>
              </w:rPr>
              <w:t>180 Вт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Габаритные размеры (Д×Ш×В) — </w:t>
            </w:r>
            <w:r w:rsidRPr="002806A3">
              <w:rPr>
                <w:rFonts w:eastAsiaTheme="majorEastAsia"/>
                <w:sz w:val="20"/>
                <w:szCs w:val="20"/>
              </w:rPr>
              <w:t>289,5 × 160 × 200 мм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Класс защиты (DIN EN 60529) — </w:t>
            </w:r>
            <w:r w:rsidRPr="002806A3">
              <w:rPr>
                <w:rFonts w:eastAsiaTheme="majorEastAsia"/>
                <w:sz w:val="20"/>
                <w:szCs w:val="20"/>
              </w:rPr>
              <w:t>IP20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Уровень шума — </w:t>
            </w:r>
            <w:r w:rsidRPr="002806A3">
              <w:rPr>
                <w:rFonts w:eastAsiaTheme="majorEastAsia"/>
                <w:sz w:val="20"/>
                <w:szCs w:val="20"/>
              </w:rPr>
              <w:t>не более 75 дБ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Питание — </w:t>
            </w:r>
            <w:r w:rsidRPr="002806A3">
              <w:rPr>
                <w:rFonts w:eastAsiaTheme="majorEastAsia"/>
                <w:sz w:val="20"/>
                <w:szCs w:val="20"/>
              </w:rPr>
              <w:t>230 В / 50 Гц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Предельный вакуум — </w:t>
            </w:r>
            <w:r w:rsidRPr="002806A3">
              <w:rPr>
                <w:rFonts w:eastAsiaTheme="majorEastAsia"/>
                <w:sz w:val="20"/>
                <w:szCs w:val="20"/>
              </w:rPr>
              <w:t xml:space="preserve">60 </w:t>
            </w:r>
            <w:proofErr w:type="spellStart"/>
            <w:r w:rsidRPr="002806A3">
              <w:rPr>
                <w:rFonts w:eastAsiaTheme="majorEastAsia"/>
                <w:sz w:val="20"/>
                <w:szCs w:val="20"/>
              </w:rPr>
              <w:t>мбар</w:t>
            </w:r>
            <w:proofErr w:type="spellEnd"/>
            <w:r w:rsidRPr="002806A3">
              <w:rPr>
                <w:rFonts w:eastAsiaTheme="majorEastAsia"/>
                <w:sz w:val="20"/>
                <w:szCs w:val="20"/>
              </w:rPr>
              <w:t xml:space="preserve"> (</w:t>
            </w:r>
            <w:proofErr w:type="spellStart"/>
            <w:r w:rsidRPr="002806A3">
              <w:rPr>
                <w:rFonts w:eastAsiaTheme="majorEastAsia"/>
                <w:sz w:val="20"/>
                <w:szCs w:val="20"/>
              </w:rPr>
              <w:t>абс</w:t>
            </w:r>
            <w:proofErr w:type="spellEnd"/>
            <w:r w:rsidRPr="002806A3">
              <w:rPr>
                <w:rFonts w:eastAsiaTheme="majorEastAsia"/>
                <w:sz w:val="20"/>
                <w:szCs w:val="20"/>
              </w:rPr>
              <w:t>.)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Максимально допустимое избыточное давление — </w:t>
            </w:r>
            <w:r w:rsidRPr="002806A3">
              <w:rPr>
                <w:rFonts w:eastAsiaTheme="majorEastAsia"/>
                <w:sz w:val="20"/>
                <w:szCs w:val="20"/>
              </w:rPr>
              <w:t>0,5 бар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Производительность — </w:t>
            </w:r>
            <w:r w:rsidRPr="002806A3">
              <w:rPr>
                <w:rFonts w:eastAsiaTheme="majorEastAsia"/>
                <w:sz w:val="20"/>
                <w:szCs w:val="20"/>
              </w:rPr>
              <w:t>28 л/мин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Частота вращения привода — </w:t>
            </w:r>
            <w:r w:rsidRPr="002806A3">
              <w:rPr>
                <w:rFonts w:eastAsiaTheme="majorEastAsia"/>
                <w:sz w:val="20"/>
                <w:szCs w:val="20"/>
              </w:rPr>
              <w:t>1350 об/мин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Максимальный ток — </w:t>
            </w:r>
            <w:r w:rsidRPr="002806A3">
              <w:rPr>
                <w:rFonts w:eastAsiaTheme="majorEastAsia"/>
                <w:sz w:val="20"/>
                <w:szCs w:val="20"/>
              </w:rPr>
              <w:t>1,2 А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Масса — </w:t>
            </w:r>
            <w:r w:rsidRPr="002806A3">
              <w:rPr>
                <w:rFonts w:eastAsiaTheme="majorEastAsia"/>
                <w:sz w:val="20"/>
                <w:szCs w:val="20"/>
              </w:rPr>
              <w:t>6,9 кг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 xml:space="preserve">Материал рабочей камеры — </w:t>
            </w:r>
            <w:r w:rsidRPr="002806A3">
              <w:rPr>
                <w:rFonts w:eastAsiaTheme="majorEastAsia"/>
                <w:sz w:val="20"/>
                <w:szCs w:val="20"/>
              </w:rPr>
              <w:t>PTFE (фторопласт)</w:t>
            </w:r>
            <w:r w:rsidRPr="002806A3">
              <w:rPr>
                <w:sz w:val="20"/>
                <w:szCs w:val="20"/>
              </w:rPr>
              <w:t xml:space="preserve">. </w:t>
            </w:r>
          </w:p>
          <w:p w:rsidR="002806A3" w:rsidRPr="002806A3" w:rsidRDefault="002806A3" w:rsidP="002806A3">
            <w:pPr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Изготовитель: ООО «ПРАЙМЛАБ»</w:t>
            </w:r>
            <w:r w:rsidRPr="002806A3">
              <w:rPr>
                <w:sz w:val="20"/>
                <w:szCs w:val="20"/>
              </w:rPr>
              <w:br/>
              <w:t>Страна: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806A3">
              <w:rPr>
                <w:b w:val="0"/>
                <w:sz w:val="20"/>
                <w:szCs w:val="20"/>
              </w:rPr>
              <w:t>28.13.21.000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Россия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A3" w:rsidRPr="002806A3" w:rsidRDefault="002806A3" w:rsidP="002806A3">
            <w:pPr>
              <w:jc w:val="center"/>
              <w:rPr>
                <w:color w:val="000000"/>
                <w:sz w:val="20"/>
                <w:szCs w:val="20"/>
              </w:rPr>
            </w:pPr>
            <w:r w:rsidRPr="002806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6A3" w:rsidRPr="002806A3" w:rsidRDefault="002806A3" w:rsidP="002806A3">
            <w:pPr>
              <w:jc w:val="center"/>
              <w:rPr>
                <w:color w:val="000000"/>
                <w:sz w:val="20"/>
                <w:szCs w:val="20"/>
              </w:rPr>
            </w:pPr>
            <w:r w:rsidRPr="002806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</w:tr>
      <w:tr w:rsidR="002806A3" w:rsidRPr="002806A3" w:rsidTr="004D0D0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  <w:r w:rsidRPr="002806A3">
              <w:rPr>
                <w:sz w:val="20"/>
                <w:szCs w:val="20"/>
              </w:rPr>
              <w:t>Итого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A3" w:rsidRPr="002806A3" w:rsidRDefault="002806A3" w:rsidP="002806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0D09">
      <w:rPr>
        <w:rStyle w:val="a4"/>
        <w:noProof/>
      </w:rPr>
      <w:t>5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73B3F"/>
    <w:rsid w:val="000753AA"/>
    <w:rsid w:val="000810F3"/>
    <w:rsid w:val="000A5E3A"/>
    <w:rsid w:val="000A6D68"/>
    <w:rsid w:val="000B6ABD"/>
    <w:rsid w:val="000C41FF"/>
    <w:rsid w:val="000F3652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2038BC"/>
    <w:rsid w:val="00206EE3"/>
    <w:rsid w:val="00210D3C"/>
    <w:rsid w:val="002345C9"/>
    <w:rsid w:val="00241861"/>
    <w:rsid w:val="0025553C"/>
    <w:rsid w:val="00260CD6"/>
    <w:rsid w:val="002806A3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973F7"/>
    <w:rsid w:val="003A5E46"/>
    <w:rsid w:val="003A667E"/>
    <w:rsid w:val="003B631C"/>
    <w:rsid w:val="003C008A"/>
    <w:rsid w:val="003D17E1"/>
    <w:rsid w:val="003D4960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D0D09"/>
    <w:rsid w:val="004F251A"/>
    <w:rsid w:val="00505439"/>
    <w:rsid w:val="00507F54"/>
    <w:rsid w:val="00515611"/>
    <w:rsid w:val="00520427"/>
    <w:rsid w:val="00524F79"/>
    <w:rsid w:val="00526F30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22AB5"/>
    <w:rsid w:val="00652D69"/>
    <w:rsid w:val="00664CAA"/>
    <w:rsid w:val="00664F2A"/>
    <w:rsid w:val="00671429"/>
    <w:rsid w:val="00674088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E7170"/>
    <w:rsid w:val="00AF5B21"/>
    <w:rsid w:val="00B06219"/>
    <w:rsid w:val="00B15E07"/>
    <w:rsid w:val="00B46924"/>
    <w:rsid w:val="00B5583A"/>
    <w:rsid w:val="00B57227"/>
    <w:rsid w:val="00B600E7"/>
    <w:rsid w:val="00B63636"/>
    <w:rsid w:val="00B674D0"/>
    <w:rsid w:val="00B94CDF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4EE8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0728"/>
    <w:rsid w:val="00E064AC"/>
    <w:rsid w:val="00E15E41"/>
    <w:rsid w:val="00E205EC"/>
    <w:rsid w:val="00E939A9"/>
    <w:rsid w:val="00EA0C3C"/>
    <w:rsid w:val="00EA3CC7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0357852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B451-25FA-4F14-B431-DE24798B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5</Pages>
  <Words>1511</Words>
  <Characters>10925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12412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70</cp:revision>
  <cp:lastPrinted>2026-01-23T08:25:00Z</cp:lastPrinted>
  <dcterms:created xsi:type="dcterms:W3CDTF">2025-02-19T04:24:00Z</dcterms:created>
  <dcterms:modified xsi:type="dcterms:W3CDTF">2026-07-03T05:26:00Z</dcterms:modified>
</cp:coreProperties>
</file>