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0"/>
        <w:ind w:firstLine="709"/>
        <w:contextualSpacing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pacing w:before="0" w:after="0"/>
        <w:ind w:firstLine="709"/>
        <w:contextualSpacing/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Приложение 1 </w:t>
      </w:r>
    </w:p>
    <w:p>
      <w:pPr>
        <w:pStyle w:val="Normal"/>
        <w:widowControl w:val="false"/>
        <w:spacing w:before="0" w:after="0"/>
        <w:ind w:firstLine="709"/>
        <w:contextualSpacing/>
        <w:jc w:val="right"/>
        <w:rPr/>
      </w:pPr>
      <w:r>
        <w:rPr>
          <w:b/>
          <w:sz w:val="20"/>
          <w:szCs w:val="20"/>
        </w:rPr>
        <w:t>к Контракту от ________ № ______________</w:t>
      </w:r>
    </w:p>
    <w:p>
      <w:pPr>
        <w:pStyle w:val="BodyText"/>
        <w:spacing w:before="0" w:after="0"/>
        <w:rPr/>
      </w:pPr>
      <w:r>
        <w:rPr/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/>
      </w:pPr>
      <w:r>
        <w:rPr>
          <w:b/>
        </w:rPr>
        <w:t>Описание объекта закупки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/>
      </w:pPr>
      <w:r>
        <w:rPr>
          <w:b/>
          <w:kern w:val="2"/>
        </w:rPr>
        <w:t>на оказание услуг по обязательному страхованию гражданской ответственности владельцев транспортных средств ГУФССП России по г. Москве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b/>
        </w:rPr>
      </w:pPr>
      <w:r>
        <w:rPr>
          <w:b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</w:rPr>
        <w:t xml:space="preserve">            </w:t>
      </w:r>
      <w:r>
        <w:rPr>
          <w:b/>
        </w:rPr>
        <w:t xml:space="preserve">1. Заказчик: </w:t>
      </w:r>
      <w:r>
        <w:rPr>
          <w:b w:val="false"/>
          <w:bCs w:val="false"/>
        </w:rPr>
        <w:t>ГУФССП России по г. Москве.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</w:rPr>
        <w:t xml:space="preserve">            </w:t>
      </w:r>
      <w:r>
        <w:rPr>
          <w:b/>
        </w:rPr>
        <w:t>2. Местонахождение Заказчика:</w:t>
      </w:r>
      <w:r>
        <w:rPr/>
        <w:t xml:space="preserve"> г. Москва, ул. Гольяновская д.4А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  <w:spacing w:val="-1"/>
        </w:rPr>
        <w:t xml:space="preserve">        </w:t>
      </w:r>
      <w:r>
        <w:rPr>
          <w:b/>
          <w:spacing w:val="-1"/>
        </w:rPr>
        <w:t xml:space="preserve">3. Наименование объекта закупки: </w:t>
      </w:r>
      <w:r>
        <w:rPr/>
        <w:t xml:space="preserve">оказание услуг по обязательному страхованию гражданской ответственности владельцев транспортных средств ГУФССП  России по </w:t>
        <w:br/>
        <w:t xml:space="preserve">г. Москве (далее – Услуги). 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  <w:spacing w:val="-1"/>
        </w:rPr>
        <w:t xml:space="preserve">    </w:t>
      </w:r>
      <w:r>
        <w:rPr>
          <w:b/>
          <w:spacing w:val="-1"/>
        </w:rPr>
        <w:t>4. Период оказания Услуг:</w:t>
      </w:r>
      <w:r>
        <w:rPr>
          <w:b/>
        </w:rPr>
        <w:t xml:space="preserve"> </w:t>
      </w:r>
      <w:r>
        <w:rPr/>
        <w:t xml:space="preserve">с даты заключения Контракта, в соответствии </w:t>
        <w:br/>
        <w:t>с периодом страхования, указанном в Приложении № 1 к описанию объекта закупки.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</w:rPr>
        <w:t xml:space="preserve">         </w:t>
      </w:r>
      <w:r>
        <w:rPr>
          <w:b/>
        </w:rPr>
        <w:t xml:space="preserve">5. Код ОКПД2: </w:t>
      </w:r>
      <w:r>
        <w:rPr/>
        <w:t>65.12.21.000 – Услуги по страхованию гражданской ответственности владельцев транспортных средств.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347"/>
          <w:tab w:val="left" w:pos="843" w:leader="none"/>
        </w:tabs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</w:rPr>
        <w:t xml:space="preserve">         </w:t>
      </w:r>
      <w:r>
        <w:rPr>
          <w:b/>
        </w:rPr>
        <w:t xml:space="preserve">6. Объект страхования: </w:t>
      </w:r>
      <w:r>
        <w:rPr/>
        <w:t xml:space="preserve">имущественные интересы, связанные с риском гражданской ответственности владельца транспортных средств (далее – ТС) </w:t>
        <w:br/>
        <w:t>по обязательствам, возникающим вследствие причинения вреда жизни, здоровью или имуществу потерпевших при использовании ТС на территории Российской Федерации.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  <w:spacing w:val="-1"/>
        </w:rPr>
        <w:t xml:space="preserve">            </w:t>
      </w:r>
      <w:r>
        <w:rPr>
          <w:b/>
          <w:spacing w:val="-1"/>
        </w:rPr>
        <w:t>7. Требования соответствия Услуг нормативным документам</w:t>
      </w:r>
      <w:r>
        <w:rPr>
          <w:b/>
          <w:color w:val="000000"/>
        </w:rPr>
        <w:t>: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Услуги оказываются в соответствии с требованиями: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 xml:space="preserve">– </w:t>
      </w:r>
      <w:r>
        <w:rPr/>
        <w:t>Федерального закона от 25 апреля 2002 г. № 40-ФЗ «Об обязательном страховании гражданской ответственности владельцев транспортных средств»;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 xml:space="preserve">– </w:t>
      </w:r>
      <w:r>
        <w:rPr/>
        <w:t>Федерального закона от 27 ноября 1992 г. № 4015-1 «Об организации страхового дела в Российской Федерации»;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 xml:space="preserve">– </w:t>
      </w:r>
      <w:r>
        <w:rPr/>
        <w:t xml:space="preserve">Положения Банка России от </w:t>
      </w:r>
      <w:bookmarkStart w:id="0" w:name="_GoBack"/>
      <w:bookmarkEnd w:id="0"/>
      <w:r>
        <w:rPr/>
        <w:t>19 сентября 2014 г. № 433-П «О правилах проведения независимой технической экспертизы транспортного средства»;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 xml:space="preserve">– </w:t>
      </w:r>
      <w:r>
        <w:rPr/>
        <w:t>Положения Банка России от 01 апреля 2024 г. № 837-П «О правилах обязательного страхования гражданской ответственности владельцев транспортных средств»;</w:t>
      </w:r>
    </w:p>
    <w:p>
      <w:pPr>
        <w:pStyle w:val="Normal"/>
        <w:ind w:firstLine="709"/>
        <w:jc w:val="both"/>
        <w:rPr/>
      </w:pPr>
      <w:r>
        <w:rPr/>
        <w:t>–</w:t>
      </w:r>
      <w:r>
        <w:rPr/>
        <w:t xml:space="preserve">Указания Банка России от 9 октября 2025 года № 7204-У «О страховых тарифах </w:t>
        <w:br/>
        <w:t>по обязательному страхованию гражданской ответственности владельцев транспортных средств»;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/>
      </w:pPr>
      <w:r>
        <w:rPr/>
        <w:t xml:space="preserve">- Постановления Правительства Российской Федерации от 28 августа 2019 г. № 1108 «Об утверждении Правил представления страховщику информации о дорожно-транспортном происшествии, обеспечивающих получение страхователем некорректируемой информации </w:t>
        <w:br/>
        <w:t xml:space="preserve">о дорожно-транспортном происшествии, и требований к техническим средствам контроля </w:t>
        <w:br/>
        <w:t>и составу информации о дорожно-транспортном происшествии, а также о признании утратившими силу некоторых актов Правительства Российской Федерации»;</w:t>
      </w:r>
    </w:p>
    <w:p>
      <w:pPr>
        <w:pStyle w:val="Normal"/>
        <w:widowControl w:val="false"/>
        <w:tabs>
          <w:tab w:val="clear" w:pos="347"/>
          <w:tab w:val="left" w:pos="142" w:leader="none"/>
          <w:tab w:val="left" w:pos="567" w:leader="none"/>
        </w:tabs>
        <w:spacing w:before="0" w:after="0"/>
        <w:ind w:firstLine="709"/>
        <w:contextualSpacing/>
        <w:jc w:val="both"/>
        <w:rPr/>
      </w:pPr>
      <w:r>
        <w:rPr/>
        <w:t xml:space="preserve">- Положения Центрального Банка Российской Федерации от 04.03.2021 № 755-П </w:t>
        <w:br/>
        <w:t xml:space="preserve">«О единой методике определения размера расходов на восстановительный ремонт </w:t>
        <w:br/>
        <w:t>в отношении поврежденного транспортного средства»;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50"/>
        <w:ind w:hanging="0" w:left="0" w:right="0"/>
        <w:contextualSpacing/>
        <w:jc w:val="both"/>
        <w:rPr/>
      </w:pPr>
      <w:r>
        <w:rPr>
          <w:b/>
          <w:bCs/>
          <w:spacing w:val="-1"/>
        </w:rPr>
        <w:t xml:space="preserve">            </w:t>
      </w:r>
      <w:r>
        <w:rPr>
          <w:b/>
          <w:bCs/>
          <w:spacing w:val="-1"/>
        </w:rPr>
        <w:t>8. Объем оказываемых Услуг: </w:t>
      </w:r>
    </w:p>
    <w:p>
      <w:pPr>
        <w:pStyle w:val="ListParagraph"/>
        <w:ind w:firstLine="709" w:left="0"/>
        <w:jc w:val="both"/>
        <w:rPr/>
      </w:pPr>
      <w:r>
        <w:rPr/>
        <w:t>Страхованию подлежат ТС в количестве 5 единиц.</w:t>
      </w:r>
    </w:p>
    <w:p>
      <w:pPr>
        <w:pStyle w:val="ListParagraph"/>
        <w:ind w:firstLine="709" w:left="0"/>
        <w:jc w:val="both"/>
        <w:rPr/>
      </w:pPr>
      <w:r>
        <w:rPr/>
        <w:t>Информация и сведения о ТС, подлежащих страхованию,</w:t>
      </w:r>
      <w:r>
        <w:rPr>
          <w:color w:val="FF0000"/>
        </w:rPr>
        <w:t xml:space="preserve"> </w:t>
      </w:r>
      <w:r>
        <w:rPr/>
        <w:t>указаны в Приложении № 1 к настоящему Описанию объекта закупки.</w:t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>
          <w:rStyle w:val="Strong"/>
          <w:rFonts w:eastAsia="" w:eastAsiaTheme="majorEastAsia"/>
        </w:rPr>
        <w:t>9. Территория страхового покрытия:</w:t>
      </w:r>
      <w:r>
        <w:rPr/>
        <w:t xml:space="preserve"> Российская Федерация.</w:t>
      </w:r>
    </w:p>
    <w:p>
      <w:pPr>
        <w:pStyle w:val="Normal"/>
        <w:widowControl/>
        <w:bidi w:val="0"/>
        <w:spacing w:lineRule="auto" w:line="240" w:before="0" w:after="150"/>
        <w:ind w:firstLine="680" w:left="0" w:right="0"/>
        <w:contextualSpacing/>
        <w:jc w:val="both"/>
        <w:rPr/>
      </w:pPr>
      <w:r>
        <w:rPr>
          <w:rStyle w:val="Strong"/>
          <w:rFonts w:eastAsia="" w:eastAsiaTheme="majorEastAsia"/>
        </w:rPr>
        <w:t>10.</w:t>
      </w:r>
      <w:r>
        <w:rPr>
          <w:b/>
        </w:rPr>
        <w:t xml:space="preserve"> Условия оказания Услуг:</w:t>
      </w:r>
    </w:p>
    <w:p>
      <w:pPr>
        <w:pStyle w:val="Normal"/>
        <w:widowControl/>
        <w:bidi w:val="0"/>
        <w:spacing w:lineRule="auto" w:line="240" w:before="0" w:after="150"/>
        <w:ind w:firstLine="680" w:left="0" w:right="0"/>
        <w:contextualSpacing/>
        <w:jc w:val="both"/>
        <w:rPr/>
      </w:pPr>
      <w:r>
        <w:rPr/>
        <w:t xml:space="preserve">10.1. Наличие у Исполнителя действующей лицензии на осуществление страхования </w:t>
        <w:br/>
        <w:t>по виду деятельности: «Обязательное страхование гражданской ответственности владельцев транспортных средств».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10.2.</w:t>
        <w:tab/>
        <w:t>Услуги оказываются Исполнителем путем оформления и выдачи Заказчику страховых полисов обязательного страхования гражданской ответственности владельцев транспортных средств (далее – страховые полисы) с п</w:t>
      </w:r>
      <w:r>
        <w:rPr>
          <w:rStyle w:val="Strong"/>
          <w:rFonts w:eastAsia="" w:eastAsiaTheme="majorEastAsia"/>
          <w:b w:val="false"/>
          <w:color w:val="222222"/>
        </w:rPr>
        <w:t>ериодом действия</w:t>
      </w:r>
      <w:r>
        <w:rPr>
          <w:rStyle w:val="Strong"/>
          <w:rFonts w:eastAsia="" w:eastAsiaTheme="majorEastAsia"/>
          <w:color w:val="222222"/>
        </w:rPr>
        <w:t xml:space="preserve"> </w:t>
      </w:r>
      <w:r>
        <w:rPr>
          <w:rStyle w:val="Strong"/>
          <w:rFonts w:eastAsia="" w:eastAsiaTheme="majorEastAsia"/>
          <w:b w:val="false"/>
        </w:rPr>
        <w:t>один календарный год,</w:t>
      </w:r>
      <w:r>
        <w:rPr>
          <w:shd w:fill="FFFFFF" w:val="clear"/>
        </w:rPr>
        <w:t> согласно срокам, указанным в Приложении № 1 к настоящему Описанию объекта закупки.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Страховые полисы могут быть оформлены как на бумажном носителе, так и составлены и направлены Заказчику в виде электронного документа в случаях и порядке, предусмотренных Положением Банка России от 01 апреля 2024 г. № 837-П «О правилах обязательного страхования гражданской ответственности владельцев транспортных средств» (далее – Правила);</w:t>
      </w:r>
    </w:p>
    <w:p>
      <w:pPr>
        <w:pStyle w:val="HTMLPreformatted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10.3. Страховые полисы оформляются и выдаются Исполнителем Заказчику в течение 2 (двух) рабочих дней с даты подачи Заказчиком Заявления о заключении договора обязательного страхования гражданской ответственности владельцев транспортного средства.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/>
      </w:pPr>
      <w:r>
        <w:rPr/>
        <w:t>В случае необходимости оформления страховых полисов на несколько ТС к Заявлению прилагается перечень ТС с указанием информации и сведений, необходимых Исполнителю для оформления страховых полисов в соответствии с Федеральным законом от 25.04.2002 г. № 40-ФЗ «Об обязательном страховании гражданской ответственности владельцев транспортных средств».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/>
      </w:pPr>
      <w:r>
        <w:rPr/>
        <w:t>10.</w:t>
      </w:r>
      <w:r>
        <w:rPr>
          <w:strike/>
        </w:rPr>
        <w:t>4</w:t>
      </w:r>
      <w:r>
        <w:rPr/>
        <w:t>. В случае оформления страховых полисов на бумажном носителе, страховые полисы выдаются Заказчику в рабочее время</w:t>
      </w:r>
      <w:r>
        <w:rPr>
          <w:bCs/>
        </w:rPr>
        <w:t xml:space="preserve"> в офисе Исполнителя, расположенного </w:t>
        <w:br/>
        <w:t xml:space="preserve">в г. Москве или </w:t>
      </w:r>
      <w:r>
        <w:rPr/>
        <w:t xml:space="preserve">доставляются </w:t>
      </w:r>
      <w:r>
        <w:rPr>
          <w:bCs/>
        </w:rPr>
        <w:t xml:space="preserve">Исполнителем Заказчику по месту его нахождения без взимания платы. </w:t>
      </w:r>
    </w:p>
    <w:p>
      <w:pPr>
        <w:pStyle w:val="Normal"/>
        <w:spacing w:before="0" w:after="150"/>
        <w:ind w:firstLine="709"/>
        <w:contextualSpacing/>
        <w:jc w:val="both"/>
        <w:rPr>
          <w:color w:val="222222"/>
        </w:rPr>
      </w:pPr>
      <w:r>
        <w:rPr>
          <w:color w:val="222222"/>
        </w:rPr>
        <w:t>10.5. При утрате Заказчиком страховых полисов Исполнитель обязан оформить Заказчику дубликат без взимания платы.</w:t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tabs>
          <w:tab w:val="clear" w:pos="347"/>
          <w:tab w:val="left" w:pos="4500" w:leader="none"/>
        </w:tabs>
        <w:spacing w:before="0" w:after="150"/>
        <w:ind w:firstLine="709"/>
        <w:contextualSpacing/>
        <w:jc w:val="both"/>
        <w:rPr/>
      </w:pPr>
      <w:r>
        <w:rPr/>
        <w:tab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both"/>
        <w:rPr/>
      </w:pPr>
      <w:r>
        <w:rPr/>
      </w:r>
    </w:p>
    <w:p>
      <w:pPr>
        <w:pStyle w:val="Normal"/>
        <w:spacing w:before="0" w:after="150"/>
        <w:ind w:firstLine="709"/>
        <w:contextualSpacing/>
        <w:jc w:val="right"/>
        <w:rPr/>
      </w:pPr>
      <w:r>
        <w:rPr/>
        <w:t>Приложение 1</w:t>
      </w:r>
    </w:p>
    <w:p>
      <w:pPr>
        <w:pStyle w:val="Normal"/>
        <w:spacing w:before="0" w:after="150"/>
        <w:ind w:firstLine="709"/>
        <w:contextualSpacing/>
        <w:jc w:val="right"/>
        <w:rPr/>
      </w:pPr>
      <w:r>
        <w:rPr/>
      </w:r>
    </w:p>
    <w:p>
      <w:pPr>
        <w:pStyle w:val="ListParagraph"/>
        <w:spacing w:before="0" w:after="150"/>
        <w:ind w:firstLine="709" w:left="0"/>
        <w:contextualSpacing/>
        <w:jc w:val="both"/>
        <w:rPr/>
      </w:pPr>
      <w:r>
        <w:rPr/>
        <w:t>Информация и сведения о транспортных средствах подлежащих страхованию</w:t>
      </w:r>
    </w:p>
    <w:tbl>
      <w:tblPr>
        <w:tblW w:w="10993" w:type="dxa"/>
        <w:jc w:val="left"/>
        <w:tblInd w:w="-850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311"/>
        <w:gridCol w:w="1457"/>
        <w:gridCol w:w="1463"/>
        <w:gridCol w:w="1460"/>
        <w:gridCol w:w="1315"/>
        <w:gridCol w:w="1309"/>
        <w:gridCol w:w="1980"/>
        <w:gridCol w:w="739"/>
        <w:gridCol w:w="957"/>
      </w:tblGrid>
      <w:tr>
        <w:trPr>
          <w:trHeight w:val="1025" w:hRule="atLeast"/>
        </w:trPr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учреждения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widowControl/>
              <w:suppressLineNumbers/>
              <w:bidi w:val="0"/>
              <w:spacing w:lineRule="auto" w:line="240" w:before="0" w:after="0"/>
              <w:ind w:hanging="0" w:left="0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 местонахождение транспортного средства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widowControl/>
              <w:suppressLineNumbers/>
              <w:bidi w:val="0"/>
              <w:spacing w:lineRule="auto" w:line="240" w:before="0" w:after="0"/>
              <w:ind w:hanging="0" w:left="0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Государственный регистрационный знак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транспортного средства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zCs w:val="18"/>
                <w:shd w:fill="auto" w:val="clear"/>
              </w:rPr>
              <w:t>Марка, модель транспортного средства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18"/>
                <w:szCs w:val="18"/>
                <w:shd w:fill="auto" w:val="clear"/>
              </w:rPr>
              <w:t>Индентификационный номер (VIN)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widowControl/>
              <w:suppressLineNumbers/>
              <w:bidi w:val="0"/>
              <w:spacing w:lineRule="auto" w:line="240" w:before="0" w:after="0"/>
              <w:ind w:hanging="0" w:left="0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выпуска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Цена, руб</w:t>
            </w:r>
          </w:p>
        </w:tc>
      </w:tr>
      <w:tr>
        <w:trPr/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ГУФССП России по  г. Москве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г.Москва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Х 033 ТМ 199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Normal"/>
              <w:bidi w:val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Соболь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20"/>
              <w:ind w:hanging="0" w:left="0" w:right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hd w:fill="auto" w:val="clear"/>
              </w:rPr>
              <w:t>X96275200T1046250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1 632,81</w:t>
            </w:r>
          </w:p>
        </w:tc>
      </w:tr>
      <w:tr>
        <w:trPr/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ГУФССП России по  г. Москве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г.Москва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Х 052 ТМ 199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Normal"/>
              <w:bidi w:val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Cs w:val="18"/>
                <w:shd w:fill="auto" w:val="clear"/>
              </w:rPr>
              <w:t>Соболь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20"/>
              <w:ind w:hanging="0" w:left="0" w:right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hd w:fill="auto" w:val="clear"/>
              </w:rPr>
              <w:t>X96275200T1046213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1 632,81</w:t>
            </w:r>
          </w:p>
        </w:tc>
      </w:tr>
      <w:tr>
        <w:trPr/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ГУФССП России по  г. Москве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г.Москва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Н 102 НХ 977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Normal"/>
              <w:bidi w:val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Cs w:val="18"/>
                <w:shd w:fill="auto" w:val="clear"/>
              </w:rPr>
              <w:t>Соболь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20"/>
              <w:ind w:hanging="0" w:left="0" w:right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hd w:fill="auto" w:val="clear"/>
              </w:rPr>
              <w:t>X96275200T1046227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1 632,81</w:t>
            </w:r>
          </w:p>
        </w:tc>
      </w:tr>
      <w:tr>
        <w:trPr/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ГУФССП России по  г. Москве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г.Москва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Х 130 ТМ 199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В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Normal"/>
              <w:bidi w:val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Cs w:val="18"/>
                <w:shd w:fill="auto" w:val="clear"/>
              </w:rPr>
              <w:t>Соболь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20"/>
              <w:ind w:hanging="0" w:left="0" w:right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hd w:fill="auto" w:val="clear"/>
              </w:rPr>
              <w:t>X96275200T1046263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1 632,81</w:t>
            </w:r>
          </w:p>
        </w:tc>
      </w:tr>
      <w:tr>
        <w:trPr/>
        <w:tc>
          <w:tcPr>
            <w:tcW w:w="31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ГУФССП России по  г. Москве</w:t>
            </w:r>
          </w:p>
        </w:tc>
        <w:tc>
          <w:tcPr>
            <w:tcW w:w="146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г.Москва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Н 151 НХ 977</w:t>
            </w:r>
          </w:p>
        </w:tc>
        <w:tc>
          <w:tcPr>
            <w:tcW w:w="131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В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Normal"/>
              <w:bidi w:val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Cs w:val="18"/>
                <w:shd w:fill="auto" w:val="clear"/>
              </w:rPr>
              <w:t>Соболь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20"/>
              <w:ind w:hanging="0" w:left="0" w:right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hd w:fill="auto" w:val="clear"/>
              </w:rPr>
              <w:t>X96275200T1046248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347"/>
              </w:tabs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1 632,81</w:t>
            </w:r>
          </w:p>
        </w:tc>
      </w:tr>
    </w:tbl>
    <w:p>
      <w:pPr>
        <w:pStyle w:val="ListParagraph"/>
        <w:spacing w:before="0" w:after="150"/>
        <w:ind w:firstLine="709" w:left="0"/>
        <w:contextualSpacing/>
        <w:jc w:val="both"/>
        <w:rPr/>
      </w:pPr>
      <w:r>
        <w:rPr/>
      </w:r>
    </w:p>
    <w:p>
      <w:pPr>
        <w:pStyle w:val="ListParagraph"/>
        <w:spacing w:before="0" w:after="150"/>
        <w:ind w:firstLine="709" w:left="0"/>
        <w:contextualSpacing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18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2366586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347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953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17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азвание Знак"/>
    <w:basedOn w:val="DefaultParagraphFont"/>
    <w:uiPriority w:val="10"/>
    <w:qFormat/>
    <w:rsid w:val="001953a8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eastAsia="ru-RU"/>
    </w:rPr>
  </w:style>
  <w:style w:type="character" w:styleId="1" w:customStyle="1">
    <w:name w:val="Название Знак1"/>
    <w:qFormat/>
    <w:locked/>
    <w:rsid w:val="001953a8"/>
    <w:rPr>
      <w:rFonts w:ascii="Times New Roman" w:hAnsi="Times New Roman" w:eastAsia="Times New Roman" w:cs="Times New Roman"/>
      <w:b/>
      <w:bCs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1953a8"/>
    <w:rPr>
      <w:rFonts w:ascii="Tahoma" w:hAnsi="Tahoma" w:eastAsia="Times New Roman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f74ed8"/>
    <w:rPr>
      <w:b/>
      <w:bCs/>
    </w:rPr>
  </w:style>
  <w:style w:type="character" w:styleId="Fill" w:customStyle="1">
    <w:name w:val="fill"/>
    <w:basedOn w:val="DefaultParagraphFont"/>
    <w:qFormat/>
    <w:rsid w:val="00f74ed8"/>
    <w:rPr/>
  </w:style>
  <w:style w:type="character" w:styleId="Sfwc" w:customStyle="1">
    <w:name w:val="sfwc"/>
    <w:basedOn w:val="DefaultParagraphFont"/>
    <w:qFormat/>
    <w:rsid w:val="00120651"/>
    <w:rPr/>
  </w:style>
  <w:style w:type="character" w:styleId="HTML" w:customStyle="1">
    <w:name w:val="Стандартный HTML Знак"/>
    <w:basedOn w:val="DefaultParagraphFont"/>
    <w:uiPriority w:val="99"/>
    <w:qFormat/>
    <w:rsid w:val="007b6a93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56c0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156c0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qFormat/>
    <w:rsid w:val="001953a8"/>
    <w:pPr>
      <w:jc w:val="center"/>
    </w:pPr>
    <w:rPr>
      <w:b/>
      <w:bCs/>
      <w:sz w:val="22"/>
      <w:szCs w:val="22"/>
    </w:rPr>
  </w:style>
  <w:style w:type="paragraph" w:styleId="BalloonText">
    <w:name w:val="Balloon Text"/>
    <w:basedOn w:val="Normal"/>
    <w:uiPriority w:val="99"/>
    <w:semiHidden/>
    <w:unhideWhenUsed/>
    <w:qFormat/>
    <w:rsid w:val="001953a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2a6"/>
    <w:pPr>
      <w:spacing w:before="0" w:after="0"/>
      <w:ind w:hanging="0"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b67e4d"/>
    <w:pPr>
      <w:spacing w:beforeAutospacing="1" w:afterAutospacing="1"/>
    </w:pPr>
    <w:rPr/>
  </w:style>
  <w:style w:type="paragraph" w:styleId="HTMLPreformatted">
    <w:name w:val="HTML Preformatted"/>
    <w:basedOn w:val="Normal"/>
    <w:uiPriority w:val="99"/>
    <w:unhideWhenUsed/>
    <w:qFormat/>
    <w:rsid w:val="007b6a93"/>
    <w:pPr>
      <w:tabs>
        <w:tab w:val="clear" w:pos="347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156c08"/>
    <w:pPr>
      <w:tabs>
        <w:tab w:val="clear" w:pos="347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156c08"/>
    <w:pPr>
      <w:tabs>
        <w:tab w:val="clear" w:pos="347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00AEA-3FB3-41C3-A1F5-12484F3D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Application>LibreOffice/7.6.7.2$Linux_X86_64 LibreOffice_project/60$Build-2</Application>
  <AppVersion>15.0000</AppVersion>
  <Pages>3</Pages>
  <Words>691</Words>
  <Characters>4734</Characters>
  <CharactersWithSpaces>5450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2025-10-20T12:04:00Z</dcterms:created>
  <dc:creator>Чеплакова Татьяна Александровна</dc:creator>
  <dc:description/>
  <dc:language>ru-RU</dc:language>
  <cp:lastModifiedBy/>
  <cp:lastPrinted>2024-11-18T08:00:00Z</cp:lastPrinted>
  <dcterms:modified xsi:type="dcterms:W3CDTF">2026-08-19T15:19:42Z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