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Поставка тест-систем «</w:t>
      </w:r>
      <w:proofErr w:type="spellStart"/>
      <w:r>
        <w:rPr>
          <w:b/>
          <w:bCs/>
        </w:rPr>
        <w:t>Продоскрин</w:t>
      </w:r>
      <w:proofErr w:type="spellEnd"/>
      <w:r>
        <w:rPr>
          <w:b/>
          <w:bCs/>
        </w:rPr>
        <w:t>»</w:t>
      </w:r>
    </w:p>
    <w:p>
      <w:pPr>
        <w:keepNext/>
        <w:keepLines/>
        <w:widowControl w:val="0"/>
        <w:jc w:val="center"/>
        <w:rPr>
          <w:b/>
          <w:bCs/>
        </w:rPr>
      </w:pPr>
      <w:r>
        <w:rPr>
          <w:b/>
          <w:bCs/>
        </w:rPr>
        <w:t>ИКЗ 261770500425477050100100081230000244</w:t>
      </w:r>
    </w:p>
    <w:p>
      <w:pPr>
        <w:keepNext/>
        <w:keepLines/>
        <w:widowControl w:val="0"/>
        <w:jc w:val="center"/>
        <w:rPr>
          <w:b/>
          <w:bCs/>
        </w:rPr>
      </w:pPr>
    </w:p>
    <w:p>
      <w:pPr>
        <w:keepNext/>
        <w:keepLines/>
        <w:widowControl w:val="0"/>
        <w:ind w:left="-567"/>
      </w:pPr>
      <w:r>
        <w:t xml:space="preserve">г. Москва                                                                                              </w:t>
      </w:r>
      <w:r>
        <w:tab/>
        <w:t xml:space="preserve">                     «___» ______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тест-системы «</w:t>
      </w:r>
      <w:proofErr w:type="spellStart"/>
      <w:r>
        <w:rPr>
          <w:b/>
          <w:bCs/>
        </w:rPr>
        <w:t>Продоскрин</w:t>
      </w:r>
      <w:proofErr w:type="spellEnd"/>
      <w:r>
        <w:rPr>
          <w:b/>
          <w:bCs/>
        </w:rPr>
        <w:t xml:space="preserve">»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lastRenderedPageBreak/>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30 (тридцати)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lastRenderedPageBreak/>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lastRenderedPageBreak/>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lastRenderedPageBreak/>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lastRenderedPageBreak/>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lastRenderedPageBreak/>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lastRenderedPageBreak/>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lastRenderedPageBreak/>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851" w:right="851" w:bottom="709" w:left="1276" w:header="709" w:footer="153" w:gutter="0"/>
          <w:cols w:space="708"/>
          <w:docGrid w:linePitch="360"/>
        </w:sectPr>
      </w:pPr>
    </w:p>
    <w:p>
      <w:pPr>
        <w:keepNext/>
        <w:keepLines/>
        <w:widowControl w:val="0"/>
        <w:jc w:val="right"/>
        <w:rPr>
          <w:b/>
          <w:bCs/>
        </w:rPr>
      </w:pPr>
      <w:r>
        <w:rPr>
          <w:b/>
          <w:bCs/>
        </w:rPr>
        <w:lastRenderedPageBreak/>
        <w:t>Приложение № 1</w:t>
      </w:r>
    </w:p>
    <w:p>
      <w:pPr>
        <w:keepNext/>
        <w:keepLines/>
        <w:widowControl w:val="0"/>
        <w:ind w:left="6521"/>
        <w:jc w:val="right"/>
        <w:rPr>
          <w:b/>
        </w:rPr>
      </w:pPr>
      <w:r>
        <w:rPr>
          <w:b/>
        </w:rPr>
        <w:t xml:space="preserve">к Контракту № 368 </w:t>
      </w:r>
    </w:p>
    <w:p>
      <w:pPr>
        <w:keepNext/>
        <w:keepLines/>
        <w:widowControl w:val="0"/>
        <w:ind w:left="6521"/>
        <w:jc w:val="right"/>
        <w:rPr>
          <w:b/>
        </w:rPr>
      </w:pPr>
      <w:r>
        <w:rPr>
          <w:b/>
        </w:rPr>
        <w:t>от «___» __________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953" w:type="pct"/>
            <w:vAlign w:val="center"/>
          </w:tcPr>
          <w:p>
            <w:pPr>
              <w:keepNext/>
              <w:keepLines/>
              <w:widowControl w:val="0"/>
              <w:jc w:val="center"/>
              <w:rPr>
                <w:b/>
                <w:bCs/>
                <w:sz w:val="18"/>
                <w:szCs w:val="18"/>
              </w:rPr>
            </w:pPr>
            <w:r>
              <w:rPr>
                <w:b/>
                <w:bCs/>
                <w:sz w:val="18"/>
                <w:szCs w:val="18"/>
              </w:rPr>
              <w:t>Наименование Товара,</w:t>
            </w:r>
          </w:p>
          <w:p>
            <w:pPr>
              <w:keepNext/>
              <w:keepLines/>
              <w:widowControl w:val="0"/>
              <w:jc w:val="center"/>
              <w:rPr>
                <w:b/>
                <w:bCs/>
                <w:sz w:val="18"/>
                <w:szCs w:val="18"/>
              </w:rPr>
            </w:pPr>
            <w:r>
              <w:rPr>
                <w:b/>
                <w:bCs/>
                <w:sz w:val="18"/>
                <w:szCs w:val="18"/>
              </w:rPr>
              <w:t xml:space="preserve">страна происхождения </w:t>
            </w:r>
            <w:r>
              <w:rPr>
                <w:b/>
                <w:bCs/>
                <w:sz w:val="18"/>
                <w:szCs w:val="18"/>
              </w:rPr>
              <w:br/>
            </w:r>
          </w:p>
        </w:tc>
        <w:tc>
          <w:tcPr>
            <w:tcW w:w="484" w:type="pct"/>
            <w:vAlign w:val="center"/>
          </w:tcPr>
          <w:p>
            <w:pPr>
              <w:keepNext/>
              <w:keepLines/>
              <w:widowControl w:val="0"/>
              <w:jc w:val="center"/>
              <w:rPr>
                <w:b/>
                <w:bCs/>
                <w:sz w:val="18"/>
                <w:szCs w:val="18"/>
              </w:rPr>
            </w:pPr>
            <w:r>
              <w:rPr>
                <w:b/>
                <w:bCs/>
                <w:sz w:val="18"/>
                <w:szCs w:val="18"/>
              </w:rPr>
              <w:t>КТРУ/ОКПД</w:t>
            </w:r>
            <w:proofErr w:type="gramStart"/>
            <w:r>
              <w:rPr>
                <w:b/>
                <w:bCs/>
                <w:sz w:val="18"/>
                <w:szCs w:val="18"/>
              </w:rPr>
              <w:t>2</w:t>
            </w:r>
            <w:proofErr w:type="gramEnd"/>
          </w:p>
        </w:tc>
        <w:tc>
          <w:tcPr>
            <w:tcW w:w="1322" w:type="pct"/>
            <w:vAlign w:val="center"/>
          </w:tcPr>
          <w:p>
            <w:pPr>
              <w:keepNext/>
              <w:keepLines/>
              <w:widowControl w:val="0"/>
              <w:jc w:val="center"/>
              <w:rPr>
                <w:b/>
                <w:sz w:val="18"/>
                <w:szCs w:val="18"/>
              </w:rPr>
            </w:pPr>
            <w:r>
              <w:rPr>
                <w:b/>
                <w:color w:val="000000"/>
                <w:sz w:val="18"/>
                <w:szCs w:val="18"/>
              </w:rPr>
              <w:t>Технические характеристики</w:t>
            </w:r>
          </w:p>
        </w:tc>
        <w:tc>
          <w:tcPr>
            <w:tcW w:w="264" w:type="pct"/>
            <w:vAlign w:val="center"/>
          </w:tcPr>
          <w:p>
            <w:pPr>
              <w:keepNext/>
              <w:keepLines/>
              <w:widowControl w:val="0"/>
              <w:jc w:val="center"/>
              <w:rPr>
                <w:b/>
                <w:sz w:val="18"/>
                <w:szCs w:val="18"/>
              </w:rPr>
            </w:pPr>
            <w:r>
              <w:rPr>
                <w:b/>
                <w:sz w:val="18"/>
                <w:szCs w:val="18"/>
              </w:rPr>
              <w:t>Ед. изм</w:t>
            </w:r>
          </w:p>
        </w:tc>
        <w:tc>
          <w:tcPr>
            <w:tcW w:w="305" w:type="pct"/>
            <w:vAlign w:val="center"/>
          </w:tcPr>
          <w:p>
            <w:pPr>
              <w:keepNext/>
              <w:keepLines/>
              <w:widowControl w:val="0"/>
              <w:jc w:val="center"/>
              <w:rPr>
                <w:b/>
                <w:sz w:val="18"/>
                <w:szCs w:val="18"/>
              </w:rPr>
            </w:pPr>
            <w:r>
              <w:rPr>
                <w:b/>
                <w:sz w:val="18"/>
                <w:szCs w:val="18"/>
              </w:rPr>
              <w:t>Кол-во</w:t>
            </w:r>
          </w:p>
        </w:tc>
        <w:tc>
          <w:tcPr>
            <w:tcW w:w="420" w:type="pct"/>
            <w:vAlign w:val="center"/>
          </w:tcPr>
          <w:p>
            <w:pPr>
              <w:keepNext/>
              <w:keepLines/>
              <w:widowControl w:val="0"/>
              <w:ind w:left="-108"/>
              <w:jc w:val="center"/>
              <w:rPr>
                <w:b/>
                <w:bCs/>
                <w:sz w:val="18"/>
                <w:szCs w:val="18"/>
              </w:rPr>
            </w:pPr>
            <w:r>
              <w:rPr>
                <w:b/>
                <w:bCs/>
                <w:sz w:val="18"/>
                <w:szCs w:val="18"/>
              </w:rPr>
              <w:t>Цена единицы</w:t>
            </w:r>
          </w:p>
          <w:p>
            <w:pPr>
              <w:keepNext/>
              <w:keepLines/>
              <w:widowControl w:val="0"/>
              <w:ind w:left="-108" w:right="81" w:hanging="108"/>
              <w:jc w:val="center"/>
              <w:rPr>
                <w:b/>
                <w:bCs/>
                <w:sz w:val="18"/>
                <w:szCs w:val="18"/>
              </w:rPr>
            </w:pPr>
            <w:r>
              <w:rPr>
                <w:b/>
                <w:bCs/>
                <w:sz w:val="18"/>
                <w:szCs w:val="18"/>
              </w:rPr>
              <w:t>с учётом</w:t>
            </w:r>
          </w:p>
          <w:p>
            <w:pPr>
              <w:keepNext/>
              <w:keepLines/>
              <w:widowControl w:val="0"/>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c>
          <w:tcPr>
            <w:tcW w:w="525" w:type="pct"/>
            <w:vAlign w:val="center"/>
          </w:tcPr>
          <w:p>
            <w:pPr>
              <w:keepNext/>
              <w:keepLines/>
              <w:widowControl w:val="0"/>
              <w:spacing w:line="281" w:lineRule="exact"/>
              <w:ind w:left="-108" w:right="-108" w:firstLine="108"/>
              <w:jc w:val="center"/>
              <w:rPr>
                <w:b/>
                <w:sz w:val="18"/>
                <w:szCs w:val="18"/>
              </w:rPr>
            </w:pPr>
            <w:r>
              <w:rPr>
                <w:b/>
                <w:sz w:val="18"/>
                <w:szCs w:val="18"/>
              </w:rPr>
              <w:t>Размер НДС</w:t>
            </w:r>
          </w:p>
        </w:tc>
        <w:tc>
          <w:tcPr>
            <w:tcW w:w="524" w:type="pct"/>
            <w:vAlign w:val="center"/>
          </w:tcPr>
          <w:p>
            <w:pPr>
              <w:keepNext/>
              <w:keepLines/>
              <w:widowControl w:val="0"/>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keepLines/>
              <w:widowControl w:val="0"/>
              <w:spacing w:line="281" w:lineRule="exact"/>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r>
      <w:tr>
        <w:trPr>
          <w:trHeight w:val="685"/>
        </w:trPr>
        <w:tc>
          <w:tcPr>
            <w:tcW w:w="203" w:type="pct"/>
            <w:vAlign w:val="center"/>
          </w:tcPr>
          <w:p>
            <w:pPr>
              <w:keepNext/>
              <w:keepLines/>
              <w:widowControl w:val="0"/>
              <w:jc w:val="center"/>
              <w:rPr>
                <w:sz w:val="18"/>
                <w:szCs w:val="18"/>
              </w:rPr>
            </w:pPr>
            <w:r>
              <w:rPr>
                <w:sz w:val="18"/>
                <w:szCs w:val="18"/>
              </w:rPr>
              <w:t>1</w:t>
            </w:r>
          </w:p>
        </w:tc>
        <w:tc>
          <w:tcPr>
            <w:tcW w:w="953" w:type="pct"/>
            <w:vAlign w:val="center"/>
          </w:tcPr>
          <w:p>
            <w:pPr>
              <w:keepNext/>
              <w:keepLines/>
              <w:widowControl w:val="0"/>
              <w:jc w:val="center"/>
              <w:rPr>
                <w:bCs/>
                <w:sz w:val="18"/>
                <w:szCs w:val="18"/>
              </w:rPr>
            </w:pPr>
            <w:r>
              <w:rPr>
                <w:bCs/>
                <w:sz w:val="18"/>
                <w:szCs w:val="18"/>
              </w:rPr>
              <w:t xml:space="preserve">Тест-система ПРОДОСКРИН® </w:t>
            </w:r>
            <w:proofErr w:type="spellStart"/>
            <w:r>
              <w:rPr>
                <w:bCs/>
                <w:sz w:val="18"/>
                <w:szCs w:val="18"/>
              </w:rPr>
              <w:t>Хлорамфеникол</w:t>
            </w:r>
            <w:proofErr w:type="spellEnd"/>
            <w:r>
              <w:rPr>
                <w:bCs/>
                <w:sz w:val="18"/>
                <w:szCs w:val="18"/>
              </w:rPr>
              <w:t>, Республика Беларусь</w:t>
            </w:r>
          </w:p>
        </w:tc>
        <w:tc>
          <w:tcPr>
            <w:tcW w:w="484" w:type="pct"/>
            <w:vAlign w:val="center"/>
          </w:tcPr>
          <w:p>
            <w:pPr>
              <w:keepNext/>
              <w:keepLines/>
              <w:widowControl w:val="0"/>
              <w:jc w:val="center"/>
              <w:rPr>
                <w:sz w:val="18"/>
                <w:szCs w:val="18"/>
              </w:rPr>
            </w:pPr>
            <w:r>
              <w:rPr>
                <w:sz w:val="18"/>
                <w:szCs w:val="18"/>
              </w:rPr>
              <w:t>20.59.52.199</w:t>
            </w:r>
          </w:p>
        </w:tc>
        <w:tc>
          <w:tcPr>
            <w:tcW w:w="1322" w:type="pct"/>
            <w:vAlign w:val="center"/>
          </w:tcPr>
          <w:p>
            <w:pPr>
              <w:keepNext/>
              <w:keepLines/>
              <w:widowControl w:val="0"/>
              <w:rPr>
                <w:sz w:val="18"/>
                <w:szCs w:val="18"/>
              </w:rPr>
            </w:pPr>
            <w:r>
              <w:rPr>
                <w:sz w:val="18"/>
                <w:szCs w:val="18"/>
              </w:rPr>
              <w:t>Состав набора:</w:t>
            </w:r>
          </w:p>
          <w:p>
            <w:pPr>
              <w:keepNext/>
              <w:keepLines/>
              <w:widowControl w:val="0"/>
              <w:rPr>
                <w:sz w:val="18"/>
                <w:szCs w:val="18"/>
              </w:rPr>
            </w:pPr>
            <w:proofErr w:type="spellStart"/>
            <w:r>
              <w:rPr>
                <w:sz w:val="18"/>
                <w:szCs w:val="18"/>
              </w:rPr>
              <w:t>Микропланшет-иммуносорбент</w:t>
            </w:r>
            <w:proofErr w:type="spellEnd"/>
            <w:r>
              <w:rPr>
                <w:sz w:val="18"/>
                <w:szCs w:val="18"/>
              </w:rPr>
              <w:t xml:space="preserve">, планшет с </w:t>
            </w:r>
            <w:proofErr w:type="gramStart"/>
            <w:r>
              <w:rPr>
                <w:sz w:val="18"/>
                <w:szCs w:val="18"/>
              </w:rPr>
              <w:t>иммобилизованными</w:t>
            </w:r>
            <w:proofErr w:type="gramEnd"/>
            <w:r>
              <w:rPr>
                <w:sz w:val="18"/>
                <w:szCs w:val="18"/>
              </w:rPr>
              <w:t xml:space="preserve"> антителами-1 планшет, разборный,12 </w:t>
            </w:r>
            <w:proofErr w:type="spellStart"/>
            <w:r>
              <w:rPr>
                <w:sz w:val="18"/>
                <w:szCs w:val="18"/>
              </w:rPr>
              <w:t>стрипов</w:t>
            </w:r>
            <w:proofErr w:type="spellEnd"/>
            <w:r>
              <w:rPr>
                <w:sz w:val="18"/>
                <w:szCs w:val="18"/>
              </w:rPr>
              <w:t xml:space="preserve"> по 8 лунок</w:t>
            </w:r>
          </w:p>
          <w:p>
            <w:pPr>
              <w:keepNext/>
              <w:keepLines/>
              <w:widowControl w:val="0"/>
              <w:rPr>
                <w:sz w:val="18"/>
                <w:szCs w:val="18"/>
              </w:rPr>
            </w:pPr>
            <w:proofErr w:type="spellStart"/>
            <w:r>
              <w:rPr>
                <w:sz w:val="18"/>
                <w:szCs w:val="18"/>
              </w:rPr>
              <w:t>Градуировочные</w:t>
            </w:r>
            <w:proofErr w:type="spellEnd"/>
            <w:r>
              <w:rPr>
                <w:sz w:val="18"/>
                <w:szCs w:val="18"/>
              </w:rPr>
              <w:t xml:space="preserve"> растворы (С1–С6) с концентрациями </w:t>
            </w:r>
            <w:proofErr w:type="spellStart"/>
            <w:r>
              <w:rPr>
                <w:sz w:val="18"/>
                <w:szCs w:val="18"/>
              </w:rPr>
              <w:t>хлорамфеникола</w:t>
            </w:r>
            <w:proofErr w:type="spellEnd"/>
            <w:r>
              <w:rPr>
                <w:sz w:val="18"/>
                <w:szCs w:val="18"/>
              </w:rPr>
              <w:t xml:space="preserve"> в диапазоне (0–0,750) мкг/</w:t>
            </w:r>
            <w:proofErr w:type="gramStart"/>
            <w:r>
              <w:rPr>
                <w:sz w:val="18"/>
                <w:szCs w:val="18"/>
              </w:rPr>
              <w:t>л</w:t>
            </w:r>
            <w:proofErr w:type="gramEnd"/>
            <w:r>
              <w:rPr>
                <w:sz w:val="18"/>
                <w:szCs w:val="18"/>
              </w:rPr>
              <w:t xml:space="preserve">, (точные значения концентраций указываются в паспорте к тест-системе) -6 </w:t>
            </w:r>
            <w:proofErr w:type="spellStart"/>
            <w:r>
              <w:rPr>
                <w:sz w:val="18"/>
                <w:szCs w:val="18"/>
              </w:rPr>
              <w:t>микропробирок</w:t>
            </w:r>
            <w:proofErr w:type="spellEnd"/>
            <w:r>
              <w:rPr>
                <w:sz w:val="18"/>
                <w:szCs w:val="18"/>
              </w:rPr>
              <w:t xml:space="preserve"> или флаконов по 1,3 мл</w:t>
            </w:r>
          </w:p>
          <w:p>
            <w:pPr>
              <w:keepNext/>
              <w:keepLines/>
              <w:widowControl w:val="0"/>
              <w:rPr>
                <w:sz w:val="18"/>
                <w:szCs w:val="18"/>
              </w:rPr>
            </w:pPr>
            <w:proofErr w:type="spellStart"/>
            <w:r>
              <w:rPr>
                <w:sz w:val="18"/>
                <w:szCs w:val="18"/>
              </w:rPr>
              <w:t>Конъюгат</w:t>
            </w:r>
            <w:proofErr w:type="spellEnd"/>
            <w:r>
              <w:rPr>
                <w:sz w:val="18"/>
                <w:szCs w:val="18"/>
              </w:rPr>
              <w:t xml:space="preserve"> </w:t>
            </w:r>
            <w:proofErr w:type="spellStart"/>
            <w:r>
              <w:rPr>
                <w:sz w:val="18"/>
                <w:szCs w:val="18"/>
              </w:rPr>
              <w:t>хлорамфеникола</w:t>
            </w:r>
            <w:proofErr w:type="spellEnd"/>
            <w:r>
              <w:rPr>
                <w:sz w:val="18"/>
                <w:szCs w:val="18"/>
              </w:rPr>
              <w:t xml:space="preserve"> и </w:t>
            </w:r>
            <w:proofErr w:type="spellStart"/>
            <w:r>
              <w:rPr>
                <w:sz w:val="18"/>
                <w:szCs w:val="18"/>
              </w:rPr>
              <w:t>пероксидазы</w:t>
            </w:r>
            <w:proofErr w:type="spellEnd"/>
            <w:r>
              <w:rPr>
                <w:sz w:val="18"/>
                <w:szCs w:val="18"/>
              </w:rPr>
              <w:t xml:space="preserve"> из корней хрена, 11-кратный концентрат -1 </w:t>
            </w:r>
            <w:proofErr w:type="spellStart"/>
            <w:r>
              <w:rPr>
                <w:sz w:val="18"/>
                <w:szCs w:val="18"/>
              </w:rPr>
              <w:t>микропробирка</w:t>
            </w:r>
            <w:proofErr w:type="spellEnd"/>
            <w:r>
              <w:rPr>
                <w:sz w:val="18"/>
                <w:szCs w:val="18"/>
              </w:rPr>
              <w:t xml:space="preserve"> или флакон, 0,7 мл</w:t>
            </w:r>
          </w:p>
          <w:p>
            <w:pPr>
              <w:keepNext/>
              <w:keepLines/>
              <w:widowControl w:val="0"/>
              <w:rPr>
                <w:sz w:val="18"/>
                <w:szCs w:val="18"/>
              </w:rPr>
            </w:pPr>
            <w:r>
              <w:rPr>
                <w:sz w:val="18"/>
                <w:szCs w:val="18"/>
              </w:rPr>
              <w:t xml:space="preserve">Буфер для разведения </w:t>
            </w:r>
            <w:proofErr w:type="spellStart"/>
            <w:r>
              <w:rPr>
                <w:sz w:val="18"/>
                <w:szCs w:val="18"/>
              </w:rPr>
              <w:t>конъюгата</w:t>
            </w:r>
            <w:proofErr w:type="spellEnd"/>
            <w:r>
              <w:rPr>
                <w:sz w:val="18"/>
                <w:szCs w:val="18"/>
              </w:rPr>
              <w:t xml:space="preserve"> - 1 флакон, 10 мл</w:t>
            </w:r>
          </w:p>
          <w:p>
            <w:pPr>
              <w:keepNext/>
              <w:keepLines/>
              <w:widowControl w:val="0"/>
              <w:rPr>
                <w:sz w:val="18"/>
                <w:szCs w:val="18"/>
              </w:rPr>
            </w:pPr>
            <w:r>
              <w:rPr>
                <w:sz w:val="18"/>
                <w:szCs w:val="18"/>
              </w:rPr>
              <w:t>Моющий буфер, 10-кратный концентрат - 1 флакон, 100 мл</w:t>
            </w:r>
          </w:p>
          <w:p>
            <w:pPr>
              <w:keepNext/>
              <w:keepLines/>
              <w:widowControl w:val="0"/>
              <w:rPr>
                <w:sz w:val="18"/>
                <w:szCs w:val="18"/>
              </w:rPr>
            </w:pPr>
            <w:r>
              <w:rPr>
                <w:sz w:val="18"/>
                <w:szCs w:val="18"/>
              </w:rPr>
              <w:t>Субстрат - 1 флакон, 14 мл</w:t>
            </w:r>
          </w:p>
          <w:p>
            <w:pPr>
              <w:keepNext/>
              <w:keepLines/>
              <w:widowControl w:val="0"/>
              <w:rPr>
                <w:sz w:val="18"/>
                <w:szCs w:val="18"/>
              </w:rPr>
            </w:pPr>
            <w:proofErr w:type="gramStart"/>
            <w:r>
              <w:rPr>
                <w:sz w:val="18"/>
                <w:szCs w:val="18"/>
              </w:rPr>
              <w:t>Хромоген (раствор 3,3’,5,5’-тетраметилбензидина,</w:t>
            </w:r>
            <w:proofErr w:type="gramEnd"/>
          </w:p>
          <w:p>
            <w:pPr>
              <w:keepNext/>
              <w:keepLines/>
              <w:widowControl w:val="0"/>
              <w:rPr>
                <w:sz w:val="18"/>
                <w:szCs w:val="18"/>
              </w:rPr>
            </w:pPr>
            <w:proofErr w:type="gramStart"/>
            <w:r>
              <w:rPr>
                <w:sz w:val="18"/>
                <w:szCs w:val="18"/>
              </w:rPr>
              <w:t>ТМБ) - 1 флакон, 0,7 мл</w:t>
            </w:r>
            <w:proofErr w:type="gramEnd"/>
          </w:p>
          <w:p>
            <w:pPr>
              <w:keepNext/>
              <w:keepLines/>
              <w:widowControl w:val="0"/>
              <w:rPr>
                <w:sz w:val="18"/>
                <w:szCs w:val="18"/>
              </w:rPr>
            </w:pPr>
            <w:proofErr w:type="spellStart"/>
            <w:proofErr w:type="gramStart"/>
            <w:r>
              <w:rPr>
                <w:sz w:val="18"/>
                <w:szCs w:val="18"/>
              </w:rPr>
              <w:t>Стоп-реагент</w:t>
            </w:r>
            <w:proofErr w:type="spellEnd"/>
            <w:proofErr w:type="gramEnd"/>
            <w:r>
              <w:rPr>
                <w:sz w:val="18"/>
                <w:szCs w:val="18"/>
              </w:rPr>
              <w:t xml:space="preserve"> - 1 флакон, 14 мл</w:t>
            </w:r>
          </w:p>
          <w:p>
            <w:pPr>
              <w:keepNext/>
              <w:keepLines/>
              <w:widowControl w:val="0"/>
              <w:rPr>
                <w:sz w:val="18"/>
                <w:szCs w:val="18"/>
              </w:rPr>
            </w:pPr>
            <w:r>
              <w:rPr>
                <w:sz w:val="18"/>
                <w:szCs w:val="18"/>
              </w:rPr>
              <w:t>Клейкая пленка - 1 штука</w:t>
            </w:r>
          </w:p>
        </w:tc>
        <w:tc>
          <w:tcPr>
            <w:tcW w:w="264" w:type="pct"/>
            <w:vAlign w:val="center"/>
          </w:tcPr>
          <w:p>
            <w:pPr>
              <w:keepNext/>
              <w:keepLines/>
              <w:widowControl w:val="0"/>
              <w:jc w:val="center"/>
              <w:rPr>
                <w:sz w:val="18"/>
                <w:szCs w:val="18"/>
              </w:rPr>
            </w:pPr>
            <w:r>
              <w:rPr>
                <w:sz w:val="18"/>
                <w:szCs w:val="18"/>
              </w:rPr>
              <w:t>набор</w:t>
            </w:r>
          </w:p>
        </w:tc>
        <w:tc>
          <w:tcPr>
            <w:tcW w:w="305" w:type="pct"/>
            <w:vAlign w:val="center"/>
          </w:tcPr>
          <w:p>
            <w:pPr>
              <w:keepNext/>
              <w:keepLines/>
              <w:widowControl w:val="0"/>
              <w:jc w:val="center"/>
              <w:rPr>
                <w:sz w:val="18"/>
                <w:szCs w:val="18"/>
              </w:rPr>
            </w:pPr>
            <w:r>
              <w:rPr>
                <w:sz w:val="18"/>
                <w:szCs w:val="18"/>
              </w:rPr>
              <w:t>1</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r>
        <w:trPr>
          <w:trHeight w:val="685"/>
        </w:trPr>
        <w:tc>
          <w:tcPr>
            <w:tcW w:w="203" w:type="pct"/>
            <w:vAlign w:val="center"/>
          </w:tcPr>
          <w:p>
            <w:pPr>
              <w:keepNext/>
              <w:keepLines/>
              <w:widowControl w:val="0"/>
              <w:jc w:val="center"/>
              <w:rPr>
                <w:sz w:val="18"/>
                <w:szCs w:val="18"/>
              </w:rPr>
            </w:pPr>
            <w:r>
              <w:rPr>
                <w:sz w:val="18"/>
                <w:szCs w:val="18"/>
              </w:rPr>
              <w:t>2</w:t>
            </w:r>
          </w:p>
        </w:tc>
        <w:tc>
          <w:tcPr>
            <w:tcW w:w="953" w:type="pct"/>
            <w:vAlign w:val="center"/>
          </w:tcPr>
          <w:p>
            <w:pPr>
              <w:keepNext/>
              <w:keepLines/>
              <w:widowControl w:val="0"/>
              <w:jc w:val="center"/>
              <w:rPr>
                <w:bCs/>
                <w:sz w:val="18"/>
                <w:szCs w:val="18"/>
              </w:rPr>
            </w:pPr>
            <w:r>
              <w:rPr>
                <w:bCs/>
                <w:sz w:val="18"/>
                <w:szCs w:val="18"/>
              </w:rPr>
              <w:t xml:space="preserve">Тест-система ПРОДОСКРИН® ИФА Бацитрацин, Республика Беларусь </w:t>
            </w:r>
          </w:p>
        </w:tc>
        <w:tc>
          <w:tcPr>
            <w:tcW w:w="484" w:type="pct"/>
            <w:vAlign w:val="center"/>
          </w:tcPr>
          <w:p>
            <w:pPr>
              <w:keepNext/>
              <w:keepLines/>
              <w:widowControl w:val="0"/>
              <w:jc w:val="center"/>
              <w:rPr>
                <w:sz w:val="18"/>
                <w:szCs w:val="18"/>
              </w:rPr>
            </w:pPr>
            <w:r>
              <w:rPr>
                <w:sz w:val="18"/>
                <w:szCs w:val="18"/>
              </w:rPr>
              <w:t>20.59.52.199</w:t>
            </w:r>
          </w:p>
        </w:tc>
        <w:tc>
          <w:tcPr>
            <w:tcW w:w="1322" w:type="pct"/>
            <w:vAlign w:val="center"/>
          </w:tcPr>
          <w:p>
            <w:pPr>
              <w:keepNext/>
              <w:keepLines/>
              <w:widowControl w:val="0"/>
              <w:rPr>
                <w:sz w:val="18"/>
                <w:szCs w:val="18"/>
              </w:rPr>
            </w:pPr>
            <w:r>
              <w:rPr>
                <w:sz w:val="18"/>
                <w:szCs w:val="18"/>
              </w:rPr>
              <w:t>Состав набора:</w:t>
            </w:r>
          </w:p>
          <w:p>
            <w:pPr>
              <w:keepNext/>
              <w:keepLines/>
              <w:widowControl w:val="0"/>
              <w:rPr>
                <w:sz w:val="18"/>
                <w:szCs w:val="18"/>
              </w:rPr>
            </w:pPr>
            <w:proofErr w:type="spellStart"/>
            <w:r>
              <w:rPr>
                <w:sz w:val="18"/>
                <w:szCs w:val="18"/>
              </w:rPr>
              <w:t>Иммуносорбент</w:t>
            </w:r>
            <w:proofErr w:type="spellEnd"/>
            <w:r>
              <w:rPr>
                <w:sz w:val="18"/>
                <w:szCs w:val="18"/>
              </w:rPr>
              <w:t xml:space="preserve"> - 1 планшет, разборный, 12 </w:t>
            </w:r>
            <w:proofErr w:type="spellStart"/>
            <w:r>
              <w:rPr>
                <w:sz w:val="18"/>
                <w:szCs w:val="18"/>
              </w:rPr>
              <w:t>стрипов</w:t>
            </w:r>
            <w:proofErr w:type="spellEnd"/>
            <w:r>
              <w:rPr>
                <w:sz w:val="18"/>
                <w:szCs w:val="18"/>
              </w:rPr>
              <w:t xml:space="preserve"> по 8 лунок</w:t>
            </w:r>
          </w:p>
          <w:p>
            <w:pPr>
              <w:keepNext/>
              <w:keepLines/>
              <w:widowControl w:val="0"/>
              <w:rPr>
                <w:sz w:val="18"/>
                <w:szCs w:val="18"/>
              </w:rPr>
            </w:pPr>
            <w:proofErr w:type="spellStart"/>
            <w:r>
              <w:rPr>
                <w:sz w:val="18"/>
                <w:szCs w:val="18"/>
              </w:rPr>
              <w:t>Градуировочные</w:t>
            </w:r>
            <w:proofErr w:type="spellEnd"/>
            <w:r>
              <w:rPr>
                <w:sz w:val="18"/>
                <w:szCs w:val="18"/>
              </w:rPr>
              <w:t xml:space="preserve"> растворы С</w:t>
            </w:r>
            <w:proofErr w:type="gramStart"/>
            <w:r>
              <w:rPr>
                <w:sz w:val="18"/>
                <w:szCs w:val="18"/>
              </w:rPr>
              <w:t>0</w:t>
            </w:r>
            <w:proofErr w:type="gramEnd"/>
            <w:r>
              <w:rPr>
                <w:sz w:val="18"/>
                <w:szCs w:val="18"/>
              </w:rPr>
              <w:t>, С1, С2, С3, С4 и</w:t>
            </w:r>
          </w:p>
          <w:p>
            <w:pPr>
              <w:keepNext/>
              <w:keepLines/>
              <w:widowControl w:val="0"/>
              <w:rPr>
                <w:sz w:val="18"/>
                <w:szCs w:val="18"/>
              </w:rPr>
            </w:pPr>
            <w:r>
              <w:rPr>
                <w:sz w:val="18"/>
                <w:szCs w:val="18"/>
              </w:rPr>
              <w:t xml:space="preserve">С5 со значениями концентрации </w:t>
            </w:r>
            <w:proofErr w:type="spellStart"/>
            <w:r>
              <w:rPr>
                <w:sz w:val="18"/>
                <w:szCs w:val="18"/>
              </w:rPr>
              <w:t>бацитрацина</w:t>
            </w:r>
            <w:proofErr w:type="spellEnd"/>
            <w:r>
              <w:rPr>
                <w:sz w:val="18"/>
                <w:szCs w:val="18"/>
              </w:rPr>
              <w:t xml:space="preserve"> –</w:t>
            </w:r>
          </w:p>
          <w:p>
            <w:pPr>
              <w:keepNext/>
              <w:keepLines/>
              <w:widowControl w:val="0"/>
              <w:rPr>
                <w:sz w:val="18"/>
                <w:szCs w:val="18"/>
              </w:rPr>
            </w:pPr>
            <w:r>
              <w:rPr>
                <w:sz w:val="18"/>
                <w:szCs w:val="18"/>
              </w:rPr>
              <w:t xml:space="preserve">0; 0,50; 1,00; 3,00; 9,00 и 27,00 </w:t>
            </w:r>
            <w:proofErr w:type="spellStart"/>
            <w:r>
              <w:rPr>
                <w:sz w:val="18"/>
                <w:szCs w:val="18"/>
              </w:rPr>
              <w:t>нг</w:t>
            </w:r>
            <w:proofErr w:type="spellEnd"/>
            <w:r>
              <w:rPr>
                <w:sz w:val="18"/>
                <w:szCs w:val="18"/>
              </w:rPr>
              <w:t xml:space="preserve">/мл, готовы </w:t>
            </w:r>
            <w:proofErr w:type="gramStart"/>
            <w:r>
              <w:rPr>
                <w:sz w:val="18"/>
                <w:szCs w:val="18"/>
              </w:rPr>
              <w:t>к</w:t>
            </w:r>
            <w:proofErr w:type="gramEnd"/>
          </w:p>
          <w:p>
            <w:pPr>
              <w:keepNext/>
              <w:keepLines/>
              <w:widowControl w:val="0"/>
              <w:rPr>
                <w:sz w:val="18"/>
                <w:szCs w:val="18"/>
              </w:rPr>
            </w:pPr>
            <w:r>
              <w:rPr>
                <w:sz w:val="18"/>
                <w:szCs w:val="18"/>
              </w:rPr>
              <w:t>использованию - 6 флаконов по 0,7 мл</w:t>
            </w:r>
          </w:p>
          <w:p>
            <w:pPr>
              <w:keepNext/>
              <w:keepLines/>
              <w:widowControl w:val="0"/>
              <w:rPr>
                <w:sz w:val="18"/>
                <w:szCs w:val="18"/>
              </w:rPr>
            </w:pPr>
            <w:r>
              <w:rPr>
                <w:sz w:val="18"/>
                <w:szCs w:val="18"/>
              </w:rPr>
              <w:t>Буфер для экстракции 1 - 1 флакон, 40 мл</w:t>
            </w:r>
          </w:p>
          <w:p>
            <w:pPr>
              <w:keepNext/>
              <w:keepLines/>
              <w:widowControl w:val="0"/>
              <w:rPr>
                <w:sz w:val="18"/>
                <w:szCs w:val="18"/>
              </w:rPr>
            </w:pPr>
            <w:r>
              <w:rPr>
                <w:sz w:val="18"/>
                <w:szCs w:val="18"/>
              </w:rPr>
              <w:t>Буфер для экстракции - 1 флакон, 20 мл</w:t>
            </w:r>
          </w:p>
          <w:p>
            <w:pPr>
              <w:keepNext/>
              <w:keepLines/>
              <w:widowControl w:val="0"/>
              <w:rPr>
                <w:sz w:val="18"/>
                <w:szCs w:val="18"/>
              </w:rPr>
            </w:pPr>
            <w:proofErr w:type="spellStart"/>
            <w:r>
              <w:rPr>
                <w:sz w:val="18"/>
                <w:szCs w:val="18"/>
              </w:rPr>
              <w:t>Конъюгат</w:t>
            </w:r>
            <w:proofErr w:type="spellEnd"/>
            <w:r>
              <w:rPr>
                <w:sz w:val="18"/>
                <w:szCs w:val="18"/>
              </w:rPr>
              <w:t>, 21-кратный концентрат - 1 пробирка, 0,7 мл</w:t>
            </w:r>
          </w:p>
          <w:p>
            <w:pPr>
              <w:keepNext/>
              <w:keepLines/>
              <w:widowControl w:val="0"/>
              <w:rPr>
                <w:sz w:val="18"/>
                <w:szCs w:val="18"/>
              </w:rPr>
            </w:pPr>
            <w:r>
              <w:rPr>
                <w:sz w:val="18"/>
                <w:szCs w:val="18"/>
              </w:rPr>
              <w:t>Буфер для разбавления - 1 флакон, 25 мл</w:t>
            </w:r>
          </w:p>
          <w:p>
            <w:pPr>
              <w:keepNext/>
              <w:keepLines/>
              <w:widowControl w:val="0"/>
              <w:rPr>
                <w:sz w:val="18"/>
                <w:szCs w:val="18"/>
              </w:rPr>
            </w:pPr>
            <w:r>
              <w:rPr>
                <w:sz w:val="18"/>
                <w:szCs w:val="18"/>
              </w:rPr>
              <w:t>Моющий буфер, 10-кратный концентрат - 1 флакон, 50 мл</w:t>
            </w:r>
          </w:p>
          <w:p>
            <w:pPr>
              <w:keepNext/>
              <w:keepLines/>
              <w:widowControl w:val="0"/>
              <w:rPr>
                <w:sz w:val="18"/>
                <w:szCs w:val="18"/>
              </w:rPr>
            </w:pPr>
            <w:r>
              <w:rPr>
                <w:sz w:val="18"/>
                <w:szCs w:val="18"/>
              </w:rPr>
              <w:t>Хромоген - 1 флакон, 0,7 мл</w:t>
            </w:r>
          </w:p>
          <w:p>
            <w:pPr>
              <w:keepNext/>
              <w:keepLines/>
              <w:widowControl w:val="0"/>
              <w:rPr>
                <w:sz w:val="18"/>
                <w:szCs w:val="18"/>
              </w:rPr>
            </w:pPr>
            <w:r>
              <w:rPr>
                <w:sz w:val="18"/>
                <w:szCs w:val="18"/>
              </w:rPr>
              <w:t>Субстрат - 1 флакон, 14 мл</w:t>
            </w:r>
          </w:p>
          <w:p>
            <w:pPr>
              <w:keepNext/>
              <w:keepLines/>
              <w:widowControl w:val="0"/>
              <w:rPr>
                <w:sz w:val="18"/>
                <w:szCs w:val="18"/>
              </w:rPr>
            </w:pPr>
            <w:proofErr w:type="spellStart"/>
            <w:proofErr w:type="gramStart"/>
            <w:r>
              <w:rPr>
                <w:sz w:val="18"/>
                <w:szCs w:val="18"/>
              </w:rPr>
              <w:lastRenderedPageBreak/>
              <w:t>Стоп-реагент</w:t>
            </w:r>
            <w:proofErr w:type="spellEnd"/>
            <w:proofErr w:type="gramEnd"/>
            <w:r>
              <w:rPr>
                <w:sz w:val="18"/>
                <w:szCs w:val="18"/>
              </w:rPr>
              <w:t xml:space="preserve"> - 1 флакон, 14 мл</w:t>
            </w:r>
          </w:p>
          <w:p>
            <w:pPr>
              <w:keepNext/>
              <w:keepLines/>
              <w:widowControl w:val="0"/>
              <w:rPr>
                <w:sz w:val="18"/>
                <w:szCs w:val="18"/>
              </w:rPr>
            </w:pPr>
            <w:r>
              <w:rPr>
                <w:sz w:val="18"/>
                <w:szCs w:val="18"/>
              </w:rPr>
              <w:t>Клейкая пленка 1 штука</w:t>
            </w:r>
          </w:p>
        </w:tc>
        <w:tc>
          <w:tcPr>
            <w:tcW w:w="264" w:type="pct"/>
            <w:vAlign w:val="center"/>
          </w:tcPr>
          <w:p>
            <w:pPr>
              <w:keepNext/>
              <w:keepLines/>
              <w:widowControl w:val="0"/>
              <w:jc w:val="center"/>
              <w:rPr>
                <w:sz w:val="18"/>
                <w:szCs w:val="18"/>
              </w:rPr>
            </w:pPr>
            <w:r>
              <w:rPr>
                <w:sz w:val="18"/>
                <w:szCs w:val="18"/>
              </w:rPr>
              <w:lastRenderedPageBreak/>
              <w:t>набор</w:t>
            </w:r>
          </w:p>
        </w:tc>
        <w:tc>
          <w:tcPr>
            <w:tcW w:w="305" w:type="pct"/>
            <w:vAlign w:val="center"/>
          </w:tcPr>
          <w:p>
            <w:pPr>
              <w:keepNext/>
              <w:keepLines/>
              <w:widowControl w:val="0"/>
              <w:jc w:val="center"/>
              <w:rPr>
                <w:sz w:val="18"/>
                <w:szCs w:val="18"/>
              </w:rPr>
            </w:pPr>
            <w:r>
              <w:rPr>
                <w:sz w:val="18"/>
                <w:szCs w:val="18"/>
              </w:rPr>
              <w:t>1</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567"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35160071">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797412654">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2017-02A9-47FD-A5AD-0ADB19CF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4654</Words>
  <Characters>26528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35</cp:revision>
  <cp:lastPrinted>2022-11-03T12:33:00Z</cp:lastPrinted>
  <dcterms:created xsi:type="dcterms:W3CDTF">2026-05-22T08:05:00Z</dcterms:created>
  <dcterms:modified xsi:type="dcterms:W3CDTF">2026-06-22T13:43:00Z</dcterms:modified>
</cp:coreProperties>
</file>