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media/image1.wmf" ContentType="image/x-wmf"/>
  <Override PartName="/word/media/image2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3"/>
        <w:rPr>
          <w:rFonts w:ascii="PT Astra Serif;Times New Roman" w:hAnsi="PT Astra Serif;Times New Roman"/>
        </w:rPr>
      </w:pPr>
      <w:r>
        <w:rPr>
          <w:rFonts w:ascii="PT Astra Serif;Times New Roman" w:hAnsi="PT Astra Serif;Times New Roman"/>
        </w:rPr>
        <w:t>Приложение к объявлению о закупочной сессии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3"/>
        <w:rPr>
          <w:sz w:val="20"/>
          <w:szCs w:val="20"/>
        </w:rPr>
      </w:pPr>
      <w:r>
        <w:rPr/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3"/>
        <w:rPr>
          <w:sz w:val="20"/>
          <w:szCs w:val="20"/>
        </w:rPr>
      </w:pPr>
      <w:r>
        <w:rPr>
          <w:rFonts w:eastAsia="Calibri" w:cs="Times New Roman" w:ascii="PT Astra Serif;Times New Roman" w:hAnsi="PT Astra Serif;Times New Roman"/>
          <w:b/>
          <w:caps/>
          <w:color w:val="000000"/>
          <w:sz w:val="20"/>
          <w:szCs w:val="20"/>
        </w:rPr>
        <w:t xml:space="preserve">ОБОСНОВАНИЕ НАЧАЛЬНОЙ (МАКСИМАЛЬНОЙ) </w:t>
      </w:r>
      <w:r>
        <w:rPr>
          <w:rFonts w:eastAsia="Calibri" w:cs="Times New Roman" w:ascii="PT Astra Serif;Times New Roman" w:hAnsi="PT Astra Serif;Times New Roman"/>
          <w:b/>
          <w:bCs/>
          <w:caps/>
          <w:color w:val="000000"/>
          <w:sz w:val="20"/>
          <w:szCs w:val="20"/>
        </w:rPr>
        <w:t>ЦЕНЫ КОНТРАКТА</w:t>
      </w:r>
    </w:p>
    <w:p>
      <w:pPr>
        <w:pStyle w:val="Normal"/>
        <w:widowControl w:val="false"/>
        <w:tabs>
          <w:tab w:val="clear" w:pos="708"/>
          <w:tab w:val="left" w:pos="720" w:leader="none"/>
        </w:tabs>
        <w:spacing w:lineRule="auto" w:line="240" w:before="0" w:after="0"/>
        <w:ind w:right="-1" w:hanging="0"/>
        <w:jc w:val="center"/>
        <w:rPr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b/>
          <w:bCs/>
          <w:i w:val="false"/>
          <w:iCs w:val="false"/>
          <w:color w:val="000000"/>
          <w:spacing w:val="0"/>
          <w:sz w:val="20"/>
          <w:szCs w:val="20"/>
          <w:lang w:eastAsia="ru-RU"/>
        </w:rPr>
        <w:t xml:space="preserve">на оказание услуг по проведению ежегодной диспансеризации федеральных государственных гражданских служащих </w:t>
      </w:r>
    </w:p>
    <w:p>
      <w:pPr>
        <w:pStyle w:val="Normal"/>
        <w:widowControl w:val="false"/>
        <w:tabs>
          <w:tab w:val="clear" w:pos="708"/>
          <w:tab w:val="left" w:pos="720" w:leader="none"/>
        </w:tabs>
        <w:spacing w:lineRule="auto" w:line="240" w:before="0" w:after="0"/>
        <w:ind w:right="-1" w:hanging="0"/>
        <w:jc w:val="center"/>
        <w:rPr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b/>
          <w:bCs/>
          <w:i w:val="false"/>
          <w:iCs w:val="false"/>
          <w:color w:val="000000"/>
          <w:spacing w:val="0"/>
          <w:sz w:val="20"/>
          <w:szCs w:val="20"/>
          <w:lang w:eastAsia="ru-RU"/>
        </w:rPr>
        <w:t>Главного управления МЧС России по Республике Мордовия</w:t>
      </w:r>
    </w:p>
    <w:p>
      <w:pPr>
        <w:pStyle w:val="Normal"/>
        <w:widowControl w:val="false"/>
        <w:tabs>
          <w:tab w:val="clear" w:pos="708"/>
          <w:tab w:val="left" w:pos="720" w:leader="none"/>
        </w:tabs>
        <w:suppressAutoHyphens w:val="true"/>
        <w:bidi w:val="0"/>
        <w:spacing w:lineRule="auto" w:line="240" w:before="0" w:after="0"/>
        <w:ind w:left="0" w:right="143" w:hanging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u w:val="none"/>
          <w:lang w:val="ru-RU" w:eastAsia="ru-RU" w:bidi="ar-SA"/>
        </w:rPr>
        <w:t>Идентификационный код закупки: 261132619211613280100100270000000000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left="0" w:right="143" w:hanging="0"/>
        <w:jc w:val="center"/>
        <w:outlineLvl w:val="3"/>
        <w:rPr>
          <w:rStyle w:val="Ikzvalue"/>
          <w:rFonts w:ascii="PT Astra Serif;Times New Roman" w:hAnsi="PT Astra Serif;Times New Roman" w:eastAsia="Times New Roman" w:cs="PT Astra Serif;Times New Roman"/>
          <w:b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highlight w:val="white"/>
          <w:u w:val="none"/>
          <w:lang w:val="ru-RU" w:eastAsia="ru-RU"/>
        </w:rPr>
      </w:pPr>
      <w:r>
        <w:rPr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highlight w:val="white"/>
          <w:u w:val="none"/>
          <w:lang w:val="ru-RU" w:eastAsia="ru-RU"/>
        </w:rPr>
      </w:r>
    </w:p>
    <w:tbl>
      <w:tblPr>
        <w:tblW w:w="15736" w:type="dxa"/>
        <w:jc w:val="left"/>
        <w:tblInd w:w="-62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81"/>
        <w:gridCol w:w="2891"/>
        <w:gridCol w:w="709"/>
        <w:gridCol w:w="954"/>
        <w:gridCol w:w="179"/>
        <w:gridCol w:w="2318"/>
        <w:gridCol w:w="2442"/>
        <w:gridCol w:w="1473"/>
        <w:gridCol w:w="4087"/>
      </w:tblGrid>
      <w:tr>
        <w:trPr>
          <w:trHeight w:val="23" w:hRule="atLeast"/>
        </w:trPr>
        <w:tc>
          <w:tcPr>
            <w:tcW w:w="3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2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ind w:right="-1" w:hanging="0"/>
              <w:jc w:val="both"/>
              <w:rPr/>
            </w:pPr>
            <w:r>
              <w:rPr>
                <w:rStyle w:val="Ikzvalue"/>
                <w:rFonts w:eastAsia="Times New Roman" w:cs="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ru-RU" w:bidi="ar-SA"/>
              </w:rPr>
              <w:t>Оказание услуг по проведению ежегодной диспансеризации федеральных государственных гражданских служащих Главного управления МЧС России по Республике Мордовия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bidi w:val="0"/>
              <w:spacing w:lineRule="auto" w:line="240" w:beforeAutospacing="0" w:before="0" w:afterAutospacing="0" w:after="0"/>
              <w:ind w:left="0" w:right="0" w:hanging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u w:val="none"/>
                <w:lang w:eastAsia="ru-RU"/>
              </w:rPr>
              <w:t>Характеристики объекта закупки указаны в Описании объекта закупки (Приложение №2 к Государственному контракту).</w:t>
            </w:r>
          </w:p>
        </w:tc>
      </w:tr>
      <w:tr>
        <w:trPr>
          <w:trHeight w:val="23" w:hRule="atLeast"/>
        </w:trPr>
        <w:tc>
          <w:tcPr>
            <w:tcW w:w="357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Используемый метод определения НМЦК с обоснованием:</w:t>
            </w:r>
          </w:p>
        </w:tc>
        <w:tc>
          <w:tcPr>
            <w:tcW w:w="1216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В соответствии с частью 12 статьи 22 Федерального закона от 05.04.2013 №44-ФЗ «</w:t>
            </w: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О контрактной системе в сфере закупок товаров, работ, услуг для обеспечения государственных и муниципальных нужд» (далее — Федеральный закон от 05.04.2013 №44-ФЗ) начальная (максимальная) цена контракта определена </w:t>
            </w:r>
            <w:r>
              <w:rPr>
                <w:rFonts w:eastAsia="Calibri" w:cs="Times New Roman" w:ascii="PT Astra Serif;Times New Roman" w:hAnsi="PT Astra Serif;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u w:val="single"/>
              </w:rPr>
              <w:t>иным методом</w:t>
            </w:r>
            <w:r>
              <w:rPr>
                <w:rFonts w:eastAsia="Calibri" w:cs="Times New Roman" w:ascii="PT Astra Serif;Times New Roman" w:hAnsi="PT Astra Serif;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 определения  начальной (максимальной) цены контракта. </w:t>
            </w: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Расчет произведен на основании ценовой информации, полученной от 2 (организаций).</w:t>
            </w:r>
          </w:p>
          <w:p>
            <w:pPr>
              <w:pStyle w:val="Normal"/>
              <w:widowControl/>
              <w:shd w:val="clear" w:fill="FFFFFF"/>
              <w:tabs>
                <w:tab w:val="clear" w:pos="708"/>
                <w:tab w:val="left" w:pos="720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highlight w:val="white"/>
                <w:u w:val="none"/>
                <w:lang w:eastAsia="ru-RU"/>
              </w:rPr>
              <w:t>Обоснование невозможности применения для определения начальной (максимальной) цены контракта, цены контракта, заключаемого с единственным поставщиком (подрядчиком, исполнителем), методов, указанных в </w:t>
            </w:r>
            <w:r>
              <w:fldChar w:fldCharType="begin"/>
            </w:r>
            <w:r>
              <w:rPr>
                <w:smallCaps w:val="false"/>
                <w:caps w:val="false"/>
                <w:sz w:val="20"/>
                <w:spacing w:val="0"/>
                <w:i w:val="false"/>
                <w:u w:val="none"/>
                <w:b w:val="false"/>
                <w:szCs w:val="20"/>
                <w:bCs w:val="false"/>
                <w:highlight w:val="white"/>
                <w:rFonts w:eastAsia="Calibri" w:cs="Times New Roman" w:ascii="PT Astra Serif;Times New Roman" w:hAnsi="PT Astra Serif;Times New Roman"/>
                <w:color w:val="000000"/>
              </w:rPr>
              <w:instrText> HYPERLINK "https://internet.garant.ru/" \l "/document/70353464/entry/221"</w:instrText>
            </w:r>
            <w:r>
              <w:rPr>
                <w:smallCaps w:val="false"/>
                <w:caps w:val="false"/>
                <w:sz w:val="20"/>
                <w:spacing w:val="0"/>
                <w:i w:val="false"/>
                <w:u w:val="none"/>
                <w:b w:val="false"/>
                <w:szCs w:val="20"/>
                <w:bCs w:val="false"/>
                <w:highlight w:val="white"/>
                <w:rFonts w:eastAsia="Calibri" w:cs="Times New Roman" w:ascii="PT Astra Serif;Times New Roman" w:hAnsi="PT Astra Serif;Times New Roman"/>
                <w:color w:val="000000"/>
              </w:rPr>
              <w:fldChar w:fldCharType="separate"/>
            </w: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highlight w:val="white"/>
                <w:u w:val="none"/>
              </w:rPr>
              <w:t>части 1</w:t>
            </w:r>
            <w:r>
              <w:rPr>
                <w:smallCaps w:val="false"/>
                <w:caps w:val="false"/>
                <w:sz w:val="20"/>
                <w:spacing w:val="0"/>
                <w:i w:val="false"/>
                <w:u w:val="none"/>
                <w:b w:val="false"/>
                <w:szCs w:val="20"/>
                <w:bCs w:val="false"/>
                <w:highlight w:val="white"/>
                <w:rFonts w:eastAsia="Calibri" w:cs="Times New Roman" w:ascii="PT Astra Serif;Times New Roman" w:hAnsi="PT Astra Serif;Times New Roman"/>
                <w:color w:val="000000"/>
              </w:rPr>
              <w:fldChar w:fldCharType="end"/>
            </w: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highlight w:val="white"/>
                <w:u w:val="none"/>
                <w:lang w:eastAsia="ru-RU"/>
              </w:rPr>
              <w:t xml:space="preserve"> статьи 22 </w:t>
            </w: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u w:val="none"/>
                <w:lang w:eastAsia="ru-RU"/>
              </w:rPr>
              <w:t>Федерального закона от 5 апреля 2013 г. № 44-ФЗ:</w:t>
            </w:r>
          </w:p>
        </w:tc>
      </w:tr>
      <w:tr>
        <w:trPr>
          <w:trHeight w:val="23" w:hRule="atLeast"/>
        </w:trPr>
        <w:tc>
          <w:tcPr>
            <w:tcW w:w="357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</w: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hd w:val="clear" w:fill="FFFFFF"/>
              <w:tabs>
                <w:tab w:val="clear" w:pos="708"/>
                <w:tab w:val="left" w:pos="720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Times New Roman" w:cs="PT Astra Serif" w:ascii="PT Astra Serif;Times New Roman" w:hAnsi="PT Astra Serif;Times New Roman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>Метод</w:t>
            </w:r>
          </w:p>
        </w:tc>
        <w:tc>
          <w:tcPr>
            <w:tcW w:w="103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hd w:val="clear" w:fill="FFFFFF"/>
              <w:tabs>
                <w:tab w:val="clear" w:pos="708"/>
                <w:tab w:val="left" w:pos="720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Times New Roman" w:cs="PT Astra Serif" w:ascii="PT Astra Serif;Times New Roman" w:hAnsi="PT Astra Serif;Times New Roman"/>
                <w:b/>
                <w:bCs/>
                <w:color w:val="000000"/>
                <w:sz w:val="20"/>
                <w:szCs w:val="20"/>
                <w:u w:val="none"/>
                <w:lang w:eastAsia="ru-RU"/>
              </w:rPr>
              <w:t>Обоснование невозможности применения</w:t>
            </w:r>
          </w:p>
        </w:tc>
      </w:tr>
      <w:tr>
        <w:trPr>
          <w:trHeight w:val="23" w:hRule="atLeast"/>
        </w:trPr>
        <w:tc>
          <w:tcPr>
            <w:tcW w:w="357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</w: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hd w:val="clear" w:fill="FFFFFF"/>
              <w:tabs>
                <w:tab w:val="clear" w:pos="708"/>
                <w:tab w:val="left" w:pos="720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Times New Roman" w:cs="PT Astra Serif" w:ascii="PT Astra Serif;Times New Roman" w:hAnsi="PT Astra Serif;Times New Roman"/>
                <w:b w:val="false"/>
                <w:bCs w:val="false"/>
                <w:color w:val="000000"/>
                <w:sz w:val="20"/>
                <w:szCs w:val="20"/>
                <w:u w:val="none"/>
                <w:lang w:eastAsia="ru-RU"/>
              </w:rPr>
              <w:t>Метод сопоставимых рыночных цен (анализа рынка)</w:t>
            </w:r>
          </w:p>
        </w:tc>
        <w:tc>
          <w:tcPr>
            <w:tcW w:w="103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fldChar w:fldCharType="begin"/>
            </w:r>
            <w:r>
              <w:rPr>
                <w:smallCaps w:val="false"/>
                <w:caps w:val="false"/>
                <w:dstrike w:val="false"/>
                <w:strike w:val="false"/>
                <w:sz w:val="20"/>
                <w:spacing w:val="0"/>
                <w:i w:val="false"/>
                <w:u w:val="none"/>
                <w:b w:val="false"/>
                <w:effect w:val="none"/>
                <w:szCs w:val="20"/>
                <w:rFonts w:ascii="PT Astra Serif;Times New Roman" w:hAnsi="PT Astra Serif;Times New Roman"/>
                <w:color w:val="000000"/>
              </w:rPr>
              <w:instrText> HYPERLINK "https://internet.garant.ru/" \l "/document/70473958/entry/1300"</w:instrText>
            </w:r>
            <w:r>
              <w:rPr>
                <w:smallCaps w:val="false"/>
                <w:caps w:val="false"/>
                <w:dstrike w:val="false"/>
                <w:strike w:val="false"/>
                <w:sz w:val="20"/>
                <w:spacing w:val="0"/>
                <w:i w:val="false"/>
                <w:u w:val="none"/>
                <w:b w:val="false"/>
                <w:effect w:val="none"/>
                <w:szCs w:val="20"/>
                <w:rFonts w:ascii="PT Astra Serif;Times New Roman" w:hAnsi="PT Astra Serif;Times New Roman"/>
                <w:color w:val="000000"/>
              </w:rPr>
              <w:fldChar w:fldCharType="separate"/>
            </w: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</w:rPr>
              <w:t>М</w:t>
            </w:r>
            <w:r>
              <w:rPr>
                <w:smallCaps w:val="false"/>
                <w:caps w:val="false"/>
                <w:dstrike w:val="false"/>
                <w:strike w:val="false"/>
                <w:sz w:val="20"/>
                <w:spacing w:val="0"/>
                <w:i w:val="false"/>
                <w:u w:val="none"/>
                <w:b w:val="false"/>
                <w:effect w:val="none"/>
                <w:szCs w:val="20"/>
                <w:rFonts w:ascii="PT Astra Serif;Times New Roman" w:hAnsi="PT Astra Serif;Times New Roman"/>
                <w:color w:val="000000"/>
              </w:rPr>
              <w:fldChar w:fldCharType="end"/>
            </w: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</w:rPr>
              <w:t>етод</w:t>
            </w:r>
            <w:r>
              <w:rPr>
                <w:rFonts w:ascii="PT Astra Serif;Times New Roman" w:hAnsi="PT Astra Serif;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сопоставимых рыночных цен (анализа рынка) заключается в установлении начальной (максимальной) цены контракта, цены контракта, заключаемого с единственным поставщиком (подрядчиком, исполнителем),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30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В соответствии с пунктом 3.19, в целях определения НМЦК методом сопоставимых рыночных цен (анализа рынка) рекомендуется использовать не менее трех цен товара, работы, услуги, предлагаемых различными поставщиками (подрядчиками, исполнителями).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С целью получения ценовой информации Заказчиком были направлены запросы о предоставлении ценовой информации не менее 5 (пяти) организациям, обладающим опытом оказания услуг соответствующих предмету контракта, информация о которых имеется в свободном доступе (пункт подпункт 3.7.1 Методических рекомендаций).</w:t>
            </w:r>
          </w:p>
          <w:p>
            <w:pPr>
              <w:pStyle w:val="Normal"/>
              <w:tabs>
                <w:tab w:val="clear" w:pos="708"/>
                <w:tab w:val="left" w:pos="9885" w:leader="none"/>
              </w:tabs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По результатам запроса была получена ценовая информация от 3 (трех) организаций.</w:t>
            </w:r>
          </w:p>
          <w:p>
            <w:pPr>
              <w:pStyle w:val="Normal"/>
              <w:tabs>
                <w:tab w:val="clear" w:pos="708"/>
                <w:tab w:val="left" w:pos="9885" w:leader="none"/>
              </w:tabs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В целях определения однородности совокупности значений полученной ценовой информации, используемой в расчете НМЦК в соответствии с Методическими рекомендациями, произведен расчет коэффициента вариации.</w:t>
            </w:r>
          </w:p>
          <w:p>
            <w:pPr>
              <w:pStyle w:val="Normal"/>
              <w:tabs>
                <w:tab w:val="clear" w:pos="708"/>
                <w:tab w:val="left" w:pos="9885" w:leader="none"/>
              </w:tabs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В соответствии с подпунктом 3.20.2 пункта 3.20 Методических рекомендаций, совокупность значений, используемых в расчете, при определении НМЦК считается неоднородной, если коэффициент вариации цены превышает 33%. </w:t>
            </w:r>
          </w:p>
          <w:p>
            <w:pPr>
              <w:pStyle w:val="Normal"/>
              <w:tabs>
                <w:tab w:val="clear" w:pos="708"/>
                <w:tab w:val="left" w:pos="9885" w:leader="none"/>
              </w:tabs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В результате произведенного расчета коэффициента вариации ценовой информации полученной от 3 (трех) организаций коэффициент вариации составил 42%.</w:t>
            </w:r>
          </w:p>
          <w:p>
            <w:pPr>
              <w:pStyle w:val="Normal"/>
              <w:tabs>
                <w:tab w:val="clear" w:pos="708"/>
                <w:tab w:val="left" w:pos="9885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Получение ценовой информации в реестре контрактов не целесообразно, так как одним из критериев такого отбора согласно Методическим рекомендациям</w:t>
            </w: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, является поиск услуг наиболее полно удовлетворяющим потребности заказчика.</w:t>
            </w:r>
          </w:p>
          <w:p>
            <w:pPr>
              <w:pStyle w:val="Normal"/>
              <w:tabs>
                <w:tab w:val="clear" w:pos="708"/>
                <w:tab w:val="left" w:pos="9885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Также, в соответствии с подпунктом 3.7.2 Методических рекомендаций, заказчиком размещен запрос о предоставлении ценовой информации в единой информационной системе в сфере закупок товаров, работ, услуг для обеспечения государственных или муниципальных нужд (ЕИС). По окончании срока подачи заказчику не поступила ценовая информация на закупаемые услуги.</w:t>
            </w:r>
          </w:p>
          <w:p>
            <w:pPr>
              <w:pStyle w:val="Normal"/>
              <w:tabs>
                <w:tab w:val="clear" w:pos="708"/>
                <w:tab w:val="left" w:pos="9885" w:leader="none"/>
              </w:tabs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На основании изложенного, произвести расчет НМЦК </w:t>
            </w:r>
            <w:r>
              <w:rPr>
                <w:rFonts w:eastAsia="Times New Roman" w:cs="PT Astra Serif"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u w:val="none"/>
                <w:lang w:eastAsia="ru-RU"/>
              </w:rPr>
              <w:t>методом сопоставимых рыночных цен (анализ рынка) не представляется возможным.</w:t>
            </w:r>
          </w:p>
        </w:tc>
      </w:tr>
      <w:tr>
        <w:trPr>
          <w:trHeight w:val="23" w:hRule="atLeast"/>
        </w:trPr>
        <w:tc>
          <w:tcPr>
            <w:tcW w:w="357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</w: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hd w:val="clear" w:fill="FFFFFF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Нормативный метод</w:t>
            </w:r>
          </w:p>
        </w:tc>
        <w:tc>
          <w:tcPr>
            <w:tcW w:w="103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7"/>
              <w:spacing w:lineRule="auto" w:line="240" w:before="0" w:after="0"/>
              <w:jc w:val="both"/>
              <w:rPr/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Нормативный метод заключается в расчете НМЦК на основе требований к закупаемым услугам, установленных в соответствии со </w:t>
            </w:r>
            <w:r>
              <w:fldChar w:fldCharType="begin"/>
            </w:r>
            <w:r>
              <w:rPr>
                <w:smallCaps w:val="false"/>
                <w:caps w:val="false"/>
                <w:dstrike w:val="false"/>
                <w:strike w:val="false"/>
                <w:sz w:val="20"/>
                <w:spacing w:val="0"/>
                <w:i w:val="false"/>
                <w:u w:val="none"/>
                <w:b w:val="false"/>
                <w:effect w:val="none"/>
                <w:szCs w:val="20"/>
                <w:rFonts w:ascii="PT Astra Serif;Times New Roman" w:hAnsi="PT Astra Serif;Times New Roman"/>
                <w:color w:val="000000"/>
              </w:rPr>
              <w:instrText> HYPERLINK "https://internet.garant.ru/" \l "/document/70353464/entry/19"</w:instrText>
            </w:r>
            <w:r>
              <w:rPr>
                <w:smallCaps w:val="false"/>
                <w:caps w:val="false"/>
                <w:dstrike w:val="false"/>
                <w:strike w:val="false"/>
                <w:sz w:val="20"/>
                <w:spacing w:val="0"/>
                <w:i w:val="false"/>
                <w:u w:val="none"/>
                <w:b w:val="false"/>
                <w:effect w:val="none"/>
                <w:szCs w:val="20"/>
                <w:rFonts w:ascii="PT Astra Serif;Times New Roman" w:hAnsi="PT Astra Serif;Times New Roman"/>
                <w:color w:val="000000"/>
              </w:rPr>
              <w:fldChar w:fldCharType="separate"/>
            </w: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</w:rPr>
              <w:t>статьей 19</w:t>
            </w:r>
            <w:r>
              <w:rPr>
                <w:smallCaps w:val="false"/>
                <w:caps w:val="false"/>
                <w:dstrike w:val="false"/>
                <w:strike w:val="false"/>
                <w:sz w:val="20"/>
                <w:spacing w:val="0"/>
                <w:i w:val="false"/>
                <w:u w:val="none"/>
                <w:b w:val="false"/>
                <w:effect w:val="none"/>
                <w:szCs w:val="20"/>
                <w:rFonts w:ascii="PT Astra Serif;Times New Roman" w:hAnsi="PT Astra Serif;Times New Roman"/>
                <w:color w:val="000000"/>
              </w:rPr>
              <w:fldChar w:fldCharType="end"/>
            </w:r>
            <w:r>
              <w:rPr>
                <w:rFonts w:ascii="PT Astra Serif;Times New Roman" w:hAnsi="PT Astra Serif;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Федерального закона № 44-ФЗ от 05.04.2013 №44-ФЗ в случае, если такие требования предусматривают установление предельных цен товаров, работ, услуг.</w:t>
            </w:r>
          </w:p>
          <w:p>
            <w:pPr>
              <w:pStyle w:val="Style27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В отношении закупаемых услуг отсутствует информация о стоимости соответствующих услуг в утвержденных нормативных затратах на обеспечение функций Министерства Российской Федерации по делам гражданской обороны, чрезвычайным ситуациям и ликвидации последствий стихийных бедствий, включая территориальные органы и подведомственные казенные учреждения.</w:t>
            </w:r>
          </w:p>
        </w:tc>
      </w:tr>
      <w:tr>
        <w:trPr>
          <w:trHeight w:val="23" w:hRule="atLeast"/>
        </w:trPr>
        <w:tc>
          <w:tcPr>
            <w:tcW w:w="357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</w: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Тарифный метод</w:t>
            </w:r>
          </w:p>
        </w:tc>
        <w:tc>
          <w:tcPr>
            <w:tcW w:w="103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>Тарифный метод подлежит применению, если в соответствии с законодательством Российской Федерации цены закупаемых товаров, работ, услуг для государственных и муниципальных нужд подлежат государственному регулированию или установлены муниципальными правовыми актами.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 xml:space="preserve">Поскольку закупаемые услуги не подлежат государственному регулированию, а также отсутствуют тарифы, установленные муниципальными правовыми актами, тарифный метод применять не представляется возможным. </w:t>
            </w:r>
          </w:p>
        </w:tc>
      </w:tr>
      <w:tr>
        <w:trPr>
          <w:trHeight w:val="23" w:hRule="atLeast"/>
        </w:trPr>
        <w:tc>
          <w:tcPr>
            <w:tcW w:w="357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</w: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Проектно-сметный метод</w:t>
            </w:r>
          </w:p>
        </w:tc>
        <w:tc>
          <w:tcPr>
            <w:tcW w:w="103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1"/>
              <w:shd w:val="clear" w:fill="FFFFFF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Согласно части 9 статьи 22 Фе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>дерального закона от 5 апреля 2013 г. № 44-ФЗ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 xml:space="preserve"> данный метод заключается в определении начальной (максимальной) цены контракта, цены контракта, заключаемого с единственным поставщиком (подрядчиком, исполнителем), на:</w:t>
            </w:r>
          </w:p>
          <w:p>
            <w:pPr>
              <w:pStyle w:val="S1"/>
              <w:shd w:val="clear" w:fill="FFFFFF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1) строительство, реконструкцию, капитальный ремонт, снос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или органом исполнительной власти субъекта Российской Федерации;</w:t>
            </w:r>
          </w:p>
          <w:p>
            <w:pPr>
              <w:pStyle w:val="S1"/>
              <w:shd w:val="clear" w:fill="FFFFFF"/>
              <w:spacing w:lineRule="auto" w:line="240" w:before="0" w:after="0"/>
              <w:jc w:val="both"/>
              <w:rPr/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2) проведение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надзора, на основании согласованной в </w:t>
            </w:r>
            <w:r>
              <w:fldChar w:fldCharType="begin"/>
            </w:r>
            <w:r>
              <w:rPr>
                <w:sz w:val="20"/>
                <w:u w:val="none"/>
                <w:szCs w:val="20"/>
                <w:rFonts w:ascii="PT Astra Serif;Times New Roman" w:hAnsi="PT Astra Serif;Times New Roman"/>
                <w:color w:val="000000"/>
              </w:rPr>
              <w:instrText> HYPERLINK "https://internet.garant.ru/" \l "/document/71250996/entry/0"</w:instrText>
            </w:r>
            <w:r>
              <w:rPr>
                <w:sz w:val="20"/>
                <w:u w:val="none"/>
                <w:szCs w:val="20"/>
                <w:rFonts w:ascii="PT Astra Serif;Times New Roman" w:hAnsi="PT Astra Serif;Times New Roman"/>
                <w:color w:val="000000"/>
              </w:rPr>
              <w:fldChar w:fldCharType="separate"/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u w:val="none"/>
              </w:rPr>
              <w:t>порядке</w:t>
            </w:r>
            <w:r>
              <w:rPr>
                <w:sz w:val="20"/>
                <w:u w:val="none"/>
                <w:szCs w:val="20"/>
                <w:rFonts w:ascii="PT Astra Serif;Times New Roman" w:hAnsi="PT Astra Serif;Times New Roman"/>
                <w:color w:val="000000"/>
              </w:rPr>
              <w:fldChar w:fldCharType="end"/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, установленном законодательством Российской Федерации, проектной документации на проведение работ по сохранению объектов культурного наследия и в соответствии с реставрационными нормами и правилами, утвержденными федеральным органом исполнительной власти, уполномоченным Правительством Российской Федерации в области государственной охраны объектов культурного наследия.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 xml:space="preserve">Кроме того, в соответствии с частью 9.1. 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статьи 22 Фе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>дерального закона от 5 апреля 2013 г. № 44-ФЗ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 xml:space="preserve"> п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>роектно-сметный метод может применяться при определении и обосновании начальной (максимальной) цены контракта, цены контракта, заключаемого с единственным поставщиком (подрядчиком, исполнителем), на текущий ремонт зданий, строений, сооружений, помещений.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 xml:space="preserve">Следовательно, проектно-сметный метод не распространяется на объект закупки, в связи с чем не подлежит применению. </w:t>
            </w:r>
          </w:p>
        </w:tc>
      </w:tr>
      <w:tr>
        <w:trPr>
          <w:trHeight w:val="1450" w:hRule="atLeast"/>
        </w:trPr>
        <w:tc>
          <w:tcPr>
            <w:tcW w:w="357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</w: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>Затратный метод</w:t>
            </w:r>
          </w:p>
        </w:tc>
        <w:tc>
          <w:tcPr>
            <w:tcW w:w="103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>Данный метод заключается в определении начальной (максимальной) цены контракта, цены контракта, заключаемого с единственным поставщиком (подрядчиком, исполнителем), как суммы произведенных затрат и обычной для определенной сферы деятельности прибыли. При этом учитываются обычные в подобных случаях прямые и косвенные затраты на производство или приобретение и (или) реализацию товаров, работ, услуг, затраты на транспортировку, хранение, страхование и иные затраты.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 xml:space="preserve">Недопустимость применения затратного метода обусловлена невозможностью определения прямых и косвенных затрат на 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>производство или приобретение и (или) реализацию объекта закупки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  <w:highlight w:val="white"/>
              </w:rPr>
              <w:t>затрат на транспортировку, хранение, страхование и иных затрат,</w:t>
            </w:r>
            <w:r>
              <w:rPr>
                <w:rFonts w:ascii="PT Astra Serif;Times New Roman" w:hAnsi="PT Astra Serif;Times New Roman"/>
                <w:color w:val="000000"/>
                <w:sz w:val="20"/>
                <w:szCs w:val="20"/>
              </w:rPr>
              <w:t xml:space="preserve"> а также обычной прибыли по объекту закупки.</w:t>
            </w:r>
          </w:p>
        </w:tc>
      </w:tr>
      <w:tr>
        <w:trPr>
          <w:trHeight w:val="23" w:hRule="atLeast"/>
        </w:trPr>
        <w:tc>
          <w:tcPr>
            <w:tcW w:w="157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Расчет начальной (максимальной) цены контракта</w:t>
            </w:r>
          </w:p>
        </w:tc>
      </w:tr>
      <w:tr>
        <w:trPr>
          <w:trHeight w:val="1694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59" w:leader="none"/>
              </w:tabs>
              <w:suppressAutoHyphens w:val="true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 w:hanging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Предложение №1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(Исх. №965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от 27.05.2026;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Вх. №В-171-4643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от 28.05.2026),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в руб.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Предложение №1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(Исх. №1081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от 08.07.2026;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Вх. №В-171-5903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от 08.07.2026),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в руб.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Средняя рыночная цена за единицу, руб. 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Расчет Н(М)ЦК по формуле:                     </w:t>
            </w:r>
          </w:p>
          <w:p>
            <w:pPr>
              <w:pStyle w:val="Normal"/>
              <w:spacing w:lineRule="auto" w:line="240" w:before="0" w:after="0"/>
              <w:ind w:left="-6" w:hanging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v - количество (объем) закупаемого товара (работы, услуги);</w:t>
              <w:br/>
              <w:t>n - количество значений, используемых в расчете;</w:t>
              <w:br/>
              <w:t>i - номер источника ценовой информации;</w:t>
            </w:r>
          </w:p>
          <w:p>
            <w:pPr>
              <w:pStyle w:val="Normal"/>
              <w:spacing w:lineRule="auto" w:line="240" w:before="0" w:after="0"/>
              <w:ind w:left="-6" w:hanging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219075"/>
                  <wp:effectExtent l="0" t="0" r="0" b="0"/>
                  <wp:docPr id="1" name="Рисунок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- цена единицы</w:t>
              <w:br/>
            </w:r>
            <w:r>
              <w:rPr/>
              <w:drawing>
                <wp:inline distT="0" distB="0" distL="0" distR="0">
                  <wp:extent cx="1562100" cy="342900"/>
                  <wp:effectExtent l="0" t="0" r="0" b="0"/>
                  <wp:docPr id="2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50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overflowPunct w:val="false"/>
              <w:spacing w:lineRule="auto" w:line="240" w:before="0" w:after="0"/>
              <w:ind w:right="-1" w:hanging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ru-RU"/>
              </w:rPr>
              <w:t>Услуга по проведению диспансеризации государственных гражданских и муниципальных служащих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color w:val="000000"/>
              </w:rPr>
            </w:pPr>
            <w:r>
              <w:rPr>
                <w:rFonts w:cs="" w:ascii="PT Astra Serif;Times New Roman" w:hAnsi="PT Astra Serif;Times New Roman"/>
                <w:color w:val="000000"/>
              </w:rPr>
              <w:t>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7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Человек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3 839.00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4 006.00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3 922.50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11 767.50</w:t>
            </w:r>
          </w:p>
        </w:tc>
      </w:tr>
      <w:tr>
        <w:trPr>
          <w:trHeight w:val="250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overflowPunct w:val="false"/>
              <w:spacing w:lineRule="auto" w:line="240" w:before="0" w:after="0"/>
              <w:ind w:right="-1" w:hanging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ru-RU"/>
              </w:rPr>
              <w:t>Услуга по проведению диспансеризации государственных гражданских и муниципальных служащих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color w:val="000000"/>
              </w:rPr>
            </w:pPr>
            <w:r>
              <w:rPr>
                <w:rFonts w:ascii="PT Astra Serif;Times New Roman" w:hAnsi="PT Astra Serif;Times New Roman"/>
                <w:color w:val="000000"/>
              </w:rPr>
              <w:t>2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7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Человек</w:t>
            </w:r>
          </w:p>
        </w:tc>
        <w:tc>
          <w:tcPr>
            <w:tcW w:w="24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4 195.00</w:t>
            </w:r>
          </w:p>
        </w:tc>
        <w:tc>
          <w:tcPr>
            <w:tcW w:w="2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4 309.00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4 252.00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8 504.00</w:t>
            </w:r>
          </w:p>
        </w:tc>
      </w:tr>
      <w:tr>
        <w:trPr>
          <w:trHeight w:val="250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overflowPunct w:val="false"/>
              <w:spacing w:lineRule="auto" w:line="240" w:before="0" w:after="0"/>
              <w:ind w:right="-1" w:hanging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ru-RU"/>
              </w:rPr>
              <w:t>Услуга по проведению диспансеризации государственных гражданских и муниципальных служащих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color w:val="000000"/>
              </w:rPr>
            </w:pPr>
            <w:r>
              <w:rPr>
                <w:rFonts w:ascii="PT Astra Serif;Times New Roman" w:hAnsi="PT Astra Serif;Times New Roman"/>
                <w:color w:val="000000"/>
              </w:rPr>
              <w:t>3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7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Человек</w:t>
            </w:r>
          </w:p>
        </w:tc>
        <w:tc>
          <w:tcPr>
            <w:tcW w:w="24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5 274.00</w:t>
            </w:r>
          </w:p>
        </w:tc>
        <w:tc>
          <w:tcPr>
            <w:tcW w:w="2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5 366.00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5 320.00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15 960.00</w:t>
            </w:r>
          </w:p>
        </w:tc>
      </w:tr>
      <w:tr>
        <w:trPr>
          <w:trHeight w:val="250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overflowPunct w:val="false"/>
              <w:spacing w:lineRule="auto" w:line="240" w:before="0" w:after="0"/>
              <w:ind w:right="-1" w:hanging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ru-RU"/>
              </w:rPr>
              <w:t>Услуга по проведению диспансеризации государственных гражданских и муниципальных служащих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color w:val="000000"/>
              </w:rPr>
            </w:pPr>
            <w:r>
              <w:rPr>
                <w:rFonts w:ascii="PT Astra Serif;Times New Roman" w:hAnsi="PT Astra Serif;Times New Roman"/>
                <w:color w:val="000000"/>
              </w:rPr>
              <w:t>4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7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Человек</w:t>
            </w:r>
          </w:p>
        </w:tc>
        <w:tc>
          <w:tcPr>
            <w:tcW w:w="24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4 205.00</w:t>
            </w:r>
          </w:p>
        </w:tc>
        <w:tc>
          <w:tcPr>
            <w:tcW w:w="2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4 474.00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4 339.50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17 358.00</w:t>
            </w:r>
          </w:p>
        </w:tc>
      </w:tr>
      <w:tr>
        <w:trPr>
          <w:trHeight w:val="250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ru-RU"/>
              </w:rPr>
              <w:t>Услуга по проведению диспансеризации государственных гражданских и муниципальных служащих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color w:val="000000"/>
              </w:rPr>
            </w:pPr>
            <w:r>
              <w:rPr>
                <w:rFonts w:ascii="PT Astra Serif;Times New Roman" w:hAnsi="PT Astra Serif;Times New Roman"/>
                <w:color w:val="000000"/>
              </w:rPr>
              <w:t>9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7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Человек</w:t>
            </w:r>
          </w:p>
        </w:tc>
        <w:tc>
          <w:tcPr>
            <w:tcW w:w="24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5 448.00</w:t>
            </w:r>
          </w:p>
        </w:tc>
        <w:tc>
          <w:tcPr>
            <w:tcW w:w="2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5 571.00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5 509.50</w:t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49 585.50</w:t>
            </w:r>
          </w:p>
        </w:tc>
      </w:tr>
      <w:tr>
        <w:trPr>
          <w:trHeight w:val="491" w:hRule="atLeast"/>
        </w:trPr>
        <w:tc>
          <w:tcPr>
            <w:tcW w:w="157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Начальная (максимальная) цена контракта составляет: </w:t>
            </w:r>
            <w:r>
              <w:rPr>
                <w:rFonts w:eastAsia="Calibri" w:cs="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103 175 (сто три тысячи сто семьдесят пять)</w:t>
            </w:r>
            <w:r>
              <w:rPr>
                <w:rFonts w:eastAsia="Calibri" w:cs="Times New Roman" w:ascii="PT Astra Serif;Times New Roman" w:hAnsi="PT Astra Serif;Times New Roman"/>
                <w:b/>
                <w:color w:val="000000"/>
                <w:sz w:val="20"/>
                <w:szCs w:val="20"/>
              </w:rPr>
              <w:t xml:space="preserve"> рублей 00 копеек</w:t>
            </w:r>
          </w:p>
        </w:tc>
      </w:tr>
    </w:tbl>
    <w:p>
      <w:pPr>
        <w:pStyle w:val="Normal"/>
        <w:spacing w:lineRule="auto" w:line="240" w:before="0" w:after="0"/>
        <w:rPr>
          <w:rFonts w:ascii="PT Astra Serif;Times New Roman" w:hAnsi="PT Astra Serif;Times New Roman" w:eastAsia="Calibri" w:cs="Times New Roman"/>
          <w:color w:val="000000"/>
          <w:sz w:val="20"/>
          <w:szCs w:val="20"/>
        </w:rPr>
      </w:pPr>
      <w:r>
        <w:rPr>
          <w:rFonts w:eastAsia="Calibri" w:cs="Times New Roman" w:ascii="PT Astra Serif;Times New Roman" w:hAnsi="PT Astra Serif;Times New Roman"/>
          <w:color w:val="000000"/>
          <w:sz w:val="20"/>
          <w:szCs w:val="20"/>
        </w:rPr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/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color w:val="22272F"/>
          <w:sz w:val="20"/>
          <w:szCs w:val="20"/>
          <w:u w:val="single"/>
          <w:lang w:eastAsia="ru-RU"/>
        </w:rPr>
        <w:t>Начальник отдела организации контрактной работы (закупочной деятельности) УМТО ГУ МЧС России по Республике Мордовия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/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color w:val="22272F"/>
          <w:sz w:val="20"/>
          <w:szCs w:val="20"/>
          <w:lang w:eastAsia="ru-RU"/>
        </w:rPr>
        <w:t xml:space="preserve">                                                </w:t>
      </w:r>
      <w:r>
        <w:rPr>
          <w:rFonts w:eastAsia="Times New Roman" w:cs="Times New Roman" w:ascii="PT Astra Serif;Times New Roman" w:hAnsi="PT Astra Serif;Times New Roman"/>
          <w:color w:val="22272F"/>
          <w:sz w:val="20"/>
          <w:szCs w:val="20"/>
          <w:lang w:eastAsia="ru-RU"/>
        </w:rPr>
        <w:t>(должность)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/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color w:val="22272F"/>
          <w:sz w:val="20"/>
          <w:szCs w:val="20"/>
          <w:lang w:eastAsia="ru-RU"/>
        </w:rPr>
        <w:t>__________________/Шестопалова Т.И./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/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color w:val="22272F"/>
          <w:sz w:val="20"/>
          <w:szCs w:val="20"/>
          <w:lang w:eastAsia="ru-RU"/>
        </w:rPr>
        <w:t xml:space="preserve">   </w:t>
      </w:r>
      <w:r>
        <w:rPr>
          <w:rFonts w:eastAsia="Times New Roman" w:cs="Times New Roman" w:ascii="PT Astra Serif;Times New Roman" w:hAnsi="PT Astra Serif;Times New Roman"/>
          <w:color w:val="22272F"/>
          <w:sz w:val="20"/>
          <w:szCs w:val="20"/>
          <w:lang w:eastAsia="ru-RU"/>
        </w:rPr>
        <w:t>(подпись/расшифровка подписи)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/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color w:val="22272F"/>
          <w:sz w:val="20"/>
          <w:szCs w:val="20"/>
          <w:lang w:eastAsia="ru-RU"/>
        </w:rPr>
        <w:t>«21» июля 2026 г.</w:t>
      </w:r>
    </w:p>
    <w:sectPr>
      <w:headerReference w:type="default" r:id="rId4"/>
      <w:headerReference w:type="first" r:id="rId5"/>
      <w:type w:val="nextPage"/>
      <w:pgSz w:orient="landscape" w:w="16838" w:h="11906"/>
      <w:pgMar w:left="567" w:right="567" w:header="567" w:top="1103" w:footer="0" w:bottom="56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PT Astra Serif">
    <w:altName w:val="Times New Roman"/>
    <w:charset w:val="01"/>
    <w:family w:val="roman"/>
    <w:pitch w:val="variable"/>
  </w:font>
  <w:font w:name="PT Astra 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>
        <w:rFonts w:ascii="PT Astra Serif" w:hAnsi="PT Astra Serif"/>
      </w:rPr>
    </w:pPr>
    <w:r>
      <w:rPr>
        <w:rFonts w:ascii="PT Astra Serif" w:hAnsi="PT Astra Serif"/>
      </w:rPr>
      <w:fldChar w:fldCharType="begin"/>
    </w:r>
    <w:r>
      <w:rPr>
        <w:rFonts w:ascii="PT Astra Serif" w:hAnsi="PT Astra Serif"/>
      </w:rPr>
      <w:instrText> PAGE </w:instrText>
    </w:r>
    <w:r>
      <w:rPr>
        <w:rFonts w:ascii="PT Astra Serif" w:hAnsi="PT Astra Serif"/>
      </w:rPr>
      <w:fldChar w:fldCharType="separate"/>
    </w:r>
    <w:r>
      <w:rPr>
        <w:rFonts w:ascii="PT Astra Serif" w:hAnsi="PT Astra Serif"/>
      </w:rPr>
      <w:t>3</w:t>
    </w:r>
    <w:r>
      <w:rPr>
        <w:rFonts w:ascii="PT Astra Serif" w:hAnsi="PT Astra Serif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702052"/>
    <w:rPr>
      <w:rFonts w:ascii="Segoe UI" w:hAnsi="Segoe UI" w:cs="Segoe UI"/>
      <w:sz w:val="18"/>
      <w:szCs w:val="18"/>
    </w:rPr>
  </w:style>
  <w:style w:type="character" w:styleId="Style15" w:customStyle="1">
    <w:name w:val="Верхний колонтитул Знак"/>
    <w:basedOn w:val="DefaultParagraphFont"/>
    <w:link w:val="a5"/>
    <w:uiPriority w:val="99"/>
    <w:qFormat/>
    <w:rsid w:val="00702052"/>
    <w:rPr/>
  </w:style>
  <w:style w:type="character" w:styleId="Style16" w:customStyle="1">
    <w:name w:val="Нижний колонтитул Знак"/>
    <w:basedOn w:val="DefaultParagraphFont"/>
    <w:link w:val="a7"/>
    <w:uiPriority w:val="99"/>
    <w:qFormat/>
    <w:rsid w:val="00702052"/>
    <w:rPr/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character" w:styleId="Style18">
    <w:name w:val="Посещённая гиперссылка"/>
    <w:rPr>
      <w:color w:val="800000"/>
      <w:u w:val="single"/>
      <w:lang w:val="zxx" w:eastAsia="zxx" w:bidi="zxx"/>
    </w:rPr>
  </w:style>
  <w:style w:type="character" w:styleId="Ikzvalue">
    <w:name w:val="ikzvalue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0205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6"/>
    <w:uiPriority w:val="99"/>
    <w:unhideWhenUsed/>
    <w:rsid w:val="0070205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8"/>
    <w:uiPriority w:val="99"/>
    <w:unhideWhenUsed/>
    <w:rsid w:val="0070205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1">
    <w:name w:val="s_1"/>
    <w:basedOn w:val="Normal"/>
    <w:qFormat/>
    <w:pPr>
      <w:spacing w:before="280" w:after="280"/>
    </w:pPr>
    <w:rPr>
      <w:bCs w:val="false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Application>LibreOffice/6.4.7.2$Linux_X86_64 LibreOffice_project/72d9d5113b23a0ed474720f9d366fcde9a2744dd</Application>
  <Pages>3</Pages>
  <Words>1089</Words>
  <Characters>7942</Characters>
  <CharactersWithSpaces>9009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2021-09-18T08:45:00Z</dcterms:created>
  <dc:creator>Варжина Елена</dc:creator>
  <dc:description/>
  <dc:language>ru-RU</dc:language>
  <cp:lastModifiedBy/>
  <cp:lastPrinted>2023-02-16T14:17:10Z</cp:lastPrinted>
  <dcterms:modified xsi:type="dcterms:W3CDTF">2026-07-21T12:52:35Z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