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3"/>
        <w:ind w:firstLine="284"/>
        <w:spacing w:line="240" w:lineRule="atLeast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lang w:eastAsia="ru-RU"/>
        </w:rPr>
      </w:pPr>
      <w:r>
        <w:rPr>
          <w:lang w:eastAsia="ru-RU"/>
        </w:rPr>
        <w:t xml:space="preserve">Контракт № ___________</w:t>
      </w:r>
      <w:r>
        <w:rPr>
          <w:lang w:eastAsia="ru-RU"/>
        </w:rPr>
      </w:r>
      <w:r>
        <w:rPr>
          <w:lang w:eastAsia="ru-RU"/>
        </w:rPr>
      </w:r>
    </w:p>
    <w:p>
      <w:pPr>
        <w:ind w:firstLine="284"/>
        <w:jc w:val="center"/>
        <w:tabs>
          <w:tab w:val="left" w:pos="0" w:leader="none"/>
        </w:tabs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</w:r>
      <w:r>
        <w:rPr>
          <w:b/>
          <w:bCs/>
          <w:sz w:val="22"/>
          <w:szCs w:val="22"/>
          <w:lang w:eastAsia="ru-RU"/>
        </w:rPr>
      </w:r>
      <w:r>
        <w:rPr>
          <w:b/>
          <w:bCs/>
          <w:sz w:val="22"/>
          <w:szCs w:val="22"/>
          <w:lang w:eastAsia="ru-RU"/>
        </w:rPr>
      </w:r>
    </w:p>
    <w:p>
      <w:pPr>
        <w:jc w:val="center"/>
        <w:shd w:val="clear" w:color="auto" w:fill="ffffff"/>
        <w:tabs>
          <w:tab w:val="left" w:pos="7513" w:leader="none"/>
        </w:tabs>
        <w:rPr>
          <w:b/>
          <w:bCs/>
          <w:color w:val="000000"/>
          <w:spacing w:val="-3"/>
          <w:sz w:val="22"/>
          <w:szCs w:val="22"/>
        </w:rPr>
      </w:pPr>
      <w:r>
        <w:rPr>
          <w:bCs/>
          <w:color w:val="000000"/>
          <w:spacing w:val="-3"/>
          <w:sz w:val="22"/>
          <w:szCs w:val="22"/>
        </w:rPr>
        <w:t xml:space="preserve">ИКЗ 26 1 7702017400 770901001 0004 000 0000 000</w:t>
      </w:r>
      <w:r>
        <w:rPr>
          <w:b/>
          <w:bCs/>
          <w:color w:val="000000"/>
          <w:spacing w:val="-3"/>
          <w:sz w:val="22"/>
          <w:szCs w:val="22"/>
        </w:rPr>
      </w:r>
      <w:r>
        <w:rPr>
          <w:b/>
          <w:bCs/>
          <w:color w:val="000000"/>
          <w:spacing w:val="-3"/>
          <w:sz w:val="22"/>
          <w:szCs w:val="22"/>
        </w:rPr>
      </w:r>
    </w:p>
    <w:p>
      <w:pPr>
        <w:jc w:val="center"/>
        <w:shd w:val="clear" w:color="auto" w:fill="ffffff"/>
        <w:tabs>
          <w:tab w:val="left" w:pos="7513" w:leader="none"/>
        </w:tabs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</w:r>
      <w:r>
        <w:rPr>
          <w:b/>
          <w:bCs/>
          <w:color w:val="000000"/>
          <w:spacing w:val="-3"/>
          <w:sz w:val="22"/>
          <w:szCs w:val="22"/>
        </w:rPr>
      </w:r>
      <w:r>
        <w:rPr>
          <w:b/>
          <w:bCs/>
          <w:color w:val="000000"/>
          <w:spacing w:val="-3"/>
          <w:sz w:val="22"/>
          <w:szCs w:val="22"/>
        </w:rPr>
      </w:r>
    </w:p>
    <w:p>
      <w:pPr>
        <w:ind w:right="-2" w:firstLine="284"/>
        <w:jc w:val="center"/>
        <w:spacing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774"/>
        <w:gridCol w:w="5257"/>
      </w:tblGrid>
      <w:tr>
        <w:tblPrEx/>
        <w:trPr>
          <w:trHeight w:val="515"/>
        </w:trPr>
        <w:tc>
          <w:tcPr>
            <w:tcW w:w="4774" w:type="dxa"/>
            <w:textDirection w:val="lrTb"/>
            <w:noWrap w:val="false"/>
          </w:tcPr>
          <w:p>
            <w:pPr>
              <w:ind w:right="-2" w:firstLine="284"/>
              <w:jc w:val="both"/>
              <w:spacing w:line="360" w:lineRule="auto"/>
              <w:tabs>
                <w:tab w:val="left" w:pos="0" w:leader="none"/>
                <w:tab w:val="left" w:pos="567" w:leader="none"/>
                <w:tab w:val="left" w:pos="709" w:leader="none"/>
                <w:tab w:val="left" w:pos="851" w:leader="none"/>
                <w:tab w:val="left" w:pos="993" w:leader="none"/>
                <w:tab w:val="left" w:pos="1418" w:leader="none"/>
              </w:tabs>
            </w:pPr>
            <w:r>
              <w:rPr>
                <w:sz w:val="22"/>
                <w:szCs w:val="22"/>
              </w:rPr>
              <w:t xml:space="preserve">г. Москва</w:t>
            </w:r>
            <w:r/>
          </w:p>
        </w:tc>
        <w:tc>
          <w:tcPr>
            <w:tcW w:w="5257" w:type="dxa"/>
            <w:textDirection w:val="lrTb"/>
            <w:noWrap w:val="false"/>
          </w:tcPr>
          <w:p>
            <w:pPr>
              <w:ind w:right="-2" w:firstLine="284"/>
              <w:jc w:val="right"/>
              <w:spacing w:line="360" w:lineRule="auto"/>
              <w:tabs>
                <w:tab w:val="left" w:pos="0" w:leader="none"/>
                <w:tab w:val="left" w:pos="567" w:leader="none"/>
                <w:tab w:val="left" w:pos="709" w:leader="none"/>
                <w:tab w:val="left" w:pos="851" w:leader="none"/>
                <w:tab w:val="left" w:pos="993" w:leader="none"/>
                <w:tab w:val="left" w:pos="1418" w:leader="none"/>
              </w:tabs>
            </w:pPr>
            <w:r>
              <w:rPr>
                <w:sz w:val="22"/>
                <w:szCs w:val="22"/>
              </w:rPr>
              <w:t xml:space="preserve">«__» _________ 2026 г.</w:t>
            </w:r>
            <w:r/>
          </w:p>
        </w:tc>
      </w:tr>
    </w:tbl>
    <w:p>
      <w:pPr>
        <w:ind w:firstLine="708"/>
        <w:jc w:val="both"/>
        <w:rPr>
          <w:color w:val="000000"/>
          <w:spacing w:val="5"/>
          <w:sz w:val="22"/>
          <w:szCs w:val="22"/>
        </w:rPr>
      </w:pPr>
      <w:r>
        <w:rPr>
          <w:b/>
          <w:sz w:val="22"/>
          <w:szCs w:val="22"/>
        </w:rPr>
        <w:t xml:space="preserve">Федеральное казенное учреждение «Дирекция государственного заказчика программ развития морского транспорта» (ФКУ «Дирекция госзаказчика»)</w:t>
      </w:r>
      <w:r>
        <w:rPr>
          <w:sz w:val="22"/>
          <w:szCs w:val="22"/>
        </w:rPr>
        <w:t xml:space="preserve">, </w:t>
      </w:r>
      <w:r>
        <w:rPr>
          <w:color w:val="000000"/>
          <w:spacing w:val="5"/>
          <w:sz w:val="22"/>
          <w:szCs w:val="22"/>
        </w:rPr>
        <w:t xml:space="preserve">далее – </w:t>
      </w:r>
      <w:r>
        <w:rPr>
          <w:b/>
          <w:color w:val="000000"/>
          <w:spacing w:val="5"/>
          <w:sz w:val="22"/>
          <w:szCs w:val="22"/>
        </w:rPr>
        <w:t xml:space="preserve">«Заказчик», </w:t>
      </w:r>
      <w:r>
        <w:rPr>
          <w:sz w:val="22"/>
          <w:szCs w:val="22"/>
        </w:rPr>
        <w:t xml:space="preserve">в лице Генерального директора </w:t>
      </w:r>
      <w:r>
        <w:rPr>
          <w:sz w:val="22"/>
          <w:szCs w:val="22"/>
        </w:rPr>
        <w:t xml:space="preserve">Машаева</w:t>
      </w:r>
      <w:r>
        <w:rPr>
          <w:sz w:val="22"/>
          <w:szCs w:val="22"/>
        </w:rPr>
        <w:t xml:space="preserve"> Леонида Сергеевича, действующего на основании </w:t>
      </w:r>
      <w:r>
        <w:rPr>
          <w:b/>
          <w:bCs/>
          <w:sz w:val="22"/>
          <w:szCs w:val="22"/>
        </w:rPr>
        <w:t xml:space="preserve">Устава</w:t>
      </w:r>
      <w:r>
        <w:rPr>
          <w:color w:val="000000"/>
          <w:spacing w:val="5"/>
          <w:sz w:val="22"/>
          <w:szCs w:val="22"/>
        </w:rPr>
        <w:t xml:space="preserve">, с одной стороны, </w:t>
      </w:r>
      <w:r>
        <w:rPr>
          <w:b/>
          <w:color w:val="000000"/>
          <w:spacing w:val="5"/>
          <w:sz w:val="22"/>
          <w:szCs w:val="22"/>
        </w:rPr>
        <w:t xml:space="preserve">и _____________________(__________________),</w:t>
      </w:r>
      <w:r>
        <w:rPr>
          <w:color w:val="000000"/>
          <w:spacing w:val="5"/>
          <w:sz w:val="22"/>
          <w:szCs w:val="22"/>
        </w:rPr>
        <w:t xml:space="preserve"> (далее – </w:t>
      </w:r>
      <w:r>
        <w:rPr>
          <w:b/>
          <w:color w:val="000000"/>
          <w:spacing w:val="5"/>
          <w:sz w:val="22"/>
          <w:szCs w:val="22"/>
        </w:rPr>
        <w:t xml:space="preserve">«Исполнитель»</w:t>
      </w:r>
      <w:r>
        <w:rPr>
          <w:color w:val="000000"/>
          <w:spacing w:val="5"/>
          <w:sz w:val="22"/>
          <w:szCs w:val="22"/>
        </w:rPr>
        <w:t xml:space="preserve">), в лице____________________________________, действующего на основании </w:t>
      </w:r>
      <w:r>
        <w:rPr>
          <w:b/>
          <w:color w:val="000000"/>
          <w:spacing w:val="5"/>
          <w:sz w:val="22"/>
          <w:szCs w:val="22"/>
        </w:rPr>
        <w:t xml:space="preserve">___________</w:t>
      </w:r>
      <w:r>
        <w:rPr>
          <w:color w:val="000000"/>
          <w:spacing w:val="5"/>
          <w:sz w:val="22"/>
          <w:szCs w:val="22"/>
        </w:rPr>
        <w:t xml:space="preserve">, с другой стороны, совместно именуемые в дальнейшем «</w:t>
      </w:r>
      <w:r>
        <w:rPr>
          <w:b/>
          <w:color w:val="000000"/>
          <w:spacing w:val="5"/>
          <w:sz w:val="22"/>
          <w:szCs w:val="22"/>
        </w:rPr>
        <w:t xml:space="preserve">Стороны»</w:t>
      </w:r>
      <w:r>
        <w:rPr>
          <w:color w:val="000000"/>
          <w:spacing w:val="5"/>
          <w:sz w:val="22"/>
          <w:szCs w:val="22"/>
        </w:rPr>
        <w:t xml:space="preserve">, и каждый в отдельности «</w:t>
      </w:r>
      <w:r>
        <w:rPr>
          <w:b/>
          <w:color w:val="000000"/>
          <w:spacing w:val="5"/>
          <w:sz w:val="22"/>
          <w:szCs w:val="22"/>
        </w:rPr>
        <w:t xml:space="preserve">Сторона</w:t>
      </w:r>
      <w:r>
        <w:rPr>
          <w:color w:val="000000"/>
          <w:spacing w:val="5"/>
          <w:sz w:val="22"/>
          <w:szCs w:val="22"/>
        </w:rPr>
        <w:t xml:space="preserve">», в соответствии с пунктом 4 части 1 статьи 93 Федерального</w:t>
      </w:r>
      <w:r>
        <w:rPr>
          <w:color w:val="000000"/>
          <w:spacing w:val="5"/>
          <w:sz w:val="22"/>
          <w:szCs w:val="22"/>
        </w:rPr>
        <w:t xml:space="preserve">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44-ФЗ), с соблюдением требований Гражданского </w:t>
      </w:r>
      <w:hyperlink r:id="rId16" w:tooltip="consultantplus://offline/ref=C36B03DBA536EA525D662381ACE9C394D57D9026D42F5DE9B445103EA5DDE2H" w:history="1">
        <w:r>
          <w:rPr>
            <w:color w:val="000000"/>
            <w:spacing w:val="5"/>
            <w:sz w:val="22"/>
            <w:szCs w:val="22"/>
          </w:rPr>
          <w:t xml:space="preserve">кодекса</w:t>
        </w:r>
      </w:hyperlink>
      <w:r>
        <w:rPr>
          <w:color w:val="000000"/>
          <w:spacing w:val="5"/>
          <w:sz w:val="22"/>
          <w:szCs w:val="22"/>
        </w:rPr>
        <w:t xml:space="preserve"> Российской Федерации  и иных нормативных правовых актов Российской Федерации заключили настоящий Контракт (далее – Контракт) о нижеследующем: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shd w:val="clear" w:color="auto" w:fill="ffffff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КОНТРАКТА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3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Заказчик п</w:t>
      </w:r>
      <w:r>
        <w:rPr>
          <w:sz w:val="22"/>
          <w:szCs w:val="22"/>
          <w:highlight w:val="white"/>
        </w:rPr>
        <w:t xml:space="preserve">оручает, а Исполнитель принимает на себя обязательства по оказанию услуг по экспертизе и оценке технического состояния оборудования, подготовленного к списанию (далее - Услуги), согласно Приложению № 1, являющемуся неотъемлемой частью настоящего Контракта.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numPr>
          <w:ilvl w:val="1"/>
          <w:numId w:val="13"/>
        </w:numPr>
        <w:ind w:left="0" w:right="-2" w:firstLine="283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Экспертиза и оценка технического состояния оборудования включает в себя: проверку работоспособности и ремонтопр</w:t>
      </w:r>
      <w:r>
        <w:rPr>
          <w:sz w:val="22"/>
          <w:szCs w:val="22"/>
          <w:highlight w:val="white"/>
        </w:rPr>
        <w:t xml:space="preserve">игодности оборудования Заказчика, выдачу заключения технического состояния оборудования. Результатом оказанных услуг по экспертизе состояния оборудования являются Акты экспертизы технического состояния (далее - Акт экспертизы) (Приложение № 3 к Контракту).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numPr>
          <w:ilvl w:val="1"/>
          <w:numId w:val="13"/>
        </w:numPr>
        <w:ind w:left="0" w:right="-2" w:firstLine="283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Место оказания услуг – </w:t>
      </w:r>
      <w:r>
        <w:rPr>
          <w:sz w:val="22"/>
          <w:szCs w:val="22"/>
          <w:highlight w:val="white"/>
        </w:rPr>
        <w:fldChar w:fldCharType="begin"/>
      </w:r>
      <w:r>
        <w:rPr>
          <w:sz w:val="22"/>
          <w:szCs w:val="22"/>
          <w:highlight w:val="white"/>
        </w:rPr>
        <w:instrText xml:space="preserve"> DOCVARIABLE ЗАКАЗЧИК_ЮРАДРЕС </w:instrText>
      </w:r>
      <w:r>
        <w:rPr>
          <w:sz w:val="22"/>
          <w:szCs w:val="22"/>
          <w:highlight w:val="white"/>
        </w:rPr>
        <w:fldChar w:fldCharType="separate"/>
      </w:r>
      <w:r>
        <w:rPr>
          <w:sz w:val="22"/>
          <w:szCs w:val="22"/>
          <w:highlight w:val="white"/>
        </w:rPr>
        <w:t xml:space="preserve">г. Москва, пер. </w:t>
      </w:r>
      <w:r>
        <w:rPr>
          <w:sz w:val="22"/>
          <w:szCs w:val="22"/>
          <w:highlight w:val="white"/>
        </w:rPr>
        <w:t xml:space="preserve">Хохловский</w:t>
      </w:r>
      <w:r>
        <w:rPr>
          <w:sz w:val="22"/>
          <w:szCs w:val="22"/>
          <w:highlight w:val="white"/>
        </w:rPr>
        <w:t xml:space="preserve">, д. 10, стр. </w:t>
      </w:r>
      <w:r>
        <w:rPr>
          <w:sz w:val="22"/>
          <w:szCs w:val="22"/>
          <w:highlight w:val="white"/>
        </w:rPr>
        <w:fldChar w:fldCharType="end"/>
      </w:r>
      <w:r>
        <w:rPr>
          <w:sz w:val="22"/>
          <w:szCs w:val="22"/>
          <w:highlight w:val="white"/>
        </w:rPr>
        <w:t xml:space="preserve">5.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shd w:val="clear" w:color="auto" w:fill="ffffff"/>
        <w:tabs>
          <w:tab w:val="left" w:pos="0" w:leader="none"/>
          <w:tab w:val="clear" w:pos="420" w:leader="none"/>
        </w:tabs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ЦЕНА КОНТРАКТА И ПОРЯДОК ОПЛАТЫ</w:t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283"/>
        <w:jc w:val="both"/>
        <w:shd w:val="clear" w:color="auto" w:fill="ffffff"/>
        <w:rPr>
          <w:color w:val="000000" w:themeColor="text1"/>
          <w:spacing w:val="-11"/>
          <w:sz w:val="22"/>
          <w:szCs w:val="22"/>
        </w:rPr>
      </w:pPr>
      <w:r>
        <w:rPr>
          <w:color w:val="000000" w:themeColor="text1"/>
          <w:spacing w:val="-11"/>
          <w:sz w:val="22"/>
          <w:szCs w:val="22"/>
        </w:rPr>
        <w:t xml:space="preserve">2.1. Цена </w:t>
      </w:r>
      <w:r>
        <w:rPr>
          <w:color w:val="000000" w:themeColor="text1"/>
          <w:spacing w:val="-4"/>
          <w:sz w:val="22"/>
          <w:szCs w:val="22"/>
        </w:rPr>
        <w:t xml:space="preserve">Контракта составляет</w:t>
      </w:r>
      <w:r>
        <w:rPr>
          <w:color w:val="000000" w:themeColor="text1"/>
          <w:spacing w:val="-4"/>
          <w:sz w:val="22"/>
          <w:szCs w:val="22"/>
        </w:rPr>
        <w:t xml:space="preserve">: _______(________________) </w:t>
      </w:r>
      <w:r>
        <w:rPr>
          <w:color w:val="000000" w:themeColor="text1"/>
          <w:spacing w:val="-4"/>
          <w:sz w:val="22"/>
          <w:szCs w:val="22"/>
        </w:rPr>
        <w:t xml:space="preserve">рублей __ копеек, НДС - _________________.</w:t>
      </w:r>
      <w:r>
        <w:rPr>
          <w:color w:val="000000" w:themeColor="text1"/>
          <w:spacing w:val="-11"/>
          <w:sz w:val="22"/>
          <w:szCs w:val="22"/>
        </w:rPr>
      </w:r>
      <w:r>
        <w:rPr>
          <w:color w:val="000000" w:themeColor="text1"/>
          <w:spacing w:val="-11"/>
          <w:sz w:val="22"/>
          <w:szCs w:val="22"/>
        </w:rPr>
      </w:r>
    </w:p>
    <w:p>
      <w:pPr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  <w:spacing w:val="-4"/>
          <w:sz w:val="22"/>
          <w:szCs w:val="22"/>
        </w:rPr>
        <w:t xml:space="preserve">Стоимость экспертизы 1 (Одной) единицы оборудования составляет</w:t>
      </w:r>
      <w:r>
        <w:rPr>
          <w:color w:val="000000" w:themeColor="text1"/>
          <w:spacing w:val="-4"/>
          <w:sz w:val="22"/>
          <w:szCs w:val="22"/>
        </w:rPr>
        <w:t xml:space="preserve"> _______(________________) </w:t>
      </w:r>
      <w:r>
        <w:rPr>
          <w:color w:val="000000" w:themeColor="text1"/>
          <w:spacing w:val="-4"/>
          <w:sz w:val="22"/>
          <w:szCs w:val="22"/>
        </w:rPr>
        <w:t xml:space="preserve">рублей ____ копеек, НДС - 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283"/>
        <w:jc w:val="both"/>
        <w:shd w:val="clear" w:color="auto" w:fill="ffffff"/>
        <w:rPr>
          <w:color w:val="000000" w:themeColor="text1"/>
          <w:spacing w:val="-4"/>
          <w:sz w:val="22"/>
          <w:szCs w:val="22"/>
          <w:highlight w:val="yellow"/>
        </w:rPr>
      </w:pPr>
      <w:r>
        <w:rPr>
          <w:color w:val="000000" w:themeColor="text1"/>
          <w:sz w:val="22"/>
          <w:szCs w:val="22"/>
        </w:rPr>
        <w:t xml:space="preserve">Цена Контракта, включает в себя все расходы Исполнителя, связанные с исполнением настоящего Контракта, в том числе уплату налогов, сборов и других обязательных платежей.</w:t>
      </w:r>
      <w:r>
        <w:rPr>
          <w:color w:val="000000" w:themeColor="text1"/>
          <w:spacing w:val="-4"/>
          <w:sz w:val="22"/>
          <w:szCs w:val="22"/>
          <w:highlight w:val="yellow"/>
        </w:rPr>
      </w:r>
      <w:r>
        <w:rPr>
          <w:color w:val="000000" w:themeColor="text1"/>
          <w:spacing w:val="-4"/>
          <w:sz w:val="22"/>
          <w:szCs w:val="22"/>
          <w:highlight w:val="yellow"/>
        </w:rPr>
      </w:r>
    </w:p>
    <w:p>
      <w:pPr>
        <w:ind w:firstLine="283"/>
        <w:jc w:val="both"/>
        <w:shd w:val="clear" w:color="auto" w:fill="ffffff"/>
        <w:rPr>
          <w:color w:val="000000" w:themeColor="text1"/>
          <w:spacing w:val="-4"/>
        </w:rPr>
      </w:pPr>
      <w:r>
        <w:rPr>
          <w:color w:val="000000" w:themeColor="text1"/>
          <w:spacing w:val="-4"/>
          <w:sz w:val="22"/>
          <w:szCs w:val="22"/>
        </w:rPr>
        <w:t xml:space="preserve">2.2. Цена Контракта является твердой и не может изменяться в ходе исполнения Контракта, за исключением случаев, предусмотренных законодательством Российской Федерации.</w:t>
      </w:r>
      <w:r>
        <w:rPr>
          <w:color w:val="000000" w:themeColor="text1"/>
          <w:spacing w:val="-4"/>
        </w:rPr>
      </w:r>
      <w:r>
        <w:rPr>
          <w:color w:val="000000" w:themeColor="text1"/>
          <w:spacing w:val="-4"/>
        </w:rPr>
      </w:r>
    </w:p>
    <w:p>
      <w:pPr>
        <w:ind w:firstLine="283"/>
        <w:jc w:val="both"/>
        <w:shd w:val="clear" w:color="auto" w:fill="ffffff"/>
        <w:rPr>
          <w:color w:val="000000" w:themeColor="text1"/>
          <w:spacing w:val="-4"/>
          <w:sz w:val="22"/>
          <w:szCs w:val="22"/>
        </w:rPr>
      </w:pPr>
      <w:r>
        <w:rPr>
          <w:color w:val="000000" w:themeColor="text1"/>
          <w:spacing w:val="-4"/>
          <w:sz w:val="22"/>
          <w:szCs w:val="22"/>
        </w:rPr>
        <w:t xml:space="preserve">2.3. Оплата оказанных Услуг по настоящему Контракту производится Заказчиком за счет средств федерального бюджета в пределах выделенных лимитов бюджетных обязательств путем перечисления средств федерального бюджета </w:t>
      </w:r>
      <w:r>
        <w:rPr>
          <w:color w:val="000000" w:themeColor="text1"/>
          <w:spacing w:val="-4"/>
          <w:sz w:val="22"/>
          <w:szCs w:val="22"/>
        </w:rPr>
        <w:t xml:space="preserve">с лицевого счета Заказчика на расчетный счет Исполнителя, указанный в разделе 11 настоящего Контракта, на основании выставленного Исполнителем счета, в течение 10 (Десяти) рабочих дней после подписания обеими Сторонами Универсального передаточного документа (далее - УПД). </w:t>
      </w:r>
      <w:r>
        <w:rPr>
          <w:color w:val="000000" w:themeColor="text1"/>
          <w:sz w:val="22"/>
          <w:szCs w:val="22"/>
        </w:rPr>
        <w:t xml:space="preserve">Датой оплаты по Контракту считается дата списания суммы платежа с лицевого счета Заказчика, открытого в территориальном органе Федерального казначейства Минфина России</w:t>
      </w:r>
      <w:r>
        <w:rPr>
          <w:color w:val="000000" w:themeColor="text1"/>
          <w:spacing w:val="-4"/>
          <w:sz w:val="22"/>
          <w:szCs w:val="22"/>
        </w:rPr>
        <w:t xml:space="preserve">.</w:t>
      </w:r>
      <w:r>
        <w:rPr>
          <w:color w:val="000000" w:themeColor="text1"/>
          <w:spacing w:val="-4"/>
          <w:sz w:val="22"/>
          <w:szCs w:val="22"/>
        </w:rPr>
      </w:r>
      <w:r>
        <w:rPr>
          <w:color w:val="000000" w:themeColor="text1"/>
          <w:spacing w:val="-4"/>
          <w:sz w:val="22"/>
          <w:szCs w:val="22"/>
        </w:rPr>
      </w:r>
    </w:p>
    <w:p>
      <w:pPr>
        <w:ind w:firstLine="283"/>
        <w:jc w:val="both"/>
        <w:shd w:val="clear" w:color="auto" w:fill="ffffff"/>
        <w:rPr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2.4. </w:t>
      </w:r>
      <w:r>
        <w:rPr>
          <w:sz w:val="22"/>
          <w:szCs w:val="22"/>
        </w:rPr>
        <w:t xml:space="preserve">В соответствии с пунктом 2 части 13 статьи 34 Закона № 44-ФЗ сумма, подлежащая уплате Заказчиком юридическому лицу или физическому лицу, в том числе зарегистрированному в качестве индивидуального п</w:t>
      </w:r>
      <w:r>
        <w:rPr>
          <w:sz w:val="22"/>
          <w:szCs w:val="22"/>
        </w:rPr>
        <w:t xml:space="preserve">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</w:t>
      </w:r>
      <w:r>
        <w:rPr>
          <w:sz w:val="22"/>
          <w:szCs w:val="22"/>
        </w:rPr>
        <w:t xml:space="preserve">, сборы и иные обязательные платежи подлежат уплате в бюджеты бюджетной системы Российской Федерации 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ПРАВА И ОБЯЗАННОСТИ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3"/>
        <w:jc w:val="both"/>
        <w:tabs>
          <w:tab w:val="left" w:pos="0" w:leader="none"/>
          <w:tab w:val="clear" w:pos="42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Исполнитель обязуется: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Оказать услуги в соответствии с условиями настоящего Контракта и приложений к нему.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Соблюдать требования к качеству оказываемых услуг, определенных в настоящем Контракте и приложениях к нему.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Оказать услуги самостоятельно своими силами и техническими средствами, в сроки и на условиях, указанных в Контракте, а также обеспечить необходимые для этого материальные и трудовые ресурсы.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причинения при оказании услуг ущерба, утраты, порчи в результате оказания услуг, за </w:t>
      </w:r>
      <w:r>
        <w:rPr>
          <w:sz w:val="22"/>
          <w:szCs w:val="22"/>
          <w:highlight w:val="white"/>
        </w:rPr>
        <w:t xml:space="preserve">свой счет, своими силами и средствами возместить Заказчику убытки и устранить дефекты с тем, чтобы результат оказанных услуг </w:t>
      </w:r>
      <w:r>
        <w:rPr>
          <w:sz w:val="22"/>
          <w:szCs w:val="22"/>
        </w:rPr>
        <w:t xml:space="preserve">отвечал требованиям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clear" w:pos="1004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Оформить и доставить своими силами, в согласованное с Заказчиком место и время Акты экспертизы (Приложение № 3 к Контракту), </w:t>
      </w:r>
      <w:r>
        <w:rPr>
          <w:sz w:val="22"/>
          <w:szCs w:val="22"/>
        </w:rPr>
        <w:t xml:space="preserve">согласно перечня</w:t>
      </w:r>
      <w:r>
        <w:rPr>
          <w:sz w:val="22"/>
          <w:szCs w:val="22"/>
        </w:rPr>
        <w:t xml:space="preserve"> оборудования, подлежащего экспертизе (п. 6 Приложения №1 к Контракту).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Устранить за свой счет все дефекты в результате оказанных услуг, возникшие по его вине, выявленные Заказчиком. Повторная доставка Актов экспертизы в этом случае осуществляется силами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3"/>
        <w:jc w:val="both"/>
        <w:tabs>
          <w:tab w:val="left" w:pos="0" w:leader="none"/>
          <w:tab w:val="clear" w:pos="42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Заказчик обязуется: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Передать по Акту сдачи-приемки оборудования, подготовленного к списанию (Приложение № 2 к Контракту) Исполнителю оборудование для проведения экспертизы.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Предоставить полный перечень оборудования, подлежащего экспертизе, содержащий точную и достоверную </w:t>
      </w:r>
      <w:r>
        <w:rPr>
          <w:sz w:val="22"/>
          <w:szCs w:val="22"/>
          <w:highlight w:val="white"/>
        </w:rPr>
        <w:t xml:space="preserve">информацию об объектах экспертизы, необходимую для оформления Актов экспертизы.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142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обнаружения недостатков в оказанных услугах, за которые отвечает Исполнитель</w:t>
      </w:r>
      <w:r>
        <w:rPr>
          <w:sz w:val="22"/>
          <w:szCs w:val="22"/>
        </w:rPr>
        <w:t xml:space="preserve">, и которые делают результат оказанных услуг непригодным для использования, Заказчик вправе потребовать от Исполнителя безвозмездного устранения недостатков и назначить для этого разумный срок, в течение которого Исполнитель устраняет возникшие недостатки.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142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Своевременн</w:t>
      </w:r>
      <w:r>
        <w:rPr>
          <w:sz w:val="22"/>
          <w:szCs w:val="22"/>
          <w:highlight w:val="white"/>
        </w:rPr>
        <w:t xml:space="preserve">о оплатить результат оказанных услуг в с</w:t>
      </w:r>
      <w:r>
        <w:rPr>
          <w:sz w:val="22"/>
          <w:szCs w:val="22"/>
        </w:rPr>
        <w:t xml:space="preserve">оответствии с условиями раздела 2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ПОРЯДОК И СРОКИ ОКАЗАНИЯ УСЛУГ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ffffff" w:themeColor="background1" w:fill="ffffff" w:themeFill="background1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Исполнитель проводит экспертизу и оценку технического состояния оборудования в течение 6 (Шести) рабочих дней </w:t>
      </w:r>
      <w:r>
        <w:rPr>
          <w:sz w:val="22"/>
          <w:szCs w:val="22"/>
        </w:rPr>
        <w:t xml:space="preserve">с даты подписания</w:t>
      </w:r>
      <w:r>
        <w:rPr>
          <w:sz w:val="22"/>
          <w:szCs w:val="22"/>
        </w:rPr>
        <w:t xml:space="preserve">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ffffff" w:themeColor="background1" w:fill="ffffff" w:themeFill="background1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срок, не позднее </w:t>
      </w:r>
      <w:r>
        <w:rPr>
          <w:sz w:val="22"/>
          <w:szCs w:val="22"/>
          <w:highlight w:val="white"/>
        </w:rPr>
        <w:t xml:space="preserve">1 (Одного) рабочего дня </w:t>
      </w:r>
      <w:r>
        <w:rPr>
          <w:sz w:val="22"/>
          <w:szCs w:val="22"/>
        </w:rPr>
        <w:t xml:space="preserve">с момента з</w:t>
      </w:r>
      <w:r>
        <w:rPr>
          <w:sz w:val="22"/>
          <w:szCs w:val="22"/>
        </w:rPr>
        <w:t xml:space="preserve">авершения экспертизы технического состояния оборудования, Исполнитель сообщает Заказчику о готовности Актов экспертизы и отправляет их в электронном виде на электронную (официальную) почту представителя Заказчика для согласования перед отправкой на печать.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ffffff" w:themeColor="background1" w:fill="ffffff" w:themeFill="background1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Не позднее 1 (Одного) рабочего дня с момента направления Исполнителем Актов экспертизы на электронную почту, Заказчик проверяет и согласовывает указанные Акты.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98"/>
        <w:numPr>
          <w:ilvl w:val="1"/>
          <w:numId w:val="13"/>
        </w:numPr>
        <w:ind w:left="0" w:firstLine="290"/>
        <w:jc w:val="both"/>
        <w:shd w:val="clear" w:color="ffffff" w:themeColor="background1" w:fill="ffffff" w:themeFill="background1"/>
        <w:tabs>
          <w:tab w:val="left" w:pos="0" w:leader="none"/>
          <w:tab w:val="clear" w:pos="420" w:leader="none"/>
          <w:tab w:val="num" w:pos="70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срок, не позднее </w:t>
      </w:r>
      <w:r>
        <w:rPr>
          <w:sz w:val="22"/>
          <w:szCs w:val="22"/>
          <w:highlight w:val="white"/>
        </w:rPr>
        <w:t xml:space="preserve">1 (Одного) рабочего дня </w:t>
      </w:r>
      <w:r>
        <w:rPr>
          <w:sz w:val="22"/>
          <w:szCs w:val="22"/>
        </w:rPr>
        <w:t xml:space="preserve">с момента согласования Актов экспертизы, Исполнитель своими силами передает Акты экспертизы и УПД в печатном виде Заказчику. Стороны согласуют место и время передачи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1"/>
          <w:numId w:val="13"/>
        </w:numPr>
        <w:ind w:left="0" w:firstLine="290"/>
        <w:jc w:val="both"/>
        <w:shd w:val="clear" w:color="ffffff" w:themeColor="background1" w:fill="ffffff" w:themeFill="background1"/>
        <w:tabs>
          <w:tab w:val="left" w:pos="0" w:leader="none"/>
          <w:tab w:val="clear" w:pos="420" w:leader="none"/>
          <w:tab w:val="num" w:pos="709" w:leader="none"/>
        </w:tabs>
        <w:rPr>
          <w:sz w:val="22"/>
          <w:szCs w:val="22"/>
          <w:highlight w:val="red"/>
        </w:rPr>
      </w:pPr>
      <w:r>
        <w:rPr>
          <w:sz w:val="22"/>
          <w:szCs w:val="22"/>
          <w:highlight w:val="white"/>
        </w:rPr>
        <w:t xml:space="preserve">Не позднее 1 (Одного) рабочего дня </w:t>
      </w:r>
      <w:r>
        <w:rPr>
          <w:sz w:val="22"/>
          <w:szCs w:val="22"/>
          <w:highlight w:val="white"/>
        </w:rPr>
        <w:t xml:space="preserve">с даты предоставления</w:t>
      </w:r>
      <w:r>
        <w:rPr>
          <w:sz w:val="22"/>
          <w:szCs w:val="22"/>
          <w:highlight w:val="white"/>
        </w:rPr>
        <w:t xml:space="preserve"> Актов экспертизы Заказчик осуществляет их проверку. При отсутствии за</w:t>
      </w:r>
      <w:r>
        <w:rPr>
          <w:sz w:val="22"/>
          <w:szCs w:val="22"/>
        </w:rPr>
        <w:t xml:space="preserve">мечаний, подписывает УПД. В случае обнаружения недостатков, за которые отвечает </w:t>
      </w:r>
      <w:r>
        <w:rPr>
          <w:sz w:val="22"/>
          <w:szCs w:val="22"/>
        </w:rPr>
        <w:t xml:space="preserve">Исполнитель</w:t>
      </w:r>
      <w:r>
        <w:rPr>
          <w:sz w:val="22"/>
          <w:szCs w:val="22"/>
        </w:rPr>
        <w:t xml:space="preserve"> Заказчик заявляет об этом Исполнителю не позднее </w:t>
      </w:r>
      <w:r>
        <w:rPr>
          <w:sz w:val="22"/>
          <w:szCs w:val="22"/>
          <w:highlight w:val="white"/>
        </w:rPr>
        <w:t xml:space="preserve">1 (Одного) рабочего дня</w:t>
      </w:r>
      <w:r>
        <w:rPr>
          <w:sz w:val="22"/>
          <w:szCs w:val="22"/>
        </w:rPr>
        <w:t xml:space="preserve">, с момента получения Актов экспертизы.</w:t>
      </w:r>
      <w:r>
        <w:rPr>
          <w:sz w:val="22"/>
          <w:szCs w:val="22"/>
          <w:highlight w:val="red"/>
        </w:rPr>
      </w:r>
      <w:r>
        <w:rPr>
          <w:sz w:val="22"/>
          <w:szCs w:val="22"/>
          <w:highlight w:val="red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ffffff" w:themeColor="background1" w:fill="ffffff" w:themeFill="background1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Право со</w:t>
      </w:r>
      <w:r>
        <w:rPr>
          <w:sz w:val="22"/>
          <w:szCs w:val="22"/>
          <w:highlight w:val="white"/>
        </w:rPr>
        <w:t xml:space="preserve">бственности на результат оказанных услуг переходит к Заказчику с момента подписания УПД.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КОНФИДЕНЦИАЛЬНОСТЬ ИНФОРМАЦИИ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Стороны обязуются не разглашать конфиденциальную информацию, относящуюся к предмету настоящего Контракта и ходу его исполнения третьим лицам, без предварительного письменного согласия раскрывающей Стороны.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ДЕЙСТВИЯ, ПОРЯДОК ДОСРОЧНОГО ПРЕКРАЩЕНИЯ КОНТРАКТА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3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6.1. Настоящий Контра</w:t>
      </w:r>
      <w:r>
        <w:rPr>
          <w:sz w:val="22"/>
          <w:szCs w:val="22"/>
        </w:rPr>
        <w:t xml:space="preserve">кт вст</w:t>
      </w:r>
      <w:r>
        <w:rPr>
          <w:sz w:val="22"/>
          <w:szCs w:val="22"/>
        </w:rPr>
        <w:t xml:space="preserve">упает в силу с момента его подписания и </w:t>
      </w:r>
      <w:r>
        <w:rPr>
          <w:sz w:val="22"/>
          <w:szCs w:val="22"/>
          <w:highlight w:val="none"/>
        </w:rPr>
        <w:t xml:space="preserve">действует до 14 августа</w:t>
      </w:r>
      <w:r>
        <w:rPr>
          <w:sz w:val="22"/>
          <w:szCs w:val="22"/>
          <w:highlight w:val="none"/>
        </w:rPr>
        <w:t xml:space="preserve"> 2026 </w:t>
      </w:r>
      <w:r>
        <w:rPr>
          <w:sz w:val="22"/>
          <w:szCs w:val="22"/>
        </w:rPr>
        <w:t xml:space="preserve">года.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3"/>
        <w:jc w:val="both"/>
        <w:shd w:val="clear" w:color="auto" w:fill="ffffff"/>
        <w:rPr>
          <w:sz w:val="25"/>
          <w:szCs w:val="25"/>
        </w:rPr>
      </w:pPr>
      <w:r/>
      <w:bookmarkStart w:id="0" w:name="_GoBack"/>
      <w:r/>
      <w:bookmarkEnd w:id="0"/>
      <w:r>
        <w:rPr>
          <w:sz w:val="22"/>
          <w:szCs w:val="22"/>
        </w:rPr>
        <w:t xml:space="preserve">6.2. 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со статьей 95 Федерального закона № 44-ФЗ и гражданским законодательством.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right="-2" w:firstLine="283"/>
        <w:jc w:val="both"/>
        <w:shd w:val="clear" w:color="auto" w:fill="ffffff"/>
        <w:rPr>
          <w:sz w:val="25"/>
          <w:szCs w:val="25"/>
        </w:rPr>
      </w:pPr>
      <w:r>
        <w:rPr>
          <w:sz w:val="22"/>
          <w:szCs w:val="22"/>
        </w:rPr>
        <w:t xml:space="preserve">6.3. Окончание срока действия Контракта не освобождает Стороны от ответственности в случае его нарушения.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ОТВЕТСТВЕННОСТЬ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Исполнитель вправе потребовать уплату неустойки. Неустойка начисляется за каждый день просрочки исполнения обязательства, начиная со дня, следую</w:t>
      </w:r>
      <w:r>
        <w:rPr>
          <w:sz w:val="22"/>
          <w:szCs w:val="22"/>
        </w:rPr>
        <w:t xml:space="preserve">щего после дня ист</w:t>
      </w:r>
      <w:r>
        <w:rPr>
          <w:sz w:val="22"/>
          <w:szCs w:val="22"/>
        </w:rPr>
        <w:t xml:space="preserve">ечения установленного срока исполнения обязательства по настоящему Контракту. Размер такой неустойки устанавливается в размере одной трехсотой, действующей на день уплаты неустойки, ключевой ставки Центрального банка Российской Федерации от цены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просрочки исполнения Исполнителем обязательств, предусмотренных настоящим Контрактом, Заказчик вправе потребовать уплату неустойки. Неустойка начисляется за каждый день просрочки исполнения обязательства, начиная со дня, следую</w:t>
      </w:r>
      <w:r>
        <w:rPr>
          <w:sz w:val="22"/>
          <w:szCs w:val="22"/>
        </w:rPr>
        <w:t xml:space="preserve">щего после дня ист</w:t>
      </w:r>
      <w:r>
        <w:rPr>
          <w:sz w:val="22"/>
          <w:szCs w:val="22"/>
        </w:rPr>
        <w:t xml:space="preserve">ечения установленного срока исполнения обязательства по настоящему Контракту. Размер такой неустойки устанавливается в размере одной трехсотой, действующей на день уплаты неустойки, ключевой ставки Центрального банка Российской Федерации от цены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Исполнитель несет ответственность по настоящему Контракту за действия, привлекаемых им к его исполнению иных лиц, как </w:t>
      </w: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 свои собственные.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ОБСТОЯТЕЛЬСТВА НЕПРЕОДОЛИМОЙ СИЛЫ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Стороны освобождаются от ответственности за полное или ч</w:t>
      </w:r>
      <w:r>
        <w:rPr>
          <w:sz w:val="22"/>
          <w:szCs w:val="22"/>
        </w:rPr>
        <w:t xml:space="preserve">астичное неисполнение своих обязательств по настоящему Контракту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подтвержден</w:t>
      </w:r>
      <w:r>
        <w:rPr>
          <w:sz w:val="22"/>
          <w:szCs w:val="22"/>
        </w:rPr>
        <w:t xml:space="preserve">ных соответствующими заключениями компетентных органов,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</w:t>
      </w:r>
      <w:r>
        <w:rPr>
          <w:sz w:val="22"/>
          <w:szCs w:val="22"/>
        </w:rPr>
        <w:t xml:space="preserve"> на исполнение Сторонами своих обязательств, а также те, которые Стороны были не в состоянии предвидеть и предотвратить.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наступлении таких обстоятельств,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</w:t>
      </w:r>
      <w:r>
        <w:rPr>
          <w:sz w:val="22"/>
          <w:szCs w:val="22"/>
        </w:rPr>
        <w:t xml:space="preserve">, обязана в течение 10 (десяти) календарных дней с даты возникновения таких обстоятельств уведомить в письменной форме другую Сторону об их возникновении, об их виде и о возможной продолжительности их действия с приложением заключения компетентных органов.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Если обстоятельства, указанные в п. 8.1 настоящего Контракта, будут длиться более двух календарных месяцев </w:t>
      </w:r>
      <w:r>
        <w:rPr>
          <w:sz w:val="22"/>
          <w:szCs w:val="22"/>
        </w:rPr>
        <w:t xml:space="preserve">с даты</w:t>
      </w:r>
      <w:r>
        <w:rPr>
          <w:sz w:val="22"/>
          <w:szCs w:val="22"/>
        </w:rPr>
        <w:t xml:space="preserve">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ПОРЯДОК УРЕГУЛИРОВАНИЯ СПОРОВ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 с оформлением совместного протокола урегулирования споров.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</w:t>
      </w:r>
      <w:r>
        <w:rPr>
          <w:sz w:val="22"/>
          <w:szCs w:val="22"/>
        </w:rPr>
        <w:t xml:space="preserve">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с момента её получения.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если согласие не будет достигнуто, спор передается на рассмотрение Арбитражного суда г. Москвы. Сторона, которая намерена передать дело в Арбитражный суд, должна уведомить другую Сторону об этом в письменной форме.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отношениям Сторон по настоящему Контракту и в связи с ним применяется законодательство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147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ПРОЧИЕ УСЛОВИЯ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В случае если какой-либо</w:t>
      </w:r>
      <w:r>
        <w:rPr>
          <w:sz w:val="22"/>
          <w:szCs w:val="22"/>
        </w:rPr>
        <w:t xml:space="preserve"> пункт данного Контракта окажется не подлежащим буквальному исполнению, он толкуется в соответствии с законодательством Российской Федерации с учетом первоначальных интересов Сторон, при этом оставшаяся часть Контракта продолжает действовать в полной мере.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Все изменения и дополнения к настоящему Контракту оформляются письменно, в виде дополнительных соглашений, подписанных полномочными представителями Сторон, и считаются неотъемлемой частью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Исполнитель оказывает услуги и исполняет прочие обязанности по настоящему Контракту собственными силами. При необходимости Исполнитель имеет право привлекать третьих лиц для оказания отдельных услуг, Исполнитель </w:t>
      </w:r>
      <w:r>
        <w:rPr>
          <w:sz w:val="22"/>
          <w:szCs w:val="22"/>
        </w:rPr>
        <w:t xml:space="preserve">несет полную ответственность перед Заказчиком за действия третьих лиц, как по исполнению настоящего Контракта, так и за сохранность третьими лицами конфиденциальной информации Заказчика, которая стала им известна в связи с исполнением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Оплату оказанных услуг третьих лиц, привлеченных Исполнителем для оказания Заказчику услуг по Контракту, будет производить непосредственно Исполнитель.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Любое уведомление, которое одна Сторона направляет другой Стороне в соответствии с</w:t>
      </w:r>
      <w:r>
        <w:rPr>
          <w:sz w:val="22"/>
          <w:szCs w:val="22"/>
        </w:rPr>
        <w:t xml:space="preserve"> Контрактом, направляется в письменной форме почтой или факсимильной связью с последующим предоставлением оригинала. Уведомление вступает в силу в день получения его лицом, которому оно адресовано, если иное не установлено законом или настоящим Контрактом.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Документы-оригиналы, переданные на подпись другой Стороне, должны быть возвращены в течение 30 (тридцати) календарных дней с момента получения.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Во всем, что не предусмотрено настоящим Контрактом, стороны руководствуются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Контракт остается в силе в случае изменения реквизитов сторон, изменения их учредительных документов, включая, </w:t>
      </w:r>
      <w:r>
        <w:rPr>
          <w:sz w:val="22"/>
          <w:szCs w:val="22"/>
        </w:rPr>
        <w:t xml:space="preserve">но</w:t>
      </w:r>
      <w:r>
        <w:rPr>
          <w:sz w:val="22"/>
          <w:szCs w:val="22"/>
        </w:rPr>
        <w:t xml:space="preserve"> не ограничиваясь, изменением собственника, организационно-правовой формы и др. В случае изменения реквизитов Стороны обязаны в 10-дневный срок уведомить об этом друг друга (путем заключения дополнительного соглашения).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Любые изменения и дополнения к настоящему Контракту, не противоречащие законодательству Российской Федерации, оформляются дополнительными Соглашениями Сторон в письменной форме.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Настоящий Контракт составлен в 2 (двух) экземплярах, имеющих одинаковую юридическую силу.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настоящему Контракту прилагаются и являются его неотъемлемой частью: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ind w:left="284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284" w:right="-2"/>
        <w:jc w:val="both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№1 – Техническое задание;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84" w:right="-2"/>
        <w:jc w:val="both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№2 – </w:t>
      </w:r>
      <w:r>
        <w:rPr>
          <w:sz w:val="22"/>
          <w:szCs w:val="22"/>
          <w:highlight w:val="white"/>
        </w:rPr>
        <w:t xml:space="preserve">Акт сдачи-приемки оборудования, подготовленного к списанию</w:t>
      </w:r>
      <w:r>
        <w:rPr>
          <w:sz w:val="22"/>
          <w:szCs w:val="22"/>
        </w:rPr>
        <w:t xml:space="preserve"> (форма);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84" w:right="-2"/>
        <w:jc w:val="both"/>
        <w:tabs>
          <w:tab w:val="left" w:pos="0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  <w:highlight w:val="white"/>
        </w:rPr>
        <w:t xml:space="preserve">3 – </w:t>
      </w:r>
      <w:r>
        <w:rPr>
          <w:sz w:val="22"/>
          <w:szCs w:val="22"/>
        </w:rPr>
        <w:t xml:space="preserve">Акт экспертизы технического состояния (форма);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numPr>
          <w:ilvl w:val="0"/>
          <w:numId w:val="13"/>
        </w:numPr>
        <w:ind w:right="-2" w:firstLine="147"/>
        <w:jc w:val="center"/>
        <w:spacing w:before="240" w:after="240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ЮРИДИЧЕСКИЕ АДРЕСА И ПЛАТЕЖНЫЕ РЕКВИЗИТЫ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5749"/>
        <w:gridCol w:w="4860"/>
      </w:tblGrid>
      <w:tr>
        <w:tblPrEx/>
        <w:trPr>
          <w:jc w:val="center"/>
          <w:trHeight w:val="493"/>
        </w:trPr>
        <w:tc>
          <w:tcPr>
            <w:tcW w:w="5749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ind w:right="-1"/>
              <w:jc w:val="both"/>
              <w:tabs>
                <w:tab w:val="left" w:pos="333" w:leader="none"/>
                <w:tab w:val="left" w:pos="1134" w:leader="none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2"/>
                <w:szCs w:val="22"/>
              </w:rPr>
              <w:t xml:space="preserve">ФКУ «Дирекция госзаказчика»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DOCVARIABLE ЗАКАЗЧИК_ЮРАДРЕС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109028, г. Москва,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вн.тер.г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муниципальный округ Басманный, пер.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Хохловский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д. 10, стр.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адрес: 125993, Россия, г. Москва, ул. Петровка, д.3/6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DOCVARIABLE ЗАКАЗЧИК_ПОЧТАДРЕС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DOCVARIABLE ЗАКАЗЧИК_ИНН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7702017400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КПП: 770901001</w: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УФК по г. Москве (ФКУ «Дирекция госзаказчика» л/с 03731327920)</w:t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Номер казначейского счета 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 (ОКЦ № 1 БАНКА РОССИИ ПО ЦФО//УФК ПО Г. МОСКВЕ г. Москва) БИК 004525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988</w:t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ЕКС 40102810545370000003</w:t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ОКПО 40019647, ОКТМО 45375000</w:t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998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Тел. (495) 604-40-09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998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Адрес электронной почты: </w:t>
            </w:r>
            <w:hyperlink r:id="rId17" w:tooltip="mailto:cs@dgz.ru" w:history="1">
              <w:r>
                <w:rPr>
                  <w:rFonts w:ascii="Times New Roman" w:hAnsi="Times New Roman" w:cs="Times New Roman"/>
                  <w:sz w:val="23"/>
                  <w:szCs w:val="23"/>
                  <w:lang w:val="en-US"/>
                </w:rPr>
                <w:t xml:space="preserve">cs</w:t>
              </w:r>
              <w:r>
                <w:rPr>
                  <w:rFonts w:ascii="Times New Roman" w:hAnsi="Times New Roman" w:cs="Times New Roman"/>
                  <w:sz w:val="23"/>
                  <w:szCs w:val="23"/>
                </w:rPr>
                <w:t xml:space="preserve">@dgz.ru</w:t>
              </w:r>
            </w:hyperlink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r/>
            <w:r/>
          </w:p>
          <w:p>
            <w:r/>
            <w:r/>
          </w:p>
          <w:p>
            <w:r>
              <w:t xml:space="preserve">Контактное лицо:</w:t>
            </w:r>
            <w:r/>
          </w:p>
          <w:p>
            <w:r>
              <w:t xml:space="preserve">Тютюгин Владимир Павлович</w:t>
            </w:r>
            <w:r/>
          </w:p>
          <w:p>
            <w:r>
              <w:t xml:space="preserve">Адрес электронной почты: </w:t>
            </w:r>
            <w:r>
              <w:rPr>
                <w:lang w:val="en-US"/>
              </w:rPr>
              <w:t xml:space="preserve">admin</w:t>
            </w:r>
            <w:r>
              <w:t xml:space="preserve">@</w:t>
            </w:r>
            <w:r>
              <w:rPr>
                <w:lang w:val="en-US"/>
              </w:rPr>
              <w:t xml:space="preserve">dgz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ИСПОЛНИТЕЛЬ: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493"/>
        </w:trPr>
        <w:tc>
          <w:tcPr>
            <w:tcW w:w="5749" w:type="dxa"/>
            <w:textDirection w:val="lrTb"/>
            <w:noWrap w:val="false"/>
          </w:tcPr>
          <w:p>
            <w:pPr>
              <w:pStyle w:val="997"/>
              <w:jc w:val="both"/>
              <w:widowControl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_________________/_____________/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shd w:val="clear" w:color="auto" w:fill="ffff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___________________/____________/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  <w:t xml:space="preserve">Приложение №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 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________ 2026 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Техническое задание</w:t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на оказание услуг по экспертизе и оценке технического состояния оборудования, подготовленного к списанию</w:t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jc w:val="center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425"/>
        <w:jc w:val="both"/>
        <w:rPr>
          <w:rFonts w:eastAsia="Calibri"/>
          <w:sz w:val="22"/>
          <w:szCs w:val="22"/>
          <w:highlight w:val="white"/>
        </w:rPr>
      </w:pPr>
      <w:r>
        <w:rPr>
          <w:rFonts w:eastAsia="Calibri"/>
          <w:b/>
          <w:sz w:val="22"/>
          <w:szCs w:val="22"/>
          <w:highlight w:val="white"/>
        </w:rPr>
        <w:t xml:space="preserve">1. Наименование объекта закупки:</w:t>
      </w:r>
      <w:r>
        <w:rPr>
          <w:b/>
          <w:sz w:val="22"/>
          <w:szCs w:val="22"/>
          <w:highlight w:val="white"/>
        </w:rPr>
        <w:t xml:space="preserve"> </w:t>
      </w:r>
      <w:r>
        <w:rPr>
          <w:rFonts w:eastAsia="Calibri"/>
          <w:sz w:val="22"/>
          <w:szCs w:val="22"/>
          <w:highlight w:val="white"/>
        </w:rPr>
        <w:t xml:space="preserve">оказание услуг по экспертизе и оценке технического состояния оборудования, подготовленного к списанию.</w:t>
      </w:r>
      <w:r>
        <w:rPr>
          <w:rFonts w:eastAsia="Calibri"/>
          <w:sz w:val="22"/>
          <w:szCs w:val="22"/>
          <w:highlight w:val="white"/>
        </w:rPr>
      </w:r>
      <w:r>
        <w:rPr>
          <w:rFonts w:eastAsia="Calibri"/>
          <w:sz w:val="22"/>
          <w:szCs w:val="22"/>
          <w:highlight w:val="white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Цели и задачи:</w:t>
      </w:r>
      <w:r>
        <w:rPr>
          <w:bCs/>
          <w:sz w:val="22"/>
          <w:szCs w:val="22"/>
        </w:rPr>
        <w:t xml:space="preserve"> необходимость в независимой экспертизе для возможности дальнейшей эксплуатации или списания объекта оценки и составлению акта о техническом состоянии оборудования.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Характеристики объекта закупки: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Техническая экспертиза включает в себя диагностику оборудования с выдачей</w:t>
      </w:r>
      <w:r>
        <w:rPr>
          <w:sz w:val="22"/>
          <w:szCs w:val="22"/>
          <w:highlight w:val="white"/>
        </w:rPr>
        <w:t xml:space="preserve"> Акта о техническом состоянии оборудования и</w:t>
      </w:r>
      <w:r>
        <w:rPr>
          <w:sz w:val="22"/>
          <w:szCs w:val="22"/>
        </w:rPr>
        <w:t xml:space="preserve"> заключения о пригодности его к дальнейшему использованию. </w:t>
      </w:r>
      <w:r>
        <w:rPr>
          <w:bCs/>
          <w:sz w:val="22"/>
          <w:szCs w:val="22"/>
        </w:rPr>
        <w:t xml:space="preserve">Услуги должны выполняться в соответствии с действующими нормами и федеральными стандартами оценки.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4. Требования к оформлению результата оказания услуг: </w:t>
      </w:r>
      <w:r>
        <w:rPr>
          <w:bCs/>
          <w:sz w:val="22"/>
          <w:szCs w:val="22"/>
        </w:rPr>
        <w:t xml:space="preserve">по окончанию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проведения экспертизы оборудования, исполнитель обязан выдать заключение, акт и дефектную ведомость о техническом состоянии оборудования, подлежащих списанию на каждую единицу оборудования, указанной в перечне оборудо</w:t>
      </w:r>
      <w:r>
        <w:rPr>
          <w:bCs/>
          <w:sz w:val="22"/>
          <w:szCs w:val="22"/>
        </w:rPr>
        <w:t xml:space="preserve">вания (указанного в пункте 6 технического задания). Заключение должно соответствовать требованиям законодательства Российской Федерации, с приложением заверенных копий документов, подтверждающих возможность проведения данного вида услуг и должно содержать: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98"/>
        <w:numPr>
          <w:ilvl w:val="0"/>
          <w:numId w:val="22"/>
        </w:numPr>
        <w:ind w:left="0"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Сведения об организации, проводившей экспертизу;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98"/>
        <w:numPr>
          <w:ilvl w:val="0"/>
          <w:numId w:val="22"/>
        </w:numPr>
        <w:ind w:left="0"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Основные сведения об объекте экспертизы: (наименование: тип, марка, инвентарный номер, год выпуска, дата ввода в эксплуатацию, балансовая стоимость);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98"/>
        <w:numPr>
          <w:ilvl w:val="0"/>
          <w:numId w:val="22"/>
        </w:numPr>
        <w:ind w:left="0"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Заявленная неисправность (описание неисправностей, явившихся причиной неработоспособности);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98"/>
        <w:numPr>
          <w:ilvl w:val="0"/>
          <w:numId w:val="22"/>
        </w:numPr>
        <w:ind w:left="0"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Заключение и рекомендации о целесообразности его ремонта или дальнейшего списания;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98"/>
        <w:numPr>
          <w:ilvl w:val="0"/>
          <w:numId w:val="22"/>
        </w:numPr>
        <w:ind w:left="0"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ФИО, должности, подписи сотрудников, составивших Заключение, заверенные печатью исполнителя.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5. Требования к безопасности оказания услуг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Вся полнота ответственности при оказании услуг за соблюдением норм и правил по технике безопасности, санитарных норм возлагается на исполнителя.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должен обеспечить соблюдение установленных законодательством Российской Федерации требований по охране окружающей среды.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firstLine="425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6. Перечень оборудования, подлежащего экспертизе: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firstLine="425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tbl>
      <w:tblPr>
        <w:tblStyle w:val="1001"/>
        <w:tblW w:w="0" w:type="auto"/>
        <w:tblInd w:w="1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0"/>
        <w:gridCol w:w="1276"/>
        <w:gridCol w:w="2268"/>
        <w:gridCol w:w="1134"/>
        <w:gridCol w:w="1276"/>
        <w:gridCol w:w="709"/>
        <w:gridCol w:w="1416"/>
      </w:tblGrid>
      <w:tr>
        <w:tblPrEx/>
        <w:trPr>
          <w:trHeight w:val="4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2"/>
                <w:szCs w:val="22"/>
                <w:highlight w:val="none"/>
              </w:rPr>
              <w:t xml:space="preserve">№ п/п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2"/>
                <w:szCs w:val="22"/>
                <w:highlight w:val="none"/>
              </w:rPr>
              <w:t xml:space="preserve">Основное средство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2"/>
                <w:szCs w:val="22"/>
                <w:highlight w:val="none"/>
              </w:rPr>
              <w:t xml:space="preserve">Тип, марка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2"/>
                <w:szCs w:val="22"/>
                <w:highlight w:val="none"/>
              </w:rPr>
              <w:t xml:space="preserve">Инвентарный номер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2"/>
                <w:szCs w:val="22"/>
                <w:highlight w:val="none"/>
              </w:rPr>
              <w:t xml:space="preserve">Год выпуска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2"/>
                <w:szCs w:val="22"/>
                <w:highlight w:val="none"/>
              </w:rPr>
              <w:t xml:space="preserve">Дата ввода в эксплуатацию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2"/>
                <w:szCs w:val="22"/>
                <w:highlight w:val="none"/>
              </w:rPr>
              <w:t xml:space="preserve">Кол-во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2"/>
                <w:szCs w:val="22"/>
                <w:highlight w:val="none"/>
              </w:rPr>
              <w:t xml:space="preserve">Балансовая стоимость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Кулер для воды HotFrost V118Е белый с электронным охлаждением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HotFrost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201611110136219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2016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19.12.2016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6 900,00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Кулер для воды Aqua Work со шкафчиком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Aqua Work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201609110136158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2016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07.10.2016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5 150,00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Термопот Polaris PWP 3218 + Чайник Polaris PWK 1745CA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Polaris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ЗБ000342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2018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01.11.2018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3 996,46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Кулер для воды HotFrost V118F, белый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HotFrost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ЗБ000340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2018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01.11.2018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5 100,00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Чайник Bosch TWK 6303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Bosch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Б2013-20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2013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shd w:val="clear" w:color="ffffff" w:fill="ffffff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13.12.2013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tLeast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2"/>
                <w:szCs w:val="22"/>
                <w:highlight w:val="none"/>
              </w:rPr>
              <w:t xml:space="preserve">2 170,00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</w:tbl>
    <w:p>
      <w:pPr>
        <w:ind w:firstLine="42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shd w:val="clear" w:color="auto" w:fill="ffffff"/>
        <w:tabs>
          <w:tab w:val="left" w:pos="10008" w:leader="underscore"/>
        </w:tabs>
        <w:rPr>
          <w:b/>
          <w:bCs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 xml:space="preserve">ПОДПИСИ СТОРОН: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jc w:val="center"/>
        <w:shd w:val="clear" w:color="auto" w:fill="ffffff"/>
        <w:tabs>
          <w:tab w:val="left" w:pos="10008" w:leader="underscore"/>
        </w:tabs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jc w:val="both"/>
        <w:shd w:val="clear" w:color="auto" w:fill="ffffff"/>
        <w:rPr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 xml:space="preserve">    ЗАКАЗЧИК:</w:t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  <w:t xml:space="preserve">                   </w:t>
      </w:r>
      <w:r>
        <w:rPr>
          <w:b/>
          <w:sz w:val="22"/>
          <w:szCs w:val="22"/>
        </w:rPr>
        <w:t xml:space="preserve">             ИСПОЛНИТЕЛЬ: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9622" w:type="dxa"/>
        <w:jc w:val="center"/>
        <w:tblLook w:val="04A0" w:firstRow="1" w:lastRow="0" w:firstColumn="1" w:lastColumn="0" w:noHBand="0" w:noVBand="1"/>
      </w:tblPr>
      <w:tblGrid>
        <w:gridCol w:w="4661"/>
        <w:gridCol w:w="4961"/>
      </w:tblGrid>
      <w:tr>
        <w:tblPrEx/>
        <w:trPr>
          <w:jc w:val="center"/>
          <w:trHeight w:val="11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1" w:type="dxa"/>
            <w:textDirection w:val="lrTb"/>
            <w:noWrap w:val="false"/>
          </w:tcPr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_________________/Машаев Л.С./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_________________/__________/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ind w:right="-2" w:firstLine="284"/>
        <w:jc w:val="right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 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________ 2026 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b/>
          <w:bCs/>
          <w:highlight w:val="yellow"/>
        </w:rPr>
      </w:pPr>
      <w:r>
        <w:rPr>
          <w:b/>
          <w:bCs/>
          <w:highlight w:val="yellow"/>
        </w:rPr>
      </w:r>
      <w:r>
        <w:rPr>
          <w:b/>
          <w:bCs/>
          <w:highlight w:val="yellow"/>
        </w:rPr>
      </w:r>
      <w:r>
        <w:rPr>
          <w:b/>
          <w:bCs/>
          <w:highlight w:val="yellow"/>
        </w:rPr>
      </w:r>
    </w:p>
    <w:p>
      <w:pPr>
        <w:jc w:val="center"/>
        <w:rPr>
          <w:b/>
          <w:bCs/>
        </w:rPr>
      </w:pPr>
      <w:r>
        <w:rPr>
          <w:b/>
          <w:bCs/>
          <w:sz w:val="22"/>
          <w:szCs w:val="22"/>
        </w:rPr>
        <w:t xml:space="preserve">Акта сдачи-приемки оборудования, подготовленного к списанию </w:t>
      </w:r>
      <w:r>
        <w:rPr>
          <w:b/>
          <w:bCs/>
        </w:rPr>
      </w:r>
      <w:r>
        <w:rPr>
          <w:b/>
          <w:bCs/>
        </w:rPr>
      </w:r>
    </w:p>
    <w:p>
      <w:pPr>
        <w:ind w:right="-1" w:firstLine="284"/>
        <w:jc w:val="center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(ФОРМА)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</w:pPr>
      <w:r>
        <w:rPr>
          <w:sz w:val="22"/>
          <w:szCs w:val="22"/>
        </w:rPr>
        <w:t xml:space="preserve">__________________________________________________________________________________</w:t>
      </w:r>
      <w:r/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shd w:val="clear" w:color="auto" w:fill="ffffff"/>
        <w:tabs>
          <w:tab w:val="left" w:pos="6480" w:leader="none"/>
        </w:tabs>
        <w:rPr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Акт </w:t>
      </w:r>
      <w:r>
        <w:rPr>
          <w:b/>
          <w:bCs/>
          <w:sz w:val="22"/>
          <w:szCs w:val="22"/>
        </w:rPr>
        <w:t xml:space="preserve">сдачи-приемки</w:t>
      </w:r>
      <w:r>
        <w:rPr>
          <w:bCs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№ ____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jc w:val="center"/>
        <w:shd w:val="clear" w:color="auto" w:fill="ffffff"/>
        <w:rPr>
          <w:b/>
          <w:bCs/>
          <w:color w:val="000000"/>
        </w:rPr>
      </w:pPr>
      <w:r>
        <w:rPr>
          <w:b/>
          <w:bCs/>
          <w:sz w:val="22"/>
          <w:szCs w:val="22"/>
        </w:rPr>
        <w:t xml:space="preserve"> оборудования, подготовленного к списанию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jc w:val="both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jc w:val="both"/>
        <w:shd w:val="clear" w:color="auto" w:fill="ffffff"/>
        <w:rPr>
          <w:b/>
          <w:bCs/>
        </w:rPr>
      </w:pPr>
      <w:r>
        <w:rPr>
          <w:b/>
          <w:bCs/>
          <w:sz w:val="22"/>
          <w:szCs w:val="22"/>
        </w:rPr>
        <w:t xml:space="preserve">г. Москва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  <w:t xml:space="preserve">«__» _________ 2026 г.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hd w:val="clear" w:color="auto" w:fill="ffff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hd w:val="clear" w:color="auto" w:fill="ffffff"/>
        <w:rPr>
          <w:rFonts w:eastAsia="Courier New"/>
          <w:bCs/>
        </w:rPr>
      </w:pPr>
      <w:r>
        <w:rPr>
          <w:b/>
          <w:sz w:val="22"/>
          <w:szCs w:val="22"/>
        </w:rPr>
        <w:t xml:space="preserve">Федеральное казенное учреждение «Дирекция государственного заказчика программ развития морского транспорта» </w:t>
      </w:r>
      <w:r>
        <w:rPr>
          <w:b/>
          <w:bCs/>
          <w:sz w:val="22"/>
          <w:szCs w:val="22"/>
        </w:rPr>
        <w:t xml:space="preserve">(ФКУ «Дирекция госзаказчика»)</w:t>
      </w:r>
      <w:r>
        <w:rPr>
          <w:sz w:val="22"/>
          <w:szCs w:val="22"/>
        </w:rPr>
        <w:t xml:space="preserve">, </w:t>
      </w:r>
      <w:r>
        <w:rPr>
          <w:color w:val="000000"/>
          <w:spacing w:val="5"/>
          <w:sz w:val="22"/>
          <w:szCs w:val="22"/>
        </w:rPr>
        <w:t xml:space="preserve">далее – </w:t>
      </w:r>
      <w:r>
        <w:rPr>
          <w:b/>
          <w:color w:val="000000"/>
          <w:spacing w:val="5"/>
          <w:sz w:val="22"/>
          <w:szCs w:val="22"/>
        </w:rPr>
        <w:t xml:space="preserve">«Заказчик», </w:t>
      </w:r>
      <w:r>
        <w:rPr>
          <w:sz w:val="22"/>
          <w:szCs w:val="22"/>
        </w:rPr>
        <w:t xml:space="preserve">в лице____________________________________, </w:t>
      </w:r>
      <w:r>
        <w:rPr>
          <w:color w:val="000000"/>
          <w:sz w:val="22"/>
          <w:szCs w:val="22"/>
        </w:rPr>
        <w:t xml:space="preserve">действующего на основании _____________и </w:t>
      </w:r>
      <w:r>
        <w:rPr>
          <w:b/>
          <w:color w:val="000000"/>
          <w:sz w:val="22"/>
          <w:szCs w:val="22"/>
        </w:rPr>
        <w:t xml:space="preserve">Устава</w:t>
      </w:r>
      <w:r>
        <w:rPr>
          <w:rFonts w:eastAsia="Courier New"/>
          <w:bCs/>
          <w:sz w:val="22"/>
          <w:szCs w:val="22"/>
        </w:rPr>
        <w:t xml:space="preserve">, с одной стороны, и______________________________, именуемое в дальнейшем </w:t>
      </w:r>
      <w:r>
        <w:rPr>
          <w:rFonts w:eastAsia="Courier New"/>
          <w:b/>
          <w:bCs/>
          <w:sz w:val="22"/>
          <w:szCs w:val="22"/>
        </w:rPr>
        <w:t xml:space="preserve">«Исполнитель»,</w:t>
      </w:r>
      <w:r>
        <w:rPr>
          <w:rFonts w:eastAsia="Courier New"/>
          <w:bCs/>
          <w:sz w:val="22"/>
          <w:szCs w:val="22"/>
        </w:rPr>
        <w:t xml:space="preserve"> в лице Генерального директора_____________________, действующего на основании Устава, с другой стороны, составили настоящий акт о том, что Заказчик сдал, а Исполнитель принял для проведения экспертизы технического состояния следующее </w:t>
      </w:r>
      <w:r>
        <w:rPr>
          <w:rFonts w:eastAsia="Courier New"/>
          <w:sz w:val="22"/>
          <w:szCs w:val="22"/>
        </w:rPr>
        <w:t xml:space="preserve">оборудования, подготовленного</w:t>
      </w:r>
      <w:r>
        <w:rPr>
          <w:rFonts w:eastAsia="Courier New"/>
          <w:sz w:val="22"/>
          <w:szCs w:val="22"/>
        </w:rPr>
        <w:t xml:space="preserve"> к списанию:</w:t>
      </w:r>
      <w:r>
        <w:rPr>
          <w:rFonts w:eastAsia="Courier New"/>
          <w:bCs/>
        </w:rPr>
      </w:r>
      <w:r>
        <w:rPr>
          <w:rFonts w:eastAsia="Courier New"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3544"/>
      </w:tblGrid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п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/п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Инвентарный номер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6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6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5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6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5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</w:tbl>
    <w:p>
      <w:pPr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hd w:val="clear" w:color="auto" w:fill="ffffff"/>
        <w:rPr>
          <w:b/>
          <w:bCs/>
        </w:rPr>
      </w:pPr>
      <w:r>
        <w:rPr>
          <w:b/>
          <w:bCs/>
          <w:color w:val="000000"/>
          <w:spacing w:val="-6"/>
          <w:sz w:val="22"/>
          <w:szCs w:val="22"/>
        </w:rPr>
        <w:t xml:space="preserve">      ЗАКАЗЧИК:</w:t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  <w:t xml:space="preserve">                                  </w:t>
      </w:r>
      <w:r>
        <w:rPr>
          <w:b/>
          <w:sz w:val="22"/>
          <w:szCs w:val="22"/>
        </w:rPr>
        <w:t xml:space="preserve">ИСПОЛНИТЕЛЬ:</w:t>
      </w:r>
      <w:r>
        <w:rPr>
          <w:b/>
          <w:bCs/>
        </w:rPr>
      </w:r>
      <w:r>
        <w:rPr>
          <w:b/>
          <w:bCs/>
        </w:rPr>
      </w:r>
    </w:p>
    <w:tbl>
      <w:tblPr>
        <w:tblW w:w="9559" w:type="dxa"/>
        <w:jc w:val="center"/>
        <w:tblLook w:val="0000" w:firstRow="0" w:lastRow="0" w:firstColumn="0" w:lastColumn="0" w:noHBand="0" w:noVBand="0"/>
      </w:tblPr>
      <w:tblGrid>
        <w:gridCol w:w="4790"/>
        <w:gridCol w:w="4769"/>
      </w:tblGrid>
      <w:tr>
        <w:tblPrEx/>
        <w:trPr>
          <w:jc w:val="center"/>
          <w:trHeight w:val="11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97"/>
              <w:jc w:val="both"/>
              <w:widowControl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_________________/____________________/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9" w:type="dxa"/>
            <w:textDirection w:val="lrTb"/>
            <w:noWrap w:val="false"/>
          </w:tcPr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___________________/____________/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hd w:val="clear" w:color="auto" w:fill="ffffff"/>
        <w:tabs>
          <w:tab w:val="left" w:pos="10008" w:leader="underscore"/>
        </w:tabs>
        <w:rPr>
          <w:color w:val="000000"/>
          <w:spacing w:val="-1"/>
        </w:rPr>
      </w:pPr>
      <w:r>
        <w:rPr>
          <w:color w:val="000000"/>
          <w:spacing w:val="-1"/>
          <w:sz w:val="22"/>
          <w:szCs w:val="22"/>
        </w:rPr>
        <w:t xml:space="preserve">                                                                     </w:t>
      </w:r>
      <w:r>
        <w:rPr>
          <w:color w:val="000000"/>
          <w:spacing w:val="-1"/>
        </w:rPr>
      </w:r>
      <w:r>
        <w:rPr>
          <w:color w:val="000000"/>
          <w:spacing w:val="-1"/>
        </w:rPr>
      </w:r>
    </w:p>
    <w:p>
      <w:pPr>
        <w:ind w:left="-426" w:hanging="141"/>
        <w:shd w:val="clear" w:color="auto" w:fill="ffffff"/>
        <w:tabs>
          <w:tab w:val="left" w:pos="10008" w:leader="underscore"/>
        </w:tabs>
        <w:rPr>
          <w:color w:val="000000"/>
          <w:spacing w:val="-1"/>
        </w:rPr>
      </w:pPr>
      <w:r>
        <w:rPr>
          <w:color w:val="000000"/>
          <w:spacing w:val="-1"/>
          <w:sz w:val="22"/>
          <w:szCs w:val="22"/>
        </w:rPr>
        <w:t xml:space="preserve">________________________________________________________________________________________                                                                </w:t>
      </w:r>
      <w:r>
        <w:rPr>
          <w:color w:val="000000"/>
          <w:spacing w:val="-1"/>
        </w:rPr>
      </w:r>
      <w:r>
        <w:rPr>
          <w:color w:val="000000"/>
          <w:spacing w:val="-1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согласована: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-2" w:firstLine="284"/>
        <w:jc w:val="center"/>
        <w:tabs>
          <w:tab w:val="left" w:pos="0" w:leader="none"/>
          <w:tab w:val="left" w:pos="588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_________________/Машаев Л.С./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 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________ 2026 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ru-RU"/>
        </w:rPr>
        <w:t xml:space="preserve">Акта экспертизы технического состояния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ru-RU"/>
        </w:rPr>
        <w:t xml:space="preserve">(ФОРМА)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pPr w:horzAnchor="text" w:tblpXSpec="center" w:vertAnchor="text" w:tblpY="1" w:leftFromText="180" w:topFromText="0" w:rightFromText="180" w:bottomFromText="200"/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6"/>
        <w:gridCol w:w="2551"/>
        <w:gridCol w:w="3260"/>
      </w:tblGrid>
      <w:tr>
        <w:tblPrEx/>
        <w:trPr>
          <w:trHeight w:val="294"/>
        </w:trPr>
        <w:tc>
          <w:tcPr>
            <w:gridSpan w:val="3"/>
            <w:tcBorders>
              <w:bottom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right="-2" w:firstLine="284"/>
              <w:jc w:val="center"/>
              <w:spacing w:before="240" w:line="276" w:lineRule="auto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Акт экспертизы технического состояния № __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37"/>
        </w:trPr>
        <w:tc>
          <w:tcPr>
            <w:gridSpan w:val="3"/>
            <w:tcBorders>
              <w:top w:val="none" w:color="000000" w:sz="4" w:space="0"/>
            </w:tcBorders>
            <w:tcW w:w="9747" w:type="dxa"/>
            <w:vAlign w:val="center"/>
            <w:textDirection w:val="lrTb"/>
            <w:noWrap/>
          </w:tcPr>
          <w:p>
            <w:pPr>
              <w:ind w:right="-2" w:firstLine="284"/>
              <w:jc w:val="center"/>
              <w:spacing w:line="276" w:lineRule="auto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к Контракту № _____от «__»______202_ г.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3"/>
            <w:tcBorders>
              <w:bottom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Заказчик: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1"/>
        </w:trPr>
        <w:tc>
          <w:tcPr>
            <w:gridSpan w:val="3"/>
            <w:tcBorders>
              <w:top w:val="none" w:color="000000" w:sz="4" w:space="0"/>
            </w:tcBorders>
            <w:tcW w:w="9747" w:type="dxa"/>
            <w:vAlign w:val="center"/>
            <w:textDirection w:val="lrTb"/>
            <w:noWrap w:val="false"/>
          </w:tcPr>
          <w:p>
            <w:pPr>
              <w:ind w:left="142" w:right="-2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6"/>
        </w:trPr>
        <w:tc>
          <w:tcPr>
            <w:gridSpan w:val="3"/>
            <w:tcBorders>
              <w:bottom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Исполнитель: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6"/>
        </w:trPr>
        <w:tc>
          <w:tcPr>
            <w:gridSpan w:val="3"/>
            <w:tcBorders>
              <w:top w:val="none" w:color="000000" w:sz="4" w:space="0"/>
            </w:tcBorders>
            <w:tcW w:w="974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7"/>
        </w:trPr>
        <w:tc>
          <w:tcPr>
            <w:gridSpan w:val="2"/>
            <w:tcW w:w="6487" w:type="dxa"/>
            <w:vAlign w:val="bottom"/>
            <w:textDirection w:val="lrTb"/>
            <w:noWrap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Объект экспертизы: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3260" w:type="dxa"/>
            <w:vAlign w:val="bottom"/>
            <w:textDirection w:val="lrTb"/>
            <w:noWrap/>
          </w:tcPr>
          <w:p>
            <w:pPr>
              <w:ind w:left="142" w:right="-2"/>
              <w:jc w:val="center"/>
              <w:spacing w:line="276" w:lineRule="auto"/>
              <w:tabs>
                <w:tab w:val="left" w:pos="142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Заявленная неисправность: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517"/>
        </w:trPr>
        <w:tc>
          <w:tcPr>
            <w:tcW w:w="3936" w:type="dxa"/>
            <w:vAlign w:val="center"/>
            <w:vMerge w:val="restart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142" w:right="-2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91"/>
        </w:trPr>
        <w:tc>
          <w:tcPr>
            <w:tcW w:w="3936" w:type="dxa"/>
            <w:vAlign w:val="center"/>
            <w:vMerge w:val="restart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Завод изготовитель Тип, 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4" w:hRule="exact"/>
        </w:trPr>
        <w:tc>
          <w:tcPr>
            <w:tcW w:w="3936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Версия/Год выпуска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4" w:hRule="exact"/>
        </w:trPr>
        <w:tc>
          <w:tcPr>
            <w:tcW w:w="3936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Балансовая стоимость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4" w:hRule="exact"/>
        </w:trPr>
        <w:tc>
          <w:tcPr>
            <w:tcW w:w="3936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Инвентарный номер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4" w:hRule="exact"/>
        </w:trPr>
        <w:tc>
          <w:tcPr>
            <w:tcW w:w="3936" w:type="dxa"/>
            <w:vAlign w:val="center"/>
            <w:textDirection w:val="lrTb"/>
            <w:noWrap w:val="false"/>
          </w:tcPr>
          <w:p>
            <w:pPr>
              <w:ind w:left="142" w:right="-2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ввода в эксплуатацию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60"/>
        </w:trPr>
        <w:tc>
          <w:tcPr>
            <w:gridSpan w:val="3"/>
            <w:tcBorders>
              <w:bottom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left="142" w:right="-2"/>
              <w:spacing w:before="240" w:line="276" w:lineRule="auto"/>
              <w:tabs>
                <w:tab w:val="left" w:pos="142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Основание для проведения экспертизы: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35"/>
        </w:trPr>
        <w:tc>
          <w:tcPr>
            <w:gridSpan w:val="3"/>
            <w:tcBorders>
              <w:top w:val="none" w:color="000000" w:sz="4" w:space="0"/>
            </w:tcBorders>
            <w:tcW w:w="9747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78"/>
        </w:trPr>
        <w:tc>
          <w:tcPr>
            <w:gridSpan w:val="3"/>
            <w:tcBorders>
              <w:bottom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left="142" w:right="-2"/>
              <w:spacing w:before="240" w:line="276" w:lineRule="auto"/>
              <w:tabs>
                <w:tab w:val="left" w:pos="142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Результаты осмотра и диагностики: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21"/>
        </w:trPr>
        <w:tc>
          <w:tcPr>
            <w:gridSpan w:val="3"/>
            <w:tcBorders>
              <w:top w:val="none" w:color="000000" w:sz="4" w:space="0"/>
            </w:tcBorders>
            <w:tcW w:w="9747" w:type="dxa"/>
            <w:vAlign w:val="center"/>
            <w:textDirection w:val="lrTb"/>
            <w:noWrap w:val="false"/>
          </w:tcPr>
          <w:p>
            <w:pPr>
              <w:ind w:left="142" w:right="-2"/>
              <w:tabs>
                <w:tab w:val="left" w:pos="142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14"/>
        </w:trPr>
        <w:tc>
          <w:tcPr>
            <w:gridSpan w:val="3"/>
            <w:tcBorders>
              <w:bottom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left="142" w:right="-2"/>
              <w:spacing w:before="240" w:line="276" w:lineRule="auto"/>
              <w:tabs>
                <w:tab w:val="left" w:pos="142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Заключение: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11"/>
        </w:trPr>
        <w:tc>
          <w:tcPr>
            <w:gridSpan w:val="3"/>
            <w:tcBorders>
              <w:top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89"/>
        </w:trPr>
        <w:tc>
          <w:tcPr>
            <w:gridSpan w:val="3"/>
            <w:tcW w:w="9747" w:type="dxa"/>
            <w:vAlign w:val="center"/>
            <w:textDirection w:val="lrTb"/>
            <w:noWrap/>
          </w:tcPr>
          <w:p>
            <w:pPr>
              <w:ind w:left="142" w:right="-2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Объект экспертизы собран и возвращен владельцу в первоначальном состоянии.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ru-RU"/>
              </w:rPr>
              <w:t xml:space="preserve">Услуга соответствует требованиям нормативных документов ГОСТ </w:t>
            </w:r>
            <w:r>
              <w:rPr>
                <w:sz w:val="22"/>
                <w:szCs w:val="22"/>
                <w:lang w:eastAsia="ru-RU"/>
              </w:rPr>
              <w:t xml:space="preserve">Р</w:t>
            </w:r>
            <w:r>
              <w:rPr>
                <w:sz w:val="22"/>
                <w:szCs w:val="22"/>
                <w:lang w:eastAsia="ru-RU"/>
              </w:rPr>
              <w:t xml:space="preserve"> МЭК 60950-2002, ГОСТ 12.2.007.0-75, ГОСТ 21552-84, ГОСТ 25861-83. ГОСТ 13.2.001-2001.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1401"/>
        </w:trPr>
        <w:tc>
          <w:tcPr>
            <w:gridSpan w:val="3"/>
            <w:tcW w:w="9747" w:type="dxa"/>
            <w:vAlign w:val="center"/>
            <w:textDirection w:val="lrTb"/>
            <w:noWrap/>
          </w:tcPr>
          <w:p>
            <w:pPr>
              <w:ind w:right="-2" w:firstLine="284"/>
              <w:spacing w:before="24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Дата выдачи заключения: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2" w:firstLine="284"/>
              <w:spacing w:before="24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2" w:firstLine="284"/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Ведущий эксперт                                                                   ________________ /_____________/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</w:t>
            </w:r>
            <w:r>
              <w:rPr>
                <w:sz w:val="22"/>
                <w:szCs w:val="22"/>
                <w:lang w:eastAsia="ru-RU"/>
              </w:rPr>
              <w:t xml:space="preserve">м.п</w:t>
            </w:r>
            <w:r>
              <w:rPr>
                <w:sz w:val="22"/>
                <w:szCs w:val="22"/>
                <w:lang w:eastAsia="ru-RU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согласована: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-2" w:firstLine="284"/>
        <w:jc w:val="center"/>
        <w:tabs>
          <w:tab w:val="left" w:pos="0" w:leader="none"/>
          <w:tab w:val="left" w:pos="588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_________________/Машаев Л.С./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___________________/__________/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67" w:right="851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NTHelvetica/Cyrillic">
    <w:panose1 w:val="02000603000000000000"/>
  </w:font>
  <w:font w:name="Verdana">
    <w:panose1 w:val="020B0604030504040204"/>
  </w:font>
  <w:font w:name="Nimbus Roman No9 L">
    <w:panose1 w:val="00000500000000000000"/>
  </w:font>
  <w:font w:name="Calibri">
    <w:panose1 w:val="020F0502020204030204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11</w:t>
    </w:r>
    <w:r>
      <w:fldChar w:fldCharType="end"/>
    </w:r>
    <w:r/>
  </w:p>
  <w:p>
    <w:pPr>
      <w:pStyle w:val="100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52" w:hanging="36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44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76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6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0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792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24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16" w:hanging="1800"/>
      </w:pPr>
      <w:rPr>
        <w:color w:val="00000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center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52" w:hanging="36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44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76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6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0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792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24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16" w:hanging="1800"/>
      </w:pPr>
      <w:rPr>
        <w:color w:val="00000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  <w:b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cs="Times New Roman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</w:pPr>
      <w:rPr>
        <w:rFonts w:hint="default" w:cs="Times New Roman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340" w:hanging="720"/>
      </w:pPr>
      <w:rPr>
        <w:rFonts w:hint="default" w:cs="Times New Roman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</w:pPr>
      <w:rPr>
        <w:rFonts w:hint="default" w:cs="Times New Roman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780" w:hanging="1080"/>
      </w:pPr>
      <w:rPr>
        <w:rFonts w:hint="default" w:cs="Times New Roman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</w:pPr>
      <w:rPr>
        <w:rFonts w:hint="default" w:cs="Times New Roman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220" w:hanging="1440"/>
      </w:pPr>
      <w:rPr>
        <w:rFonts w:hint="default" w:cs="Times New Roman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120" w:hanging="1800"/>
      </w:pPr>
      <w:rPr>
        <w:rFonts w:hint="default" w:cs="Times New Roman"/>
        <w:color w:val="auto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263" w:hanging="543"/>
        <w:tabs>
          <w:tab w:val="num" w:pos="1263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5400" w:hanging="1080"/>
        <w:tabs>
          <w:tab w:val="num" w:pos="54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00" w:hanging="1440"/>
        <w:tabs>
          <w:tab w:val="num" w:pos="7200" w:leader="none"/>
        </w:tabs>
      </w:pPr>
      <w:rPr>
        <w:rFonts w:hint="default" w:cs="Times New Roman"/>
      </w:r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4"/>
      <w:numFmt w:val="decimal"/>
      <w:isLgl w:val="false"/>
      <w:suff w:val="space"/>
      <w:lvlText w:val="%1."/>
      <w:lvlJc w:val="left"/>
      <w:pPr/>
      <w:rPr>
        <w:rFonts w:hint="default" w:cs="Times New Roman"/>
      </w:rPr>
    </w:lvl>
    <w:lvl w:ilvl="1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2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3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4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5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6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7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  <w:b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cs="Times New Roman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</w:pPr>
      <w:rPr>
        <w:rFonts w:hint="default" w:cs="Times New Roman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340" w:hanging="720"/>
      </w:pPr>
      <w:rPr>
        <w:rFonts w:hint="default" w:cs="Times New Roman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</w:pPr>
      <w:rPr>
        <w:rFonts w:hint="default" w:cs="Times New Roman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780" w:hanging="1080"/>
      </w:pPr>
      <w:rPr>
        <w:rFonts w:hint="default" w:cs="Times New Roman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</w:pPr>
      <w:rPr>
        <w:rFonts w:hint="default" w:cs="Times New Roman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220" w:hanging="1440"/>
      </w:pPr>
      <w:rPr>
        <w:rFonts w:hint="default" w:cs="Times New Roman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120" w:hanging="1800"/>
      </w:pPr>
      <w:rPr>
        <w:rFonts w:hint="default" w:cs="Times New Roman"/>
        <w:color w:val="auto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"/>
      <w:lvlJc w:val="left"/>
      <w:pPr>
        <w:ind w:left="900" w:hanging="540"/>
      </w:pPr>
      <w:rPr>
        <w:rFonts w:hint="default" w:cs="Times New Roman"/>
        <w:b w:val="0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997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3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"/>
      <w:lvlJc w:val="left"/>
      <w:pPr>
        <w:ind w:left="786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5.4.%1"/>
      <w:lvlJc w:val="left"/>
      <w:pPr>
        <w:ind w:left="1004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111" w:hanging="543"/>
        <w:tabs>
          <w:tab w:val="num" w:pos="1111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5400" w:hanging="1080"/>
        <w:tabs>
          <w:tab w:val="num" w:pos="54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00" w:hanging="1440"/>
        <w:tabs>
          <w:tab w:val="num" w:pos="7200" w:leader="none"/>
        </w:tabs>
      </w:pPr>
      <w:rPr>
        <w:rFonts w:hint="default" w:cs="Times New Roman"/>
      </w:r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786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862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13"/>
  </w:num>
  <w:num w:numId="5">
    <w:abstractNumId w:val="34"/>
  </w:num>
  <w:num w:numId="6">
    <w:abstractNumId w:val="40"/>
  </w:num>
  <w:num w:numId="7">
    <w:abstractNumId w:val="7"/>
  </w:num>
  <w:num w:numId="8">
    <w:abstractNumId w:val="37"/>
  </w:num>
  <w:num w:numId="9">
    <w:abstractNumId w:val="17"/>
  </w:num>
  <w:num w:numId="10">
    <w:abstractNumId w:val="26"/>
  </w:num>
  <w:num w:numId="11">
    <w:abstractNumId w:val="32"/>
  </w:num>
  <w:num w:numId="12">
    <w:abstractNumId w:val="38"/>
  </w:num>
  <w:num w:numId="13">
    <w:abstractNumId w:val="36"/>
  </w:num>
  <w:num w:numId="14">
    <w:abstractNumId w:val="12"/>
  </w:num>
  <w:num w:numId="15">
    <w:abstractNumId w:val="14"/>
  </w:num>
  <w:num w:numId="16">
    <w:abstractNumId w:val="15"/>
  </w:num>
  <w:num w:numId="17">
    <w:abstractNumId w:val="24"/>
  </w:num>
  <w:num w:numId="18">
    <w:abstractNumId w:val="3"/>
  </w:num>
  <w:num w:numId="19">
    <w:abstractNumId w:val="0"/>
  </w:num>
  <w:num w:numId="20">
    <w:abstractNumId w:val="31"/>
  </w:num>
  <w:num w:numId="21">
    <w:abstractNumId w:val="11"/>
  </w:num>
  <w:num w:numId="22">
    <w:abstractNumId w:val="20"/>
  </w:num>
  <w:num w:numId="23">
    <w:abstractNumId w:val="39"/>
  </w:num>
  <w:num w:numId="24">
    <w:abstractNumId w:val="30"/>
  </w:num>
  <w:num w:numId="25">
    <w:abstractNumId w:val="41"/>
  </w:num>
  <w:num w:numId="26">
    <w:abstractNumId w:val="6"/>
  </w:num>
  <w:num w:numId="27">
    <w:abstractNumId w:val="1"/>
  </w:num>
  <w:num w:numId="28">
    <w:abstractNumId w:val="5"/>
  </w:num>
  <w:num w:numId="29">
    <w:abstractNumId w:val="33"/>
  </w:num>
  <w:num w:numId="30">
    <w:abstractNumId w:val="9"/>
  </w:num>
  <w:num w:numId="31">
    <w:abstractNumId w:val="27"/>
  </w:num>
  <w:num w:numId="32">
    <w:abstractNumId w:val="21"/>
  </w:num>
  <w:num w:numId="33">
    <w:abstractNumId w:val="4"/>
  </w:num>
  <w:num w:numId="34">
    <w:abstractNumId w:val="29"/>
  </w:num>
  <w:num w:numId="35">
    <w:abstractNumId w:val="18"/>
  </w:num>
  <w:num w:numId="36">
    <w:abstractNumId w:val="28"/>
  </w:num>
  <w:num w:numId="37">
    <w:abstractNumId w:val="8"/>
  </w:num>
  <w:num w:numId="38">
    <w:abstractNumId w:val="10"/>
  </w:num>
  <w:num w:numId="39">
    <w:abstractNumId w:val="35"/>
  </w:num>
  <w:num w:numId="40">
    <w:abstractNumId w:val="22"/>
  </w:num>
  <w:num w:numId="41">
    <w:abstractNumId w:val="19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5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6" w:default="1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807">
    <w:name w:val="Heading 1"/>
    <w:basedOn w:val="806"/>
    <w:next w:val="806"/>
    <w:link w:val="989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/>
      <w:color w:val="365f91" w:themeColor="accent1" w:themeShade="BF"/>
      <w:sz w:val="32"/>
      <w:szCs w:val="32"/>
    </w:rPr>
  </w:style>
  <w:style w:type="paragraph" w:styleId="808">
    <w:name w:val="Heading 2"/>
    <w:basedOn w:val="806"/>
    <w:next w:val="806"/>
    <w:link w:val="990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/>
      <w:color w:val="365f91" w:themeColor="accent1" w:themeShade="BF"/>
      <w:sz w:val="26"/>
      <w:szCs w:val="26"/>
    </w:rPr>
  </w:style>
  <w:style w:type="paragraph" w:styleId="809">
    <w:name w:val="Heading 3"/>
    <w:basedOn w:val="806"/>
    <w:next w:val="806"/>
    <w:link w:val="991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/>
      <w:b/>
      <w:bCs/>
      <w:color w:val="4f81bd" w:themeColor="accent1"/>
    </w:rPr>
  </w:style>
  <w:style w:type="paragraph" w:styleId="810">
    <w:name w:val="Heading 4"/>
    <w:basedOn w:val="806"/>
    <w:next w:val="806"/>
    <w:link w:val="992"/>
    <w:uiPriority w:val="99"/>
    <w:qFormat/>
    <w:pPr>
      <w:jc w:val="center"/>
      <w:keepNext/>
      <w:shd w:val="clear" w:color="auto" w:fill="ffffff"/>
      <w:outlineLvl w:val="3"/>
    </w:pPr>
    <w:rPr>
      <w:b/>
      <w:bCs/>
      <w:color w:val="000000"/>
      <w:lang w:eastAsia="ru-RU"/>
    </w:rPr>
  </w:style>
  <w:style w:type="paragraph" w:styleId="811">
    <w:name w:val="Heading 5"/>
    <w:basedOn w:val="806"/>
    <w:next w:val="806"/>
    <w:link w:val="8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12">
    <w:name w:val="Heading 6"/>
    <w:basedOn w:val="806"/>
    <w:next w:val="806"/>
    <w:link w:val="8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3">
    <w:name w:val="Heading 7"/>
    <w:basedOn w:val="806"/>
    <w:next w:val="806"/>
    <w:link w:val="8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4">
    <w:name w:val="Heading 8"/>
    <w:basedOn w:val="806"/>
    <w:next w:val="806"/>
    <w:link w:val="8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5">
    <w:name w:val="Heading 9"/>
    <w:basedOn w:val="806"/>
    <w:next w:val="806"/>
    <w:link w:val="8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character" w:styleId="819" w:customStyle="1">
    <w:name w:val="Heading 5 Char"/>
    <w:basedOn w:val="816"/>
    <w:uiPriority w:val="9"/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Heading 6 Char"/>
    <w:basedOn w:val="816"/>
    <w:uiPriority w:val="9"/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Heading 7 Char"/>
    <w:basedOn w:val="8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Heading 8 Char"/>
    <w:basedOn w:val="816"/>
    <w:uiPriority w:val="9"/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Heading 9 Char"/>
    <w:basedOn w:val="816"/>
    <w:uiPriority w:val="9"/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Quote Char"/>
    <w:uiPriority w:val="29"/>
    <w:rPr>
      <w:i/>
    </w:rPr>
  </w:style>
  <w:style w:type="character" w:styleId="825" w:customStyle="1">
    <w:name w:val="Intense Quote Char"/>
    <w:uiPriority w:val="30"/>
    <w:rPr>
      <w:i/>
    </w:rPr>
  </w:style>
  <w:style w:type="character" w:styleId="826" w:customStyle="1">
    <w:name w:val="Footnote Text Char"/>
    <w:uiPriority w:val="99"/>
    <w:rPr>
      <w:sz w:val="18"/>
    </w:rPr>
  </w:style>
  <w:style w:type="character" w:styleId="827" w:customStyle="1">
    <w:name w:val="Endnote Text Char"/>
    <w:uiPriority w:val="99"/>
    <w:rPr>
      <w:sz w:val="20"/>
    </w:rPr>
  </w:style>
  <w:style w:type="character" w:styleId="828" w:customStyle="1">
    <w:name w:val="Heading 1 Char"/>
    <w:basedOn w:val="816"/>
    <w:uiPriority w:val="9"/>
    <w:rPr>
      <w:rFonts w:ascii="Arial" w:hAnsi="Arial" w:eastAsia="Arial" w:cs="Arial"/>
      <w:sz w:val="40"/>
      <w:szCs w:val="40"/>
    </w:rPr>
  </w:style>
  <w:style w:type="character" w:styleId="829" w:customStyle="1">
    <w:name w:val="Heading 2 Char"/>
    <w:basedOn w:val="816"/>
    <w:uiPriority w:val="9"/>
    <w:rPr>
      <w:rFonts w:ascii="Arial" w:hAnsi="Arial" w:eastAsia="Arial" w:cs="Arial"/>
      <w:sz w:val="34"/>
    </w:rPr>
  </w:style>
  <w:style w:type="character" w:styleId="830" w:customStyle="1">
    <w:name w:val="Heading 3 Char"/>
    <w:basedOn w:val="816"/>
    <w:uiPriority w:val="9"/>
    <w:rPr>
      <w:rFonts w:ascii="Arial" w:hAnsi="Arial" w:eastAsia="Arial" w:cs="Arial"/>
      <w:sz w:val="30"/>
      <w:szCs w:val="30"/>
    </w:rPr>
  </w:style>
  <w:style w:type="character" w:styleId="831" w:customStyle="1">
    <w:name w:val="Heading 4 Char"/>
    <w:basedOn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832" w:customStyle="1">
    <w:name w:val="Заголовок 5 Знак"/>
    <w:basedOn w:val="816"/>
    <w:link w:val="811"/>
    <w:uiPriority w:val="9"/>
    <w:rPr>
      <w:rFonts w:ascii="Arial" w:hAnsi="Arial" w:eastAsia="Arial" w:cs="Arial"/>
      <w:b/>
      <w:bCs/>
      <w:sz w:val="24"/>
      <w:szCs w:val="24"/>
    </w:rPr>
  </w:style>
  <w:style w:type="character" w:styleId="833" w:customStyle="1">
    <w:name w:val="Заголовок 6 Знак"/>
    <w:basedOn w:val="816"/>
    <w:link w:val="812"/>
    <w:uiPriority w:val="9"/>
    <w:rPr>
      <w:rFonts w:ascii="Arial" w:hAnsi="Arial" w:eastAsia="Arial" w:cs="Arial"/>
      <w:b/>
      <w:bCs/>
      <w:sz w:val="22"/>
      <w:szCs w:val="22"/>
    </w:rPr>
  </w:style>
  <w:style w:type="character" w:styleId="834" w:customStyle="1">
    <w:name w:val="Заголовок 7 Знак"/>
    <w:basedOn w:val="816"/>
    <w:link w:val="8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5" w:customStyle="1">
    <w:name w:val="Заголовок 8 Знак"/>
    <w:basedOn w:val="816"/>
    <w:link w:val="814"/>
    <w:uiPriority w:val="9"/>
    <w:rPr>
      <w:rFonts w:ascii="Arial" w:hAnsi="Arial" w:eastAsia="Arial" w:cs="Arial"/>
      <w:i/>
      <w:iCs/>
      <w:sz w:val="22"/>
      <w:szCs w:val="22"/>
    </w:rPr>
  </w:style>
  <w:style w:type="character" w:styleId="836" w:customStyle="1">
    <w:name w:val="Заголовок 9 Знак"/>
    <w:basedOn w:val="816"/>
    <w:link w:val="815"/>
    <w:uiPriority w:val="9"/>
    <w:rPr>
      <w:rFonts w:ascii="Arial" w:hAnsi="Arial" w:eastAsia="Arial" w:cs="Arial"/>
      <w:i/>
      <w:iCs/>
      <w:sz w:val="21"/>
      <w:szCs w:val="21"/>
    </w:rPr>
  </w:style>
  <w:style w:type="character" w:styleId="837" w:customStyle="1">
    <w:name w:val="Title Char"/>
    <w:basedOn w:val="816"/>
    <w:uiPriority w:val="10"/>
    <w:rPr>
      <w:sz w:val="48"/>
      <w:szCs w:val="48"/>
    </w:rPr>
  </w:style>
  <w:style w:type="character" w:styleId="838" w:customStyle="1">
    <w:name w:val="Subtitle Char"/>
    <w:basedOn w:val="816"/>
    <w:uiPriority w:val="11"/>
    <w:rPr>
      <w:sz w:val="24"/>
      <w:szCs w:val="24"/>
    </w:rPr>
  </w:style>
  <w:style w:type="paragraph" w:styleId="839">
    <w:name w:val="Quote"/>
    <w:basedOn w:val="806"/>
    <w:next w:val="806"/>
    <w:link w:val="840"/>
    <w:uiPriority w:val="29"/>
    <w:qFormat/>
    <w:pPr>
      <w:ind w:left="720" w:right="720"/>
    </w:pPr>
    <w:rPr>
      <w:i/>
    </w:rPr>
  </w:style>
  <w:style w:type="character" w:styleId="840" w:customStyle="1">
    <w:name w:val="Цитата 2 Знак"/>
    <w:link w:val="839"/>
    <w:uiPriority w:val="29"/>
    <w:rPr>
      <w:i/>
    </w:rPr>
  </w:style>
  <w:style w:type="paragraph" w:styleId="841">
    <w:name w:val="Intense Quote"/>
    <w:basedOn w:val="806"/>
    <w:next w:val="806"/>
    <w:link w:val="8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2" w:customStyle="1">
    <w:name w:val="Выделенная цитата Знак"/>
    <w:link w:val="841"/>
    <w:uiPriority w:val="30"/>
    <w:rPr>
      <w:i/>
    </w:rPr>
  </w:style>
  <w:style w:type="character" w:styleId="843" w:customStyle="1">
    <w:name w:val="Header Char"/>
    <w:basedOn w:val="816"/>
    <w:uiPriority w:val="99"/>
  </w:style>
  <w:style w:type="character" w:styleId="844" w:customStyle="1">
    <w:name w:val="Footer Char"/>
    <w:basedOn w:val="816"/>
    <w:uiPriority w:val="99"/>
  </w:style>
  <w:style w:type="paragraph" w:styleId="845">
    <w:name w:val="Caption"/>
    <w:basedOn w:val="806"/>
    <w:next w:val="806"/>
    <w:link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6" w:customStyle="1">
    <w:name w:val="Caption Char"/>
    <w:uiPriority w:val="99"/>
  </w:style>
  <w:style w:type="table" w:styleId="847" w:customStyle="1">
    <w:name w:val="Table Grid Light"/>
    <w:basedOn w:val="8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8" w:customStyle="1">
    <w:name w:val="Plain Table 1"/>
    <w:basedOn w:val="8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 w:customStyle="1">
    <w:name w:val="Plain Table 2"/>
    <w:basedOn w:val="81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 w:customStyle="1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1" w:customStyle="1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5" w:customStyle="1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6" w:customStyle="1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7" w:customStyle="1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8" w:customStyle="1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9" w:customStyle="1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0" w:customStyle="1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1" w:customStyle="1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9" w:customStyle="1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0" w:customStyle="1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1" w:customStyle="1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2" w:customStyle="1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3" w:customStyle="1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4" w:customStyle="1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5" w:customStyle="1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6" w:customStyle="1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8" w:customStyle="1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9" w:customStyle="1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0" w:customStyle="1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1" w:customStyle="1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2" w:customStyle="1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3" w:customStyle="1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4" w:customStyle="1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ned - Accent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Lined - Accent 1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3" w:customStyle="1">
    <w:name w:val="Lined - Accent 2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4" w:customStyle="1">
    <w:name w:val="Lined - Accent 3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5" w:customStyle="1">
    <w:name w:val="Lined - Accent 4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6" w:customStyle="1">
    <w:name w:val="Lined - Accent 5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7" w:customStyle="1">
    <w:name w:val="Lined - Accent 6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8" w:customStyle="1">
    <w:name w:val="Bordered &amp; Lined - Accent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9" w:customStyle="1">
    <w:name w:val="Bordered &amp; Lined - Accent 1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0" w:customStyle="1">
    <w:name w:val="Bordered &amp; Lined - Accent 2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1" w:customStyle="1">
    <w:name w:val="Bordered &amp; Lined - Accent 3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2" w:customStyle="1">
    <w:name w:val="Bordered &amp; Lined - Accent 4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3" w:customStyle="1">
    <w:name w:val="Bordered &amp; Lined - Accent 5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4" w:customStyle="1">
    <w:name w:val="Bordered &amp; Lined - Accent 6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5" w:customStyle="1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6" w:customStyle="1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7" w:customStyle="1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8" w:customStyle="1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9" w:customStyle="1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0" w:customStyle="1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1" w:customStyle="1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72">
    <w:name w:val="footnote text"/>
    <w:basedOn w:val="806"/>
    <w:link w:val="973"/>
    <w:uiPriority w:val="99"/>
    <w:semiHidden/>
    <w:unhideWhenUsed/>
    <w:pPr>
      <w:spacing w:after="40"/>
    </w:pPr>
    <w:rPr>
      <w:sz w:val="18"/>
    </w:rPr>
  </w:style>
  <w:style w:type="character" w:styleId="973" w:customStyle="1">
    <w:name w:val="Текст сноски Знак"/>
    <w:link w:val="972"/>
    <w:uiPriority w:val="99"/>
    <w:rPr>
      <w:sz w:val="18"/>
    </w:rPr>
  </w:style>
  <w:style w:type="character" w:styleId="974">
    <w:name w:val="footnote reference"/>
    <w:basedOn w:val="816"/>
    <w:uiPriority w:val="99"/>
    <w:unhideWhenUsed/>
    <w:rPr>
      <w:vertAlign w:val="superscript"/>
    </w:rPr>
  </w:style>
  <w:style w:type="paragraph" w:styleId="975">
    <w:name w:val="endnote text"/>
    <w:basedOn w:val="806"/>
    <w:link w:val="976"/>
    <w:uiPriority w:val="99"/>
    <w:semiHidden/>
    <w:unhideWhenUsed/>
    <w:rPr>
      <w:sz w:val="20"/>
    </w:rPr>
  </w:style>
  <w:style w:type="character" w:styleId="976" w:customStyle="1">
    <w:name w:val="Текст концевой сноски Знак"/>
    <w:link w:val="975"/>
    <w:uiPriority w:val="99"/>
    <w:rPr>
      <w:sz w:val="20"/>
    </w:rPr>
  </w:style>
  <w:style w:type="character" w:styleId="977">
    <w:name w:val="endnote reference"/>
    <w:basedOn w:val="816"/>
    <w:uiPriority w:val="99"/>
    <w:semiHidden/>
    <w:unhideWhenUsed/>
    <w:rPr>
      <w:vertAlign w:val="superscript"/>
    </w:rPr>
  </w:style>
  <w:style w:type="paragraph" w:styleId="978">
    <w:name w:val="toc 1"/>
    <w:basedOn w:val="806"/>
    <w:next w:val="806"/>
    <w:uiPriority w:val="39"/>
    <w:unhideWhenUsed/>
    <w:pPr>
      <w:spacing w:after="57"/>
    </w:pPr>
  </w:style>
  <w:style w:type="paragraph" w:styleId="979">
    <w:name w:val="toc 2"/>
    <w:basedOn w:val="806"/>
    <w:next w:val="806"/>
    <w:uiPriority w:val="39"/>
    <w:unhideWhenUsed/>
    <w:pPr>
      <w:ind w:left="283"/>
      <w:spacing w:after="57"/>
    </w:pPr>
  </w:style>
  <w:style w:type="paragraph" w:styleId="980">
    <w:name w:val="toc 3"/>
    <w:basedOn w:val="806"/>
    <w:next w:val="806"/>
    <w:uiPriority w:val="39"/>
    <w:unhideWhenUsed/>
    <w:pPr>
      <w:ind w:left="567"/>
      <w:spacing w:after="57"/>
    </w:pPr>
  </w:style>
  <w:style w:type="paragraph" w:styleId="981">
    <w:name w:val="toc 4"/>
    <w:basedOn w:val="806"/>
    <w:next w:val="806"/>
    <w:uiPriority w:val="39"/>
    <w:unhideWhenUsed/>
    <w:pPr>
      <w:ind w:left="850"/>
      <w:spacing w:after="57"/>
    </w:pPr>
  </w:style>
  <w:style w:type="paragraph" w:styleId="982">
    <w:name w:val="toc 5"/>
    <w:basedOn w:val="806"/>
    <w:next w:val="806"/>
    <w:uiPriority w:val="39"/>
    <w:unhideWhenUsed/>
    <w:pPr>
      <w:ind w:left="1134"/>
      <w:spacing w:after="57"/>
    </w:pPr>
  </w:style>
  <w:style w:type="paragraph" w:styleId="983">
    <w:name w:val="toc 6"/>
    <w:basedOn w:val="806"/>
    <w:next w:val="806"/>
    <w:uiPriority w:val="39"/>
    <w:unhideWhenUsed/>
    <w:pPr>
      <w:ind w:left="1417"/>
      <w:spacing w:after="57"/>
    </w:pPr>
  </w:style>
  <w:style w:type="paragraph" w:styleId="984">
    <w:name w:val="toc 7"/>
    <w:basedOn w:val="806"/>
    <w:next w:val="806"/>
    <w:uiPriority w:val="39"/>
    <w:unhideWhenUsed/>
    <w:pPr>
      <w:ind w:left="1701"/>
      <w:spacing w:after="57"/>
    </w:pPr>
  </w:style>
  <w:style w:type="paragraph" w:styleId="985">
    <w:name w:val="toc 8"/>
    <w:basedOn w:val="806"/>
    <w:next w:val="806"/>
    <w:uiPriority w:val="39"/>
    <w:unhideWhenUsed/>
    <w:pPr>
      <w:ind w:left="1984"/>
      <w:spacing w:after="57"/>
    </w:pPr>
  </w:style>
  <w:style w:type="paragraph" w:styleId="986">
    <w:name w:val="toc 9"/>
    <w:basedOn w:val="806"/>
    <w:next w:val="806"/>
    <w:uiPriority w:val="39"/>
    <w:unhideWhenUsed/>
    <w:pPr>
      <w:ind w:left="2268"/>
      <w:spacing w:after="57"/>
    </w:pPr>
  </w:style>
  <w:style w:type="paragraph" w:styleId="987">
    <w:name w:val="TOC Heading"/>
    <w:uiPriority w:val="39"/>
    <w:unhideWhenUsed/>
  </w:style>
  <w:style w:type="paragraph" w:styleId="988">
    <w:name w:val="table of figures"/>
    <w:basedOn w:val="806"/>
    <w:next w:val="806"/>
    <w:uiPriority w:val="99"/>
    <w:unhideWhenUsed/>
  </w:style>
  <w:style w:type="character" w:styleId="989" w:customStyle="1">
    <w:name w:val="Заголовок 1 Знак"/>
    <w:basedOn w:val="816"/>
    <w:link w:val="807"/>
    <w:uiPriority w:val="9"/>
    <w:rPr>
      <w:rFonts w:cs="Times New Roman" w:asciiTheme="majorHAnsi" w:hAnsiTheme="majorHAnsi" w:eastAsiaTheme="majorEastAsia"/>
      <w:color w:val="365f91" w:themeColor="accent1" w:themeShade="BF"/>
      <w:sz w:val="32"/>
      <w:szCs w:val="32"/>
      <w:lang w:eastAsia="ar-SA" w:bidi="ar-SA"/>
    </w:rPr>
  </w:style>
  <w:style w:type="character" w:styleId="990" w:customStyle="1">
    <w:name w:val="Заголовок 2 Знак"/>
    <w:basedOn w:val="816"/>
    <w:link w:val="808"/>
    <w:uiPriority w:val="9"/>
    <w:rPr>
      <w:rFonts w:cs="Times New Roman" w:asciiTheme="majorHAnsi" w:hAnsiTheme="majorHAnsi" w:eastAsiaTheme="majorEastAsia"/>
      <w:color w:val="365f91" w:themeColor="accent1" w:themeShade="BF"/>
      <w:sz w:val="26"/>
      <w:szCs w:val="26"/>
      <w:lang w:eastAsia="ar-SA" w:bidi="ar-SA"/>
    </w:rPr>
  </w:style>
  <w:style w:type="character" w:styleId="991" w:customStyle="1">
    <w:name w:val="Заголовок 3 Знак"/>
    <w:basedOn w:val="816"/>
    <w:link w:val="809"/>
    <w:uiPriority w:val="9"/>
    <w:semiHidden/>
    <w:rPr>
      <w:rFonts w:cs="Times New Roman" w:asciiTheme="majorHAnsi" w:hAnsiTheme="majorHAnsi" w:eastAsiaTheme="majorEastAsia"/>
      <w:b/>
      <w:bCs/>
      <w:color w:val="4f81bd" w:themeColor="accent1"/>
      <w:sz w:val="24"/>
      <w:szCs w:val="24"/>
      <w:lang w:eastAsia="ar-SA" w:bidi="ar-SA"/>
    </w:rPr>
  </w:style>
  <w:style w:type="character" w:styleId="992" w:customStyle="1">
    <w:name w:val="Заголовок 4 Знак"/>
    <w:basedOn w:val="816"/>
    <w:link w:val="810"/>
    <w:uiPriority w:val="9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993">
    <w:name w:val="Title"/>
    <w:basedOn w:val="806"/>
    <w:next w:val="995"/>
    <w:link w:val="994"/>
    <w:uiPriority w:val="99"/>
    <w:qFormat/>
    <w:pPr>
      <w:ind w:firstLine="567"/>
      <w:jc w:val="center"/>
      <w:spacing w:line="360" w:lineRule="auto"/>
    </w:pPr>
    <w:rPr>
      <w:b/>
      <w:bCs/>
      <w:sz w:val="22"/>
      <w:szCs w:val="22"/>
    </w:rPr>
  </w:style>
  <w:style w:type="character" w:styleId="994" w:customStyle="1">
    <w:name w:val="Название Знак"/>
    <w:basedOn w:val="816"/>
    <w:link w:val="993"/>
    <w:uiPriority w:val="10"/>
    <w:rPr>
      <w:rFonts w:ascii="Times New Roman" w:hAnsi="Times New Roman" w:cs="Times New Roman"/>
      <w:b/>
      <w:bCs/>
      <w:lang w:eastAsia="ar-SA" w:bidi="ar-SA"/>
    </w:rPr>
  </w:style>
  <w:style w:type="paragraph" w:styleId="995">
    <w:name w:val="Subtitle"/>
    <w:basedOn w:val="806"/>
    <w:next w:val="806"/>
    <w:link w:val="996"/>
    <w:uiPriority w:val="99"/>
    <w:qFormat/>
    <w:pPr>
      <w:numPr>
        <w:ilvl w:val="1"/>
      </w:numPr>
    </w:pPr>
    <w:rPr>
      <w:rFonts w:asciiTheme="majorHAnsi" w:hAnsiTheme="majorHAnsi" w:eastAsiaTheme="majorEastAsia"/>
      <w:i/>
      <w:iCs/>
      <w:color w:val="4f81bd" w:themeColor="accent1"/>
      <w:spacing w:val="15"/>
    </w:rPr>
  </w:style>
  <w:style w:type="character" w:styleId="996" w:customStyle="1">
    <w:name w:val="Подзаголовок Знак"/>
    <w:basedOn w:val="816"/>
    <w:link w:val="995"/>
    <w:uiPriority w:val="11"/>
    <w:rPr>
      <w:rFonts w:cs="Times New Roman" w:asciiTheme="majorHAnsi" w:hAnsiTheme="majorHAnsi" w:eastAsiaTheme="majorEastAsia"/>
      <w:i/>
      <w:iCs/>
      <w:color w:val="4f81bd" w:themeColor="accent1"/>
      <w:spacing w:val="15"/>
      <w:sz w:val="24"/>
      <w:szCs w:val="24"/>
      <w:lang w:eastAsia="ar-SA" w:bidi="ar-SA"/>
    </w:rPr>
  </w:style>
  <w:style w:type="paragraph" w:styleId="997" w:customStyle="1">
    <w:name w:val="Con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  <w:lang w:eastAsia="ru-RU"/>
    </w:rPr>
  </w:style>
  <w:style w:type="paragraph" w:styleId="998">
    <w:name w:val="List Paragraph"/>
    <w:basedOn w:val="806"/>
    <w:uiPriority w:val="34"/>
    <w:qFormat/>
    <w:pPr>
      <w:contextualSpacing/>
      <w:ind w:left="720"/>
    </w:pPr>
  </w:style>
  <w:style w:type="paragraph" w:styleId="999">
    <w:name w:val="Body Text Indent 3"/>
    <w:basedOn w:val="806"/>
    <w:link w:val="1000"/>
    <w:uiPriority w:val="99"/>
    <w:pPr>
      <w:ind w:left="283"/>
      <w:spacing w:after="120"/>
    </w:pPr>
    <w:rPr>
      <w:sz w:val="16"/>
      <w:szCs w:val="16"/>
    </w:rPr>
  </w:style>
  <w:style w:type="character" w:styleId="1000" w:customStyle="1">
    <w:name w:val="Основной текст с отступом 3 Знак"/>
    <w:basedOn w:val="816"/>
    <w:link w:val="999"/>
    <w:uiPriority w:val="99"/>
    <w:rPr>
      <w:rFonts w:ascii="Times New Roman" w:hAnsi="Times New Roman" w:cs="Times New Roman"/>
      <w:sz w:val="16"/>
      <w:szCs w:val="16"/>
      <w:lang w:eastAsia="ar-SA" w:bidi="ar-SA"/>
    </w:rPr>
  </w:style>
  <w:style w:type="table" w:styleId="1001">
    <w:name w:val="Table Grid"/>
    <w:basedOn w:val="817"/>
    <w:uiPriority w:val="59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2">
    <w:name w:val="Header"/>
    <w:basedOn w:val="806"/>
    <w:link w:val="10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3" w:customStyle="1">
    <w:name w:val="Верхний колонтитул Знак"/>
    <w:basedOn w:val="816"/>
    <w:link w:val="1002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1004">
    <w:name w:val="Footer"/>
    <w:basedOn w:val="806"/>
    <w:link w:val="10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5" w:customStyle="1">
    <w:name w:val="Нижний колонтитул Знак"/>
    <w:basedOn w:val="816"/>
    <w:link w:val="1004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1006">
    <w:name w:val="Balloon Text"/>
    <w:basedOn w:val="806"/>
    <w:link w:val="1007"/>
    <w:uiPriority w:val="99"/>
    <w:semiHidden/>
    <w:unhideWhenUsed/>
    <w:rPr>
      <w:rFonts w:ascii="Tahoma" w:hAnsi="Tahoma" w:cs="Tahoma"/>
      <w:sz w:val="16"/>
      <w:szCs w:val="16"/>
    </w:rPr>
  </w:style>
  <w:style w:type="character" w:styleId="1007" w:customStyle="1">
    <w:name w:val="Текст выноски Знак"/>
    <w:basedOn w:val="816"/>
    <w:link w:val="1006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character" w:styleId="1008">
    <w:name w:val="Hyperlink"/>
    <w:basedOn w:val="816"/>
    <w:uiPriority w:val="99"/>
    <w:unhideWhenUsed/>
    <w:rPr>
      <w:rFonts w:cs="Times New Roman"/>
      <w:color w:val="0000ff"/>
      <w:u w:val="single"/>
    </w:rPr>
  </w:style>
  <w:style w:type="paragraph" w:styleId="1009">
    <w:name w:val="Plain Text"/>
    <w:basedOn w:val="806"/>
    <w:link w:val="1010"/>
    <w:uiPriority w:val="99"/>
    <w:rPr>
      <w:rFonts w:ascii="Courier New" w:hAnsi="Courier New" w:cs="Courier New"/>
      <w:sz w:val="20"/>
      <w:szCs w:val="20"/>
      <w:lang w:eastAsia="ru-RU"/>
    </w:rPr>
  </w:style>
  <w:style w:type="character" w:styleId="1010" w:customStyle="1">
    <w:name w:val="Текст Знак"/>
    <w:basedOn w:val="816"/>
    <w:link w:val="1009"/>
    <w:uiPriority w:val="99"/>
    <w:rPr>
      <w:rFonts w:ascii="Courier New" w:hAnsi="Courier New" w:cs="Courier New"/>
      <w:sz w:val="20"/>
      <w:szCs w:val="20"/>
      <w:lang w:eastAsia="ru-RU"/>
    </w:rPr>
  </w:style>
  <w:style w:type="character" w:styleId="1011">
    <w:name w:val="FollowedHyperlink"/>
    <w:basedOn w:val="816"/>
    <w:uiPriority w:val="99"/>
    <w:semiHidden/>
    <w:unhideWhenUsed/>
    <w:rPr>
      <w:rFonts w:cs="Times New Roman"/>
      <w:color w:val="800080"/>
      <w:u w:val="single"/>
    </w:rPr>
  </w:style>
  <w:style w:type="paragraph" w:styleId="1012" w:customStyle="1">
    <w:name w:val="xl65"/>
    <w:basedOn w:val="806"/>
    <w:pPr>
      <w:spacing w:before="100" w:beforeAutospacing="1" w:after="100" w:afterAutospacing="1"/>
    </w:pPr>
    <w:rPr>
      <w:lang w:eastAsia="ru-RU"/>
    </w:rPr>
  </w:style>
  <w:style w:type="paragraph" w:styleId="1013" w:customStyle="1">
    <w:name w:val="xl66"/>
    <w:basedOn w:val="806"/>
    <w:pPr>
      <w:jc w:val="center"/>
      <w:spacing w:before="100" w:beforeAutospacing="1" w:after="100" w:afterAutospacing="1"/>
    </w:pPr>
    <w:rPr>
      <w:lang w:eastAsia="ru-RU"/>
    </w:rPr>
  </w:style>
  <w:style w:type="paragraph" w:styleId="1014" w:customStyle="1">
    <w:name w:val="xl67"/>
    <w:basedOn w:val="806"/>
    <w:pPr>
      <w:jc w:val="right"/>
      <w:spacing w:before="100" w:beforeAutospacing="1" w:after="100" w:afterAutospacing="1"/>
    </w:pPr>
    <w:rPr>
      <w:lang w:eastAsia="ru-RU"/>
    </w:rPr>
  </w:style>
  <w:style w:type="paragraph" w:styleId="1015" w:customStyle="1">
    <w:name w:val="xl68"/>
    <w:basedOn w:val="806"/>
    <w:pPr>
      <w:spacing w:before="100" w:beforeAutospacing="1" w:after="100" w:afterAutospacing="1"/>
    </w:pPr>
    <w:rPr>
      <w:lang w:eastAsia="ru-RU"/>
    </w:rPr>
  </w:style>
  <w:style w:type="paragraph" w:styleId="1016" w:customStyle="1">
    <w:name w:val="xl69"/>
    <w:basedOn w:val="806"/>
    <w:pPr>
      <w:jc w:val="center"/>
      <w:spacing w:before="100" w:beforeAutospacing="1" w:after="100" w:afterAutospacing="1"/>
    </w:pPr>
    <w:rPr>
      <w:lang w:eastAsia="ru-RU"/>
    </w:rPr>
  </w:style>
  <w:style w:type="paragraph" w:styleId="1017" w:customStyle="1">
    <w:name w:val="xl70"/>
    <w:basedOn w:val="806"/>
    <w:pPr>
      <w:jc w:val="center"/>
      <w:spacing w:before="100" w:beforeAutospacing="1" w:after="100" w:afterAutospacing="1"/>
    </w:pPr>
    <w:rPr>
      <w:lang w:eastAsia="ru-RU"/>
    </w:rPr>
  </w:style>
  <w:style w:type="paragraph" w:styleId="1018" w:customStyle="1">
    <w:name w:val="xl71"/>
    <w:basedOn w:val="806"/>
    <w:pPr>
      <w:spacing w:before="100" w:beforeAutospacing="1" w:after="100" w:afterAutospacing="1"/>
    </w:pPr>
    <w:rPr>
      <w:lang w:eastAsia="ru-RU"/>
    </w:rPr>
  </w:style>
  <w:style w:type="paragraph" w:styleId="1019" w:customStyle="1">
    <w:name w:val="xl72"/>
    <w:basedOn w:val="8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0" w:customStyle="1">
    <w:name w:val="xl73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1" w:customStyle="1">
    <w:name w:val="xl74"/>
    <w:basedOn w:val="8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2" w:customStyle="1">
    <w:name w:val="xl75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3" w:customStyle="1">
    <w:name w:val="xl76"/>
    <w:basedOn w:val="8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4" w:customStyle="1">
    <w:name w:val="xl77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5" w:customStyle="1">
    <w:name w:val="xl78"/>
    <w:basedOn w:val="80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6" w:customStyle="1">
    <w:name w:val="xl79"/>
    <w:basedOn w:val="8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7" w:customStyle="1">
    <w:name w:val="xl80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8" w:customStyle="1">
    <w:name w:val="xl81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9" w:customStyle="1">
    <w:name w:val="xl82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0" w:customStyle="1">
    <w:name w:val="xl83"/>
    <w:basedOn w:val="8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1" w:customStyle="1">
    <w:name w:val="xl84"/>
    <w:basedOn w:val="8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2" w:customStyle="1">
    <w:name w:val="xl85"/>
    <w:basedOn w:val="80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3" w:customStyle="1">
    <w:name w:val="xl86"/>
    <w:basedOn w:val="80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4" w:customStyle="1">
    <w:name w:val="xl87"/>
    <w:basedOn w:val="80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5" w:customStyle="1">
    <w:name w:val="xl88"/>
    <w:basedOn w:val="80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6" w:customStyle="1">
    <w:name w:val="xl89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7" w:customStyle="1">
    <w:name w:val="xl90"/>
    <w:basedOn w:val="80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8" w:customStyle="1">
    <w:name w:val="xl91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  <w:lang w:eastAsia="ru-RU"/>
    </w:rPr>
  </w:style>
  <w:style w:type="paragraph" w:styleId="1039" w:customStyle="1">
    <w:name w:val="xl92"/>
    <w:basedOn w:val="806"/>
    <w:pPr>
      <w:jc w:val="center"/>
      <w:spacing w:before="100" w:beforeAutospacing="1" w:after="100" w:afterAutospacing="1"/>
    </w:pPr>
    <w:rPr>
      <w:sz w:val="18"/>
      <w:szCs w:val="18"/>
      <w:lang w:eastAsia="ru-RU"/>
    </w:rPr>
  </w:style>
  <w:style w:type="paragraph" w:styleId="1040" w:customStyle="1">
    <w:name w:val="xl93"/>
    <w:basedOn w:val="806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styleId="1041" w:customStyle="1">
    <w:name w:val="xl94"/>
    <w:basedOn w:val="806"/>
    <w:pPr>
      <w:jc w:val="center"/>
      <w:spacing w:before="100" w:beforeAutospacing="1" w:after="100" w:afterAutospacing="1"/>
    </w:pPr>
    <w:rPr>
      <w:sz w:val="18"/>
      <w:szCs w:val="18"/>
      <w:lang w:eastAsia="ru-RU"/>
    </w:rPr>
  </w:style>
  <w:style w:type="paragraph" w:styleId="1042" w:customStyle="1">
    <w:name w:val="xl95"/>
    <w:basedOn w:val="806"/>
    <w:pPr>
      <w:jc w:val="right"/>
      <w:spacing w:before="100" w:beforeAutospacing="1" w:after="100" w:afterAutospacing="1"/>
    </w:pPr>
    <w:rPr>
      <w:sz w:val="18"/>
      <w:szCs w:val="18"/>
      <w:lang w:eastAsia="ru-RU"/>
    </w:rPr>
  </w:style>
  <w:style w:type="paragraph" w:styleId="1043" w:customStyle="1">
    <w:name w:val="xl96"/>
    <w:basedOn w:val="806"/>
    <w:pPr>
      <w:jc w:val="center"/>
      <w:spacing w:before="100" w:beforeAutospacing="1" w:after="100" w:afterAutospacing="1"/>
    </w:pPr>
    <w:rPr>
      <w:sz w:val="18"/>
      <w:szCs w:val="18"/>
      <w:lang w:eastAsia="ru-RU"/>
    </w:rPr>
  </w:style>
  <w:style w:type="paragraph" w:styleId="1044" w:customStyle="1">
    <w:name w:val="xl97"/>
    <w:basedOn w:val="806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styleId="1045" w:customStyle="1">
    <w:name w:val="Обычный1"/>
    <w:pPr>
      <w:spacing w:after="0" w:line="240" w:lineRule="auto"/>
      <w:widowControl w:val="off"/>
    </w:pPr>
    <w:rPr>
      <w:rFonts w:ascii="Times New Roman" w:hAnsi="Times New Roman" w:cs="Times New Roman"/>
      <w:sz w:val="20"/>
      <w:szCs w:val="20"/>
      <w:lang w:eastAsia="ru-RU"/>
    </w:rPr>
  </w:style>
  <w:style w:type="paragraph" w:styleId="1046" w:customStyle="1">
    <w:name w:val="Oaaeeoa"/>
    <w:basedOn w:val="806"/>
    <w:uiPriority w:val="99"/>
    <w:pPr>
      <w:spacing w:before="60" w:after="60"/>
    </w:pPr>
    <w:rPr>
      <w:rFonts w:ascii="Arial" w:hAnsi="Arial"/>
      <w:sz w:val="22"/>
      <w:szCs w:val="20"/>
      <w:lang w:eastAsia="ru-RU"/>
    </w:rPr>
  </w:style>
  <w:style w:type="table" w:styleId="1047" w:customStyle="1">
    <w:name w:val="Сетка таблицы1"/>
    <w:basedOn w:val="817"/>
    <w:next w:val="1001"/>
    <w:uiPriority w:val="59"/>
    <w:pPr>
      <w:spacing w:after="0" w:line="240" w:lineRule="auto"/>
    </w:pPr>
    <w:rPr>
      <w:rFonts w:cs="Times New Roman"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8" w:customStyle="1">
    <w:name w:val="Standard"/>
    <w:rPr>
      <w:rFonts w:ascii="Calibri" w:hAnsi="Calibri" w:cs="Tahoma"/>
    </w:rPr>
  </w:style>
  <w:style w:type="character" w:styleId="1049" w:customStyle="1">
    <w:name w:val="wmi-callto"/>
    <w:basedOn w:val="816"/>
    <w:rPr>
      <w:rFonts w:cs="Times New Roman"/>
    </w:rPr>
  </w:style>
  <w:style w:type="paragraph" w:styleId="1050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  <w:lang w:eastAsia="ru-RU"/>
    </w:rPr>
  </w:style>
  <w:style w:type="character" w:styleId="1051" w:customStyle="1">
    <w:name w:val="Body text (2)_"/>
    <w:basedOn w:val="816"/>
    <w:link w:val="1055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styleId="1052" w:customStyle="1">
    <w:name w:val="Body text (2) + 9.5 pt"/>
    <w:basedOn w:val="1051"/>
    <w:rPr>
      <w:rFonts w:ascii="Calibri" w:hAnsi="Calibri" w:cs="Calibri"/>
      <w:b/>
      <w:bCs/>
      <w:color w:val="000000"/>
      <w:spacing w:val="0"/>
      <w:position w:val="0"/>
      <w:sz w:val="19"/>
      <w:szCs w:val="19"/>
      <w:shd w:val="clear" w:color="auto" w:fill="ffffff"/>
      <w:lang w:val="ru-RU" w:eastAsia="ru-RU"/>
    </w:rPr>
  </w:style>
  <w:style w:type="character" w:styleId="1053" w:customStyle="1">
    <w:name w:val="Body text (2) + 9.5 pt1"/>
    <w:basedOn w:val="1051"/>
    <w:rPr>
      <w:rFonts w:ascii="Calibri" w:hAnsi="Calibri" w:cs="Calibri"/>
      <w:b/>
      <w:bCs/>
      <w:color w:val="000000"/>
      <w:spacing w:val="0"/>
      <w:position w:val="0"/>
      <w:sz w:val="19"/>
      <w:szCs w:val="19"/>
      <w:shd w:val="clear" w:color="auto" w:fill="ffffff"/>
      <w:lang w:val="en-US" w:eastAsia="en-US"/>
    </w:rPr>
  </w:style>
  <w:style w:type="character" w:styleId="1054" w:customStyle="1">
    <w:name w:val="Body text (2) + 11 pt"/>
    <w:basedOn w:val="1051"/>
    <w:rPr>
      <w:rFonts w:ascii="Calibri" w:hAnsi="Calibri" w:cs="Calibri"/>
      <w:b/>
      <w:bCs/>
      <w:color w:val="000000"/>
      <w:spacing w:val="0"/>
      <w:position w:val="0"/>
      <w:sz w:val="22"/>
      <w:szCs w:val="22"/>
      <w:shd w:val="clear" w:color="auto" w:fill="ffffff"/>
      <w:lang w:val="en-US" w:eastAsia="en-US"/>
    </w:rPr>
  </w:style>
  <w:style w:type="paragraph" w:styleId="1055" w:customStyle="1">
    <w:name w:val="Body text (2)"/>
    <w:basedOn w:val="806"/>
    <w:link w:val="1051"/>
    <w:pPr>
      <w:jc w:val="both"/>
      <w:spacing w:after="600" w:line="240" w:lineRule="atLeast"/>
      <w:shd w:val="clear" w:color="auto" w:fill="ffffff"/>
      <w:widowControl w:val="off"/>
    </w:pPr>
    <w:rPr>
      <w:rFonts w:ascii="Calibri" w:hAnsi="Calibri" w:cs="Calibri"/>
      <w:b/>
      <w:bCs/>
      <w:sz w:val="21"/>
      <w:szCs w:val="21"/>
      <w:lang w:eastAsia="en-US"/>
    </w:rPr>
  </w:style>
  <w:style w:type="paragraph" w:styleId="1056">
    <w:name w:val="No Spacing"/>
    <w:uiPriority w:val="1"/>
    <w:qFormat/>
    <w:pPr>
      <w:spacing w:after="0" w:line="240" w:lineRule="auto"/>
      <w:widowControl w:val="off"/>
    </w:pPr>
    <w:rPr>
      <w:rFonts w:ascii="Nimbus Roman No9 L" w:hAnsi="Nimbus Roman No9 L" w:cs="Times New Roman"/>
      <w:sz w:val="24"/>
      <w:szCs w:val="24"/>
    </w:rPr>
  </w:style>
  <w:style w:type="paragraph" w:styleId="1057">
    <w:name w:val="Body Text Indent"/>
    <w:basedOn w:val="806"/>
    <w:link w:val="1058"/>
    <w:uiPriority w:val="99"/>
    <w:semiHidden/>
    <w:unhideWhenUsed/>
    <w:pPr>
      <w:ind w:left="283"/>
      <w:spacing w:after="120"/>
    </w:pPr>
  </w:style>
  <w:style w:type="character" w:styleId="1058" w:customStyle="1">
    <w:name w:val="Основной текст с отступом Знак"/>
    <w:basedOn w:val="816"/>
    <w:link w:val="1057"/>
    <w:uiPriority w:val="99"/>
    <w:semiHidden/>
    <w:rPr>
      <w:rFonts w:ascii="Times New Roman" w:hAnsi="Times New Roman" w:cs="Times New Roman"/>
      <w:sz w:val="24"/>
      <w:szCs w:val="24"/>
      <w:lang w:eastAsia="ar-SA" w:bidi="ar-SA"/>
    </w:rPr>
  </w:style>
  <w:style w:type="paragraph" w:styleId="1059">
    <w:name w:val="Normal (Web)"/>
    <w:basedOn w:val="806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styleId="1060" w:customStyle="1">
    <w:name w:val="Знак"/>
    <w:basedOn w:val="806"/>
    <w:pPr>
      <w:spacing w:after="160" w:line="240" w:lineRule="exact"/>
    </w:pPr>
    <w:rPr>
      <w:rFonts w:ascii="Verdana" w:hAnsi="Verdana"/>
      <w:lang w:val="en-US" w:eastAsia="en-US"/>
    </w:rPr>
  </w:style>
  <w:style w:type="character" w:styleId="1061" w:customStyle="1">
    <w:name w:val="Основной текст (3)_"/>
    <w:basedOn w:val="816"/>
    <w:rPr>
      <w:rFonts w:ascii="Times New Roman" w:hAnsi="Times New Roman" w:cs="Times New Roman"/>
      <w:b/>
      <w:bCs/>
      <w:sz w:val="30"/>
      <w:szCs w:val="30"/>
      <w:u w:val="none"/>
    </w:rPr>
  </w:style>
  <w:style w:type="character" w:styleId="1062" w:customStyle="1">
    <w:name w:val="Основной текст (3) + 16 pt"/>
    <w:basedOn w:val="1061"/>
    <w:rPr>
      <w:rFonts w:ascii="Times New Roman" w:hAnsi="Times New Roman" w:cs="Times New Roman"/>
      <w:b/>
      <w:bCs/>
      <w:color w:val="000000"/>
      <w:spacing w:val="0"/>
      <w:position w:val="0"/>
      <w:sz w:val="32"/>
      <w:szCs w:val="32"/>
      <w:u w:val="none"/>
      <w:lang w:val="ru-RU" w:eastAsia="ru-RU"/>
    </w:rPr>
  </w:style>
  <w:style w:type="character" w:styleId="1063" w:customStyle="1">
    <w:name w:val="Основной текст (3)"/>
    <w:basedOn w:val="1061"/>
    <w:rPr>
      <w:rFonts w:ascii="Times New Roman" w:hAnsi="Times New Roman" w:cs="Times New Roman"/>
      <w:b/>
      <w:bCs/>
      <w:color w:val="000000"/>
      <w:spacing w:val="0"/>
      <w:position w:val="0"/>
      <w:sz w:val="30"/>
      <w:szCs w:val="30"/>
      <w:u w:val="single"/>
      <w:lang w:val="ru-RU" w:eastAsia="ru-RU"/>
    </w:rPr>
  </w:style>
  <w:style w:type="character" w:styleId="1064" w:customStyle="1">
    <w:name w:val="Основной текст (2)_"/>
    <w:basedOn w:val="816"/>
    <w:link w:val="1067"/>
    <w:rPr>
      <w:rFonts w:ascii="Times New Roman" w:hAnsi="Times New Roman" w:cs="Times New Roman"/>
      <w:sz w:val="32"/>
      <w:szCs w:val="32"/>
      <w:shd w:val="clear" w:color="auto" w:fill="ffffff"/>
    </w:rPr>
  </w:style>
  <w:style w:type="character" w:styleId="1065" w:customStyle="1">
    <w:name w:val="Основной текст (2) + 15 pt"/>
    <w:basedOn w:val="1064"/>
    <w:rPr>
      <w:rFonts w:ascii="Times New Roman" w:hAnsi="Times New Roman" w:cs="Times New Roman"/>
      <w:b/>
      <w:bCs/>
      <w:color w:val="000000"/>
      <w:spacing w:val="0"/>
      <w:position w:val="0"/>
      <w:sz w:val="30"/>
      <w:szCs w:val="30"/>
      <w:shd w:val="clear" w:color="auto" w:fill="ffffff"/>
      <w:lang w:val="ru-RU" w:eastAsia="ru-RU"/>
    </w:rPr>
  </w:style>
  <w:style w:type="character" w:styleId="1066" w:customStyle="1">
    <w:name w:val="Основной текст (2) + 14 pt"/>
    <w:basedOn w:val="1064"/>
    <w:rPr>
      <w:rFonts w:ascii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/>
    </w:rPr>
  </w:style>
  <w:style w:type="paragraph" w:styleId="1067" w:customStyle="1">
    <w:name w:val="Основной текст (2)"/>
    <w:basedOn w:val="806"/>
    <w:link w:val="1064"/>
    <w:pPr>
      <w:spacing w:before="480" w:after="660" w:line="360" w:lineRule="exact"/>
      <w:shd w:val="clear" w:color="auto" w:fill="ffffff"/>
      <w:widowControl w:val="off"/>
    </w:pPr>
    <w:rPr>
      <w:sz w:val="32"/>
      <w:szCs w:val="32"/>
      <w:lang w:eastAsia="en-US"/>
    </w:rPr>
  </w:style>
  <w:style w:type="character" w:styleId="1068">
    <w:name w:val="Strong"/>
    <w:basedOn w:val="816"/>
    <w:uiPriority w:val="22"/>
    <w:qFormat/>
    <w:rPr>
      <w:rFonts w:cs="Times New Roman"/>
      <w:b/>
      <w:bCs/>
    </w:rPr>
  </w:style>
  <w:style w:type="character" w:styleId="1069" w:customStyle="1">
    <w:name w:val="Основной текст_"/>
    <w:basedOn w:val="816"/>
    <w:link w:val="107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styleId="1070" w:customStyle="1">
    <w:name w:val="Основной текст + 10"/>
    <w:basedOn w:val="1069"/>
    <w:rPr>
      <w:rFonts w:ascii="Times New Roman" w:hAnsi="Times New Roman" w:cs="Times New Roman"/>
      <w:b/>
      <w:bCs/>
      <w:color w:val="000000"/>
      <w:spacing w:val="10"/>
      <w:position w:val="0"/>
      <w:sz w:val="21"/>
      <w:szCs w:val="21"/>
      <w:shd w:val="clear" w:color="auto" w:fill="ffffff"/>
      <w:lang w:val="ru-RU"/>
    </w:rPr>
  </w:style>
  <w:style w:type="paragraph" w:styleId="1071" w:customStyle="1">
    <w:name w:val="Основной текст1"/>
    <w:basedOn w:val="806"/>
    <w:link w:val="1069"/>
    <w:pPr>
      <w:shd w:val="clear" w:color="auto" w:fill="ffffff"/>
      <w:widowControl w:val="off"/>
    </w:pPr>
    <w:rPr>
      <w:sz w:val="20"/>
      <w:szCs w:val="20"/>
      <w:lang w:eastAsia="en-US"/>
    </w:rPr>
  </w:style>
  <w:style w:type="paragraph" w:styleId="1072" w:customStyle="1">
    <w:name w:val="msolistparagraph"/>
    <w:basedOn w:val="1027"/>
    <w:pPr>
      <w:ind w:left="720"/>
      <w:spacing w:before="0" w:beforeAutospacing="0" w:after="0" w:afterAutospacing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1073" w:customStyle="1">
    <w:name w:val="микротекст"/>
    <w:qFormat/>
    <w:pPr>
      <w:jc w:val="both"/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NTHelvetica/Cyrillic" w:hAnsi="NTHelvetica/Cyrillic" w:cs="Times New Roman"/>
      <w:sz w:val="20"/>
      <w:szCs w:val="20"/>
      <w:lang w:eastAsia="ru-RU"/>
    </w:rPr>
  </w:style>
  <w:style w:type="paragraph" w:styleId="1074">
    <w:name w:val="HTML Preformatted"/>
    <w:basedOn w:val="806"/>
    <w:link w:val="1075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  <w:lang w:eastAsia="ru-RU"/>
    </w:rPr>
  </w:style>
  <w:style w:type="character" w:styleId="1075" w:customStyle="1">
    <w:name w:val="Стандартный HTML Знак"/>
    <w:basedOn w:val="816"/>
    <w:link w:val="1074"/>
    <w:rPr>
      <w:rFonts w:ascii="Courier New" w:hAnsi="Courier New" w:eastAsia="Courier New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consultantplus://offline/ref=C36B03DBA536EA525D662381ACE9C394D57D9026D42F5DE9B445103EA5DDE2H" TargetMode="External"/><Relationship Id="rId17" Type="http://schemas.openxmlformats.org/officeDocument/2006/relationships/hyperlink" Target="mailto:cs@dg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C12C-E1FC-4F50-B64A-5D5D8B8C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osipovaev@dgz.ru</cp:lastModifiedBy>
  <cp:revision>38</cp:revision>
  <dcterms:created xsi:type="dcterms:W3CDTF">2025-03-31T21:27:00Z</dcterms:created>
  <dcterms:modified xsi:type="dcterms:W3CDTF">2026-07-07T11:54:19Z</dcterms:modified>
</cp:coreProperties>
</file>