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п. 4 ч. 1 ст. 93 </w:t>
      </w:r>
      <w:r>
        <w:rPr>
          <w:rFonts w:eastAsia="Times New Roman" w:cs="Times New Roman"/>
          <w:color w:val="auto"/>
          <w:kern w:val="0"/>
          <w:sz w:val="20"/>
          <w:szCs w:val="20"/>
          <w:lang w:val="ru-RU" w:eastAsia="ru-RU" w:bidi="ar-SA"/>
        </w:rPr>
        <w:t>Федерального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w:t>
      </w:r>
      <w:r>
        <w:rPr>
          <w:rFonts w:eastAsia="Times New Roman" w:cs="Times New Roman"/>
          <w:color w:val="auto"/>
          <w:kern w:val="0"/>
          <w:sz w:val="20"/>
          <w:szCs w:val="20"/>
          <w:lang w:val="ru-RU" w:eastAsia="ru-RU" w:bidi="ar-SA"/>
        </w:rPr>
        <w:t xml:space="preserve">вар: </w:t>
      </w:r>
      <w:r>
        <w:rPr>
          <w:rFonts w:eastAsia="Times New Roman" w:cs="Times New Roman"/>
          <w:b/>
          <w:bCs/>
          <w:color w:val="auto"/>
          <w:kern w:val="0"/>
          <w:sz w:val="20"/>
          <w:szCs w:val="20"/>
          <w:lang w:val="ru-RU" w:eastAsia="ru-RU" w:bidi="ar-SA"/>
        </w:rPr>
        <w:t>расходные материалы для стенда циклостойкости AWT-2000</w:t>
      </w:r>
      <w:r>
        <w:rPr>
          <w:rFonts w:eastAsia="Times New Roman" w:cs="Times New Roman"/>
          <w:color w:val="auto"/>
          <w:kern w:val="0"/>
          <w:sz w:val="20"/>
          <w:szCs w:val="20"/>
          <w:lang w:val="ru-RU" w:eastAsia="ru-RU" w:bidi="ar-SA"/>
        </w:rPr>
        <w:t xml:space="preserve"> и передать его Заказчику, а Заказчик по настоящему Контракту обязуется принять и оплатить поставленную Поставщиком продукцию (далее – Товар). Наименование и количество Товара устанавливается настоящим Контрактом 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w:t>
      </w:r>
      <w:r>
        <w:rPr>
          <w:rFonts w:eastAsia="Times New Roman" w:cs="Times New Roman"/>
          <w:bCs/>
          <w:color w:val="auto"/>
          <w:kern w:val="0"/>
          <w:sz w:val="20"/>
          <w:szCs w:val="20"/>
          <w:lang w:val="ru-RU" w:eastAsia="ru-RU" w:bidi="ar-SA"/>
        </w:rPr>
        <w:t>а осуществляется в течении 60 рабочих дней с момента заключения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Гарантийный срок — не менее </w:t>
      </w:r>
      <w:r>
        <w:rPr/>
        <w:t>4</w:t>
      </w:r>
      <w:r>
        <w:rPr/>
        <w:t xml:space="preserve"> месяцев с момента подписания документов о приемке Сторонами</w:t>
      </w:r>
      <w:bookmarkStart w:id="5" w:name="_Hlk177570061"/>
      <w:r>
        <w:rPr/>
        <w:t>.</w:t>
      </w:r>
      <w:bookmarkEnd w:id="5"/>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rPr>
        <w:t>15</w:t>
      </w:r>
      <w:r>
        <w:rPr>
          <w:rFonts w:ascii="Times New Roman" w:hAnsi="Times New Roman"/>
          <w:sz w:val="20"/>
          <w:szCs w:val="20"/>
        </w:rPr>
        <w:t>.1</w:t>
      </w:r>
      <w:r>
        <w:rPr>
          <w:rFonts w:ascii="Times New Roman" w:hAnsi="Times New Roman"/>
          <w:sz w:val="20"/>
          <w:szCs w:val="20"/>
        </w:rPr>
        <w:t>2</w:t>
      </w:r>
      <w:r>
        <w:rPr>
          <w:rFonts w:ascii="Times New Roman" w:hAnsi="Times New Roman"/>
          <w:sz w:val="20"/>
          <w:szCs w:val="20"/>
        </w:rPr>
        <w:t>.2026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5"/>
        <w:gridCol w:w="4821"/>
      </w:tblGrid>
      <w:tr>
        <w:trPr>
          <w:trHeight w:val="7632" w:hRule="atLeast"/>
        </w:trPr>
        <w:tc>
          <w:tcPr>
            <w:tcW w:w="5635"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1"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5000" w:type="pct"/>
        <w:jc w:val="start"/>
        <w:tblInd w:w="0" w:type="dxa"/>
        <w:tblLayout w:type="fixed"/>
        <w:tblCellMar>
          <w:top w:w="0" w:type="dxa"/>
          <w:start w:w="0" w:type="dxa"/>
          <w:bottom w:w="0" w:type="dxa"/>
          <w:end w:w="0" w:type="dxa"/>
        </w:tblCellMar>
      </w:tblPr>
      <w:tblGrid>
        <w:gridCol w:w="789"/>
        <w:gridCol w:w="5961"/>
        <w:gridCol w:w="1529"/>
        <w:gridCol w:w="1301"/>
        <w:gridCol w:w="1309"/>
        <w:gridCol w:w="1410"/>
        <w:gridCol w:w="1420"/>
        <w:gridCol w:w="1679"/>
      </w:tblGrid>
      <w:tr>
        <w:trPr/>
        <w:tc>
          <w:tcPr>
            <w:tcW w:w="789" w:type="dxa"/>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961" w:type="dxa"/>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529" w:type="dxa"/>
            <w:tcBorders/>
          </w:tcPr>
          <w:p>
            <w:pPr>
              <w:pStyle w:val="Normal"/>
              <w:widowControl w:val="false"/>
              <w:bidi w:val="0"/>
              <w:spacing w:before="0" w:after="0"/>
              <w:ind w:hanging="0" w:start="0" w:end="0"/>
              <w:jc w:val="center"/>
              <w:rPr/>
            </w:pPr>
            <w:r>
              <w:rPr/>
              <w:t>Страна происхождения товара</w:t>
            </w:r>
          </w:p>
        </w:tc>
        <w:tc>
          <w:tcPr>
            <w:tcW w:w="1301" w:type="dxa"/>
            <w:tcBorders/>
          </w:tcPr>
          <w:p>
            <w:pPr>
              <w:pStyle w:val="Normal"/>
              <w:widowControl w:val="false"/>
              <w:bidi w:val="0"/>
              <w:spacing w:before="0" w:after="0"/>
              <w:ind w:hanging="0" w:start="57" w:end="0"/>
              <w:jc w:val="center"/>
              <w:rPr/>
            </w:pPr>
            <w:r>
              <w:rPr/>
              <w:t>Кол-во</w:t>
            </w:r>
          </w:p>
        </w:tc>
        <w:tc>
          <w:tcPr>
            <w:tcW w:w="1309" w:type="dxa"/>
            <w:tcBorders/>
          </w:tcPr>
          <w:p>
            <w:pPr>
              <w:pStyle w:val="Normal"/>
              <w:widowControl w:val="false"/>
              <w:bidi w:val="0"/>
              <w:spacing w:before="0" w:after="0"/>
              <w:ind w:hanging="0" w:start="0" w:end="0"/>
              <w:jc w:val="center"/>
              <w:rPr/>
            </w:pPr>
            <w:r>
              <w:rPr/>
              <w:t>Ед. изм.</w:t>
            </w:r>
          </w:p>
        </w:tc>
        <w:tc>
          <w:tcPr>
            <w:tcW w:w="1410" w:type="dxa"/>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420" w:type="dxa"/>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79" w:type="dxa"/>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789" w:type="dxa"/>
            <w:tcBorders/>
          </w:tcPr>
          <w:p>
            <w:pPr>
              <w:pStyle w:val="Normal"/>
              <w:bidi w:val="0"/>
              <w:spacing w:before="0" w:after="0"/>
              <w:ind w:hanging="0" w:start="170" w:end="0"/>
              <w:jc w:val="start"/>
              <w:rPr/>
            </w:pPr>
            <w:r>
              <w:rPr/>
              <w:t>1</w:t>
            </w:r>
          </w:p>
        </w:tc>
        <w:tc>
          <w:tcPr>
            <w:tcW w:w="5961" w:type="dxa"/>
            <w:tcBorders/>
          </w:tcPr>
          <w:p>
            <w:pPr>
              <w:pStyle w:val="Normal"/>
              <w:jc w:val="start"/>
              <w:rPr>
                <w:b/>
                <w:bCs/>
                <w:sz w:val="22"/>
                <w:szCs w:val="22"/>
                <w:highlight w:val="none"/>
                <w:shd w:fill="auto" w:val="clear"/>
              </w:rPr>
            </w:pPr>
            <w:r>
              <w:rPr>
                <w:b/>
                <w:bCs/>
                <w:sz w:val="22"/>
                <w:szCs w:val="22"/>
                <w:shd w:fill="auto" w:val="clear"/>
              </w:rPr>
              <w:t>П</w:t>
            </w:r>
            <w:r>
              <w:rPr>
                <w:b/>
                <w:bCs/>
                <w:sz w:val="22"/>
                <w:szCs w:val="22"/>
                <w:shd w:fill="auto" w:val="clear"/>
              </w:rPr>
              <w:t>лощадка для соединения мотора с мембраной мотора, металлическая</w:t>
            </w:r>
          </w:p>
          <w:p>
            <w:pPr>
              <w:pStyle w:val="Normal"/>
              <w:jc w:val="start"/>
              <w:rPr/>
            </w:pPr>
            <w:r>
              <w:rPr>
                <w:sz w:val="22"/>
                <w:szCs w:val="22"/>
              </w:rPr>
              <w:t>М</w:t>
            </w:r>
            <w:r>
              <w:rPr>
                <w:sz w:val="22"/>
                <w:szCs w:val="22"/>
              </w:rPr>
              <w:t>атериал: нержавеющая сталь AISI 304/316</w:t>
            </w:r>
          </w:p>
          <w:p>
            <w:pPr>
              <w:pStyle w:val="Normal"/>
              <w:jc w:val="start"/>
              <w:rPr/>
            </w:pPr>
            <w:r>
              <w:rPr>
                <w:sz w:val="22"/>
                <w:szCs w:val="22"/>
              </w:rPr>
              <w:t>Точность обработки ±0,05 мм,</w:t>
            </w:r>
          </w:p>
          <w:p>
            <w:pPr>
              <w:pStyle w:val="Normal"/>
              <w:jc w:val="start"/>
              <w:rPr/>
            </w:pPr>
            <w:r>
              <w:rPr>
                <w:sz w:val="22"/>
                <w:szCs w:val="22"/>
              </w:rPr>
              <w:t>Количество отверстий для монтажа: 3</w:t>
            </w:r>
          </w:p>
          <w:p>
            <w:pPr>
              <w:pStyle w:val="Normal"/>
              <w:jc w:val="start"/>
              <w:rPr/>
            </w:pPr>
            <w:r>
              <w:rPr/>
              <w:t>Устойчивость к коррозии: да</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шт</w:t>
            </w:r>
          </w:p>
        </w:tc>
        <w:tc>
          <w:tcPr>
            <w:tcW w:w="1309" w:type="dxa"/>
            <w:tcBorders/>
          </w:tcPr>
          <w:p>
            <w:pPr>
              <w:pStyle w:val="Normal"/>
              <w:bidi w:val="0"/>
              <w:spacing w:before="0" w:after="0"/>
              <w:ind w:hanging="0" w:start="0" w:end="0"/>
              <w:jc w:val="center"/>
              <w:rPr/>
            </w:pPr>
            <w:r>
              <w:rPr/>
              <w:t>1</w:t>
            </w:r>
            <w:r>
              <w:rPr/>
              <w:t>2</w:t>
            </w:r>
          </w:p>
        </w:tc>
        <w:tc>
          <w:tcPr>
            <w:tcW w:w="1410" w:type="dxa"/>
            <w:tcBorders/>
          </w:tcPr>
          <w:p>
            <w:pPr>
              <w:pStyle w:val="Normal"/>
              <w:bidi w:val="0"/>
              <w:spacing w:before="0" w:after="0"/>
              <w:ind w:hanging="0" w:start="0" w:end="0"/>
              <w:jc w:val="center"/>
              <w:rPr/>
            </w:pPr>
            <w:r>
              <w:rPr/>
            </w:r>
          </w:p>
        </w:tc>
        <w:tc>
          <w:tcPr>
            <w:tcW w:w="1420" w:type="dxa"/>
            <w:tcBorders/>
          </w:tcPr>
          <w:p>
            <w:pPr>
              <w:pStyle w:val="Normal"/>
              <w:bidi w:val="0"/>
              <w:spacing w:lineRule="atLeast" w:line="57" w:before="0" w:after="0"/>
              <w:ind w:hanging="0" w:start="0" w:end="0"/>
              <w:jc w:val="center"/>
              <w:rPr>
                <w:highlight w:val="yellow"/>
              </w:rPr>
            </w:pPr>
            <w:r>
              <w:rPr>
                <w:highlight w:val="yellow"/>
              </w:rPr>
            </w:r>
          </w:p>
        </w:tc>
        <w:tc>
          <w:tcPr>
            <w:tcW w:w="1679" w:type="dxa"/>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789" w:type="dxa"/>
            <w:tcBorders/>
          </w:tcPr>
          <w:p>
            <w:pPr>
              <w:pStyle w:val="Normal"/>
              <w:bidi w:val="0"/>
              <w:spacing w:before="0" w:after="0"/>
              <w:ind w:hanging="0" w:start="170" w:end="0"/>
              <w:jc w:val="start"/>
              <w:rPr/>
            </w:pPr>
            <w:r>
              <w:rPr/>
              <w:t>2</w:t>
            </w:r>
          </w:p>
        </w:tc>
        <w:tc>
          <w:tcPr>
            <w:tcW w:w="5961" w:type="dxa"/>
            <w:tcBorders/>
          </w:tcPr>
          <w:p>
            <w:pPr>
              <w:pStyle w:val="Normal"/>
              <w:rPr>
                <w:b/>
                <w:bCs/>
                <w:sz w:val="22"/>
                <w:szCs w:val="22"/>
                <w:highlight w:val="none"/>
                <w:shd w:fill="auto" w:val="clear"/>
              </w:rPr>
            </w:pPr>
            <w:r>
              <w:rPr>
                <w:b/>
                <w:bCs/>
                <w:sz w:val="22"/>
                <w:szCs w:val="22"/>
                <w:shd w:fill="auto" w:val="clear"/>
              </w:rPr>
              <w:t>Клипса с микрорегулировкой для присоединения блоков</w:t>
            </w:r>
          </w:p>
          <w:p>
            <w:pPr>
              <w:pStyle w:val="Normal"/>
              <w:rPr>
                <w:b w:val="false"/>
                <w:bCs w:val="false"/>
                <w:sz w:val="22"/>
                <w:szCs w:val="22"/>
                <w:highlight w:val="none"/>
                <w:shd w:fill="auto" w:val="clear"/>
              </w:rPr>
            </w:pPr>
            <w:r>
              <w:rPr>
                <w:b w:val="false"/>
                <w:bCs w:val="false"/>
                <w:sz w:val="22"/>
                <w:szCs w:val="22"/>
                <w:shd w:fill="auto" w:val="clear"/>
              </w:rPr>
              <w:t>Механизм микроподачи,</w:t>
            </w:r>
          </w:p>
          <w:p>
            <w:pPr>
              <w:pStyle w:val="Normal"/>
              <w:rPr>
                <w:sz w:val="22"/>
                <w:szCs w:val="22"/>
              </w:rPr>
            </w:pPr>
            <w:r>
              <w:rPr>
                <w:sz w:val="22"/>
                <w:szCs w:val="22"/>
              </w:rPr>
              <w:t>Шаг регулировки ≤0,5 мм,</w:t>
            </w:r>
          </w:p>
          <w:p>
            <w:pPr>
              <w:pStyle w:val="Normal"/>
              <w:rPr>
                <w:sz w:val="22"/>
                <w:szCs w:val="22"/>
              </w:rPr>
            </w:pPr>
            <w:r>
              <w:rPr>
                <w:sz w:val="22"/>
                <w:szCs w:val="22"/>
              </w:rPr>
              <w:t>Фиксация без люфта: да</w:t>
            </w:r>
          </w:p>
          <w:p>
            <w:pPr>
              <w:pStyle w:val="Normal"/>
              <w:rPr>
                <w:sz w:val="22"/>
                <w:szCs w:val="22"/>
              </w:rPr>
            </w:pPr>
            <w:r>
              <w:rPr>
                <w:sz w:val="22"/>
                <w:szCs w:val="22"/>
              </w:rPr>
              <w:t>Материал: нержавеющая сталь/алюминиевый сплав</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шт</w:t>
            </w:r>
          </w:p>
        </w:tc>
        <w:tc>
          <w:tcPr>
            <w:tcW w:w="1309" w:type="dxa"/>
            <w:tcBorders/>
          </w:tcPr>
          <w:p>
            <w:pPr>
              <w:pStyle w:val="Normal"/>
              <w:bidi w:val="0"/>
              <w:spacing w:before="0" w:after="0"/>
              <w:ind w:hanging="0" w:start="0" w:end="0"/>
              <w:jc w:val="center"/>
              <w:rPr/>
            </w:pPr>
            <w:r>
              <w:rPr/>
              <w:t>4</w:t>
            </w:r>
          </w:p>
        </w:tc>
        <w:tc>
          <w:tcPr>
            <w:tcW w:w="1410" w:type="dxa"/>
            <w:tcBorders/>
          </w:tcPr>
          <w:p>
            <w:pPr>
              <w:pStyle w:val="user6"/>
              <w:rPr/>
            </w:pPr>
            <w:r>
              <w:rPr/>
            </w:r>
          </w:p>
        </w:tc>
        <w:tc>
          <w:tcPr>
            <w:tcW w:w="1420" w:type="dxa"/>
            <w:tcBorders/>
          </w:tcPr>
          <w:p>
            <w:pPr>
              <w:pStyle w:val="user6"/>
              <w:rPr/>
            </w:pPr>
            <w:r>
              <w:rPr/>
            </w:r>
          </w:p>
        </w:tc>
        <w:tc>
          <w:tcPr>
            <w:tcW w:w="1679" w:type="dxa"/>
            <w:tcBorders/>
          </w:tcPr>
          <w:p>
            <w:pPr>
              <w:pStyle w:val="user6"/>
              <w:rPr/>
            </w:pPr>
            <w:r>
              <w:rPr/>
            </w:r>
          </w:p>
        </w:tc>
      </w:tr>
      <w:tr>
        <w:trPr/>
        <w:tc>
          <w:tcPr>
            <w:tcW w:w="789" w:type="dxa"/>
            <w:tcBorders/>
          </w:tcPr>
          <w:p>
            <w:pPr>
              <w:pStyle w:val="user6"/>
              <w:rPr/>
            </w:pPr>
            <w:r>
              <w:rPr/>
            </w:r>
          </w:p>
        </w:tc>
        <w:tc>
          <w:tcPr>
            <w:tcW w:w="5961" w:type="dxa"/>
            <w:tcBorders/>
          </w:tcPr>
          <w:p>
            <w:pPr>
              <w:pStyle w:val="user6"/>
              <w:rPr/>
            </w:pPr>
            <w:r>
              <w:rPr/>
            </w:r>
          </w:p>
        </w:tc>
        <w:tc>
          <w:tcPr>
            <w:tcW w:w="1529" w:type="dxa"/>
            <w:tcBorders/>
          </w:tcPr>
          <w:p>
            <w:pPr>
              <w:pStyle w:val="user6"/>
              <w:rPr/>
            </w:pPr>
            <w:r>
              <w:rPr/>
            </w:r>
          </w:p>
        </w:tc>
        <w:tc>
          <w:tcPr>
            <w:tcW w:w="1301" w:type="dxa"/>
            <w:tcBorders/>
          </w:tcPr>
          <w:p>
            <w:pPr>
              <w:pStyle w:val="user6"/>
              <w:rPr/>
            </w:pPr>
            <w:r>
              <w:rPr/>
            </w:r>
          </w:p>
        </w:tc>
        <w:tc>
          <w:tcPr>
            <w:tcW w:w="1309" w:type="dxa"/>
            <w:tcBorders/>
          </w:tcPr>
          <w:p>
            <w:pPr>
              <w:pStyle w:val="user6"/>
              <w:rPr/>
            </w:pPr>
            <w:r>
              <w:rPr/>
            </w:r>
          </w:p>
        </w:tc>
        <w:tc>
          <w:tcPr>
            <w:tcW w:w="1410" w:type="dxa"/>
            <w:tcBorders/>
          </w:tcPr>
          <w:p>
            <w:pPr>
              <w:pStyle w:val="user6"/>
              <w:rPr/>
            </w:pPr>
            <w:r>
              <w:rPr/>
            </w:r>
          </w:p>
        </w:tc>
        <w:tc>
          <w:tcPr>
            <w:tcW w:w="1420" w:type="dxa"/>
            <w:tcBorders/>
          </w:tcPr>
          <w:p>
            <w:pPr>
              <w:pStyle w:val="user6"/>
              <w:jc w:val="end"/>
              <w:rPr/>
            </w:pPr>
            <w:r>
              <w:rPr/>
              <w:t>ИТОГО</w:t>
            </w:r>
          </w:p>
        </w:tc>
        <w:tc>
          <w:tcPr>
            <w:tcW w:w="1679" w:type="dxa"/>
            <w:tcBorders/>
          </w:tcPr>
          <w:p>
            <w:pPr>
              <w:pStyle w:val="user6"/>
              <w:rPr/>
            </w:pPr>
            <w:r>
              <w:rPr/>
            </w:r>
          </w:p>
        </w:tc>
      </w:tr>
    </w:tbl>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156083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1560960"/>
                        </a:xfrm>
                        <a:prstGeom prst="rect">
                          <a:avLst/>
                        </a:prstGeom>
                        <a:noFill/>
                        <a:ln w="0">
                          <a:noFill/>
                        </a:ln>
                      </wps:spPr>
                      <wps:style>
                        <a:lnRef idx="0"/>
                        <a:fillRef idx="0"/>
                        <a:effectRef idx="0"/>
                        <a:fontRef idx="minor"/>
                      </wps:style>
                      <wps:txb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user5"/>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122.85pt;mso-wrap-style:square;v-text-anchor:top;mso-position-horizontal-relative:page">
                <v:fill o:detectmouseclick="t" on="false"/>
                <v:stroke color="#3465a4" joinstyle="round" endcap="flat"/>
                <v:textbo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user5"/>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basedOn w:val="DefaultParagraphFont"/>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basedOn w:val="DefaultParagraphFont"/>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Содержимое врезки"/>
    <w:basedOn w:val="Normal"/>
    <w:qFormat/>
    <w:pPr/>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36</TotalTime>
  <Application>LibreOffice/25.8.3.2$Linux_X86_64 LibreOffice_project/580$Build-2</Application>
  <AppVersion>15.0000</AppVersion>
  <Pages>6</Pages>
  <Words>3028</Words>
  <Characters>21923</Characters>
  <CharactersWithSpaces>25609</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2026-08-12T11:05:37Z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