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end="-144"/>
        <w:jc w:val="end"/>
        <w:rPr>
          <w:sz w:val="28"/>
          <w:szCs w:val="28"/>
          <w:shd w:fill="auto" w:val="clear"/>
        </w:rPr>
      </w:pPr>
      <w:r>
        <w:rPr>
          <w:sz w:val="28"/>
          <w:szCs w:val="28"/>
        </w:rPr>
        <w:t>Приложение № 1</w:t>
      </w:r>
    </w:p>
    <w:p>
      <w:pPr>
        <w:pStyle w:val="Normal"/>
        <w:keepNext w:val="true"/>
        <w:keepLines/>
        <w:ind w:end="-144"/>
        <w:jc w:val="end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keepNext w:val="true"/>
        <w:keepLines/>
        <w:ind w:end="-144"/>
        <w:jc w:val="center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keepNext w:val="true"/>
        <w:keepLines/>
        <w:ind w:end="-144"/>
        <w:jc w:val="center"/>
        <w:rPr>
          <w:color w:val="000009"/>
          <w:sz w:val="28"/>
          <w:szCs w:val="28"/>
        </w:rPr>
      </w:pPr>
      <w:r>
        <w:rPr>
          <w:sz w:val="28"/>
          <w:szCs w:val="28"/>
        </w:rPr>
        <w:t>ОПИСАНИЕ ОБЪЕКТА ЗАКУПКИ</w:t>
      </w:r>
    </w:p>
    <w:p>
      <w:pPr>
        <w:pStyle w:val="Normal"/>
        <w:keepNext w:val="true"/>
        <w:keepLines/>
        <w:spacing w:before="0" w:after="0"/>
        <w:contextualSpacing/>
        <w:jc w:val="center"/>
        <w:rPr/>
      </w:pPr>
      <w:r>
        <w:rPr>
          <w:color w:val="000009"/>
          <w:sz w:val="28"/>
          <w:szCs w:val="28"/>
        </w:rPr>
        <w:t>оказание услуг по диагностике и техническому обслуживанию транспортных ср</w:t>
      </w:r>
      <w:r>
        <w:rPr>
          <w:b w:val="false"/>
          <w:bCs w:val="false"/>
          <w:i w:val="false"/>
          <w:iCs w:val="false"/>
          <w:color w:val="000009"/>
          <w:sz w:val="28"/>
          <w:szCs w:val="28"/>
        </w:rPr>
        <w:t xml:space="preserve">едств  (ТО-0, ТО-1) ГУФССП России по г. Москве </w:t>
      </w:r>
    </w:p>
    <w:p>
      <w:pPr>
        <w:pStyle w:val="Normal"/>
        <w:widowControl w:val="false"/>
        <w:ind w:firstLine="709" w:end="0"/>
        <w:jc w:val="center"/>
        <w:rPr>
          <w:b/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</w:r>
    </w:p>
    <w:p>
      <w:pPr>
        <w:pStyle w:val="Normal"/>
        <w:widowControl w:val="false"/>
        <w:numPr>
          <w:ilvl w:val="0"/>
          <w:numId w:val="3"/>
        </w:numPr>
        <w:ind w:firstLine="688" w:start="21" w:end="0"/>
        <w:rPr>
          <w:sz w:val="28"/>
          <w:szCs w:val="28"/>
        </w:rPr>
      </w:pPr>
      <w:r>
        <w:rPr>
          <w:sz w:val="28"/>
          <w:szCs w:val="28"/>
        </w:rPr>
        <w:t>Заказчик: ГУФССП России по г. Москве;</w:t>
      </w:r>
    </w:p>
    <w:p>
      <w:pPr>
        <w:pStyle w:val="Normal"/>
        <w:widowControl w:val="false"/>
        <w:numPr>
          <w:ilvl w:val="0"/>
          <w:numId w:val="3"/>
        </w:numPr>
        <w:ind w:firstLine="688" w:start="21" w:end="0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получателя услуг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 xml:space="preserve"> г. Москва, Гольяновская ул.,д.4А </w:t>
      </w:r>
    </w:p>
    <w:p>
      <w:pPr>
        <w:pStyle w:val="Normal"/>
        <w:widowControl w:val="false"/>
        <w:numPr>
          <w:ilvl w:val="0"/>
          <w:numId w:val="3"/>
        </w:numPr>
        <w:ind w:firstLine="688" w:start="21" w:end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объекта закупки: оказание Услуг по диагностике и техническому обслуживанию транспортных средств (ТО-0, ТО-1) ГУФССП России</w:t>
        <w:br/>
        <w:t>по г. Москве  (далее – Услуги).</w:t>
      </w:r>
    </w:p>
    <w:p>
      <w:pPr>
        <w:pStyle w:val="Normal"/>
        <w:widowControl w:val="false"/>
        <w:numPr>
          <w:ilvl w:val="1"/>
          <w:numId w:val="3"/>
        </w:numPr>
        <w:ind w:firstLine="709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ОКПД 2: 45.20.11.519: Прочие услуги по техническому обслуживанию </w:t>
        <w:br/>
        <w:t>и ремонту прочих автотранспортных средств, не включенные в другие группировки;</w:t>
      </w:r>
    </w:p>
    <w:p>
      <w:pPr>
        <w:pStyle w:val="Normal"/>
        <w:widowControl w:val="false"/>
        <w:numPr>
          <w:ilvl w:val="0"/>
          <w:numId w:val="3"/>
        </w:numPr>
        <w:ind w:firstLine="688" w:start="21" w:end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Срок оказания Услуг: с даты заключения Контракта по 30.12.2026.</w:t>
      </w:r>
    </w:p>
    <w:p>
      <w:pPr>
        <w:pStyle w:val="Normal"/>
        <w:numPr>
          <w:ilvl w:val="0"/>
          <w:numId w:val="3"/>
        </w:numPr>
        <w:ind w:firstLine="688" w:start="21" w:end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</w:t>
      </w:r>
      <w:r>
        <w:rPr>
          <w:b/>
          <w:bCs/>
          <w:sz w:val="28"/>
          <w:szCs w:val="28"/>
          <w:u w:val="single"/>
        </w:rPr>
        <w:t>Гарантийных</w:t>
      </w:r>
      <w:r>
        <w:rPr>
          <w:b/>
          <w:bCs/>
          <w:sz w:val="28"/>
          <w:szCs w:val="28"/>
        </w:rPr>
        <w:t xml:space="preserve"> транспортных средств Заказчика, в отношении которых оказываются Услуги:</w:t>
      </w:r>
    </w:p>
    <w:p>
      <w:pPr>
        <w:pStyle w:val="Normal"/>
        <w:ind w:start="1864" w:end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90" w:type="dxa"/>
        <w:jc w:val="start"/>
        <w:tblInd w:w="2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27"/>
        <w:gridCol w:w="5777"/>
        <w:gridCol w:w="3886"/>
      </w:tblGrid>
      <w:tr>
        <w:trPr>
          <w:tblHeader w:val="true"/>
          <w:trHeight w:val="617" w:hRule="atLeast"/>
        </w:trPr>
        <w:tc>
          <w:tcPr>
            <w:tcW w:w="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транспортных средств</w:t>
            </w:r>
          </w:p>
        </w:tc>
        <w:tc>
          <w:tcPr>
            <w:tcW w:w="3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en-US"/>
              </w:rPr>
              <w:t>Идентификационный номер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VIN)</w:t>
            </w:r>
          </w:p>
        </w:tc>
      </w:tr>
      <w:tr>
        <w:trPr>
          <w:trHeight w:val="136" w:hRule="atLeast"/>
        </w:trPr>
        <w:tc>
          <w:tcPr>
            <w:tcW w:w="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77" w:type="dxa"/>
            <w:tcBorders>
              <w:top w:val="single" w:sz="4" w:space="0" w:color="1C1C1C"/>
              <w:start w:val="single" w:sz="4" w:space="0" w:color="1C1C1C"/>
              <w:bottom w:val="single" w:sz="4" w:space="0" w:color="1C1C1C"/>
              <w:end w:val="single" w:sz="4" w:space="0" w:color="1C1C1C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zh-CN" w:bidi="ar-SA"/>
              </w:rPr>
              <w:t>Автомобиль Москвич 8, 2025 года выпуска</w:t>
            </w:r>
          </w:p>
        </w:tc>
        <w:tc>
          <w:tcPr>
            <w:tcW w:w="3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4"/>
                <w:u w:val="none"/>
                <w:em w:val="none"/>
              </w:rPr>
              <w:t>X7LJF15CED1000705</w:t>
            </w:r>
          </w:p>
        </w:tc>
      </w:tr>
      <w:tr>
        <w:trPr>
          <w:trHeight w:val="136" w:hRule="atLeast"/>
        </w:trPr>
        <w:tc>
          <w:tcPr>
            <w:tcW w:w="62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zh-CN" w:bidi="ar-SA"/>
              </w:rPr>
              <w:t>Автомобиль Москвич 8, 2025 года выпуска</w:t>
            </w:r>
          </w:p>
        </w:tc>
        <w:tc>
          <w:tcPr>
            <w:tcW w:w="38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4"/>
                <w:u w:val="none"/>
                <w:em w:val="none"/>
              </w:rPr>
              <w:t>X7LJF15CED1000730</w:t>
            </w:r>
          </w:p>
        </w:tc>
      </w:tr>
      <w:tr>
        <w:trPr>
          <w:trHeight w:val="136" w:hRule="atLeast"/>
        </w:trPr>
        <w:tc>
          <w:tcPr>
            <w:tcW w:w="62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zh-CN" w:bidi="ar-SA"/>
              </w:rPr>
              <w:t>Автомобиль Москвич 8, 2025 года выпуска</w:t>
            </w:r>
          </w:p>
        </w:tc>
        <w:tc>
          <w:tcPr>
            <w:tcW w:w="38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4"/>
                <w:u w:val="none"/>
                <w:em w:val="none"/>
              </w:rPr>
              <w:t>X7LJF15CED1000734</w:t>
            </w:r>
          </w:p>
        </w:tc>
      </w:tr>
      <w:tr>
        <w:trPr>
          <w:trHeight w:val="136" w:hRule="atLeast"/>
        </w:trPr>
        <w:tc>
          <w:tcPr>
            <w:tcW w:w="62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7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 w:eastAsia="zh-CN" w:bidi="ar-SA"/>
              </w:rPr>
              <w:t>Автомобиль Москвич 8, 2025 года выпуска</w:t>
            </w:r>
          </w:p>
        </w:tc>
        <w:tc>
          <w:tcPr>
            <w:tcW w:w="38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4"/>
                <w:u w:val="none"/>
                <w:em w:val="none"/>
              </w:rPr>
              <w:t>X7LJF15CED1000723</w:t>
            </w:r>
          </w:p>
        </w:tc>
      </w:tr>
    </w:tbl>
    <w:p>
      <w:pPr>
        <w:pStyle w:val="Normal"/>
        <w:numPr>
          <w:ilvl w:val="0"/>
          <w:numId w:val="3"/>
        </w:numPr>
        <w:ind w:firstLine="688" w:start="21" w:end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Перечень оказываемых Услуг: 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6.1. Техническое обслуживание транспортных средств Заказчика, в том числе: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ТО-0 и ТО-1 должно осуществляться в соответствии с регламентными работами, связанные с эксплуатацией транспортного средства</w:t>
        <w:br/>
        <w:t>с соблюдением оригинального регламента, рекомендуемого заводом- изготовителем;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7. Требования к Исполнителю.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7.1. Станция технического обслуживания Исполнителя должна иметь возможность производить диагностику и техническое обслуживание транспортных средств.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7.2. Станция технического обслуживания автомобилей Исполнителя должна находиться в городе Москве в пределах МКАД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иметь свободные подъездные пути к месту оказания Услуг. 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7.3. Исполнитель обязан иметь достаточный штат подготовленных специалистов высокой квалификации, связанных с техническим обслуживанием транспортных средств.</w:t>
      </w:r>
    </w:p>
    <w:p>
      <w:pPr>
        <w:pStyle w:val="Normal"/>
        <w:widowControl w:val="false"/>
        <w:numPr>
          <w:ilvl w:val="0"/>
          <w:numId w:val="4"/>
        </w:numPr>
        <w:ind w:firstLine="709" w:start="0" w:end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Требования к оказанию Услуг.</w:t>
      </w:r>
    </w:p>
    <w:p>
      <w:pPr>
        <w:pStyle w:val="Normal"/>
        <w:ind w:firstLine="709" w:end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8.1. </w:t>
      </w:r>
      <w:r>
        <w:rPr>
          <w:rFonts w:eastAsia="Calibri"/>
          <w:sz w:val="28"/>
          <w:szCs w:val="28"/>
          <w:lang w:eastAsia="en-US"/>
        </w:rPr>
        <w:t>Оказываемые Услуги должны соответствовать всем техническим условиям, правилам, нормам и стандартам, установленным в Российской Федерации.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8.2. В рамках оказываемых Услуг Заказчик вправе предоставлять Исполнителю имеющиеся у него (Заказчика) в наличии запасные части, </w:t>
      </w:r>
      <w:r>
        <w:rPr>
          <w:sz w:val="28"/>
          <w:szCs w:val="28"/>
          <w:lang w:eastAsia="en-US"/>
        </w:rPr>
        <w:t>узлы, детали, материалы</w:t>
      </w:r>
      <w:r>
        <w:rPr>
          <w:rFonts w:eastAsia="Calibri"/>
          <w:sz w:val="28"/>
          <w:szCs w:val="28"/>
          <w:lang w:eastAsia="en-US"/>
        </w:rPr>
        <w:t>.</w:t>
      </w:r>
    </w:p>
    <w:p>
      <w:pPr>
        <w:pStyle w:val="Normal"/>
        <w:ind w:firstLine="709" w:end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Запасные части, </w:t>
      </w:r>
      <w:r>
        <w:rPr>
          <w:sz w:val="28"/>
          <w:szCs w:val="28"/>
          <w:lang w:eastAsia="en-US"/>
        </w:rPr>
        <w:t>узлы, детали, материалы, устанавливаемые и применяемые Исполнителем в рамках оказания Услуг, должны быть оригинальными, разрешенными (рекомендованными) производителями транспортных средств, новыми, не восстановленными, не бывшими в употреблении. Товарный знак применяемых Исполнителем при оказании услуг запасных частей, узлов, деталей, материалов согласовывается с Заказчиком.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8.4. Исполнитель должен использовать оригинальные или рекомендованные и одобренные заводом-изготовителем моторные масла и специальные жидкости. Перечень используемых моторных масел и специальных жидкостей Исполнитель согласовывает с Заказчиком.</w:t>
      </w:r>
    </w:p>
    <w:p>
      <w:pPr>
        <w:pStyle w:val="Normal"/>
        <w:ind w:firstLine="709" w:end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8.5. По требованию Заказчика, Исполнитель обязан перед началом оказания Услуг представить сертификаты и/или декларации соответствия на используемые запасные части, узлы, детали, материалы.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8.6. Запасные части, узлы и детали, снятые с транспортного средства для замены на новые, должны быть возвращены Заказчику в упаковке от соответствующих установленных новых узлов и деталей или, по предварительному согласованию с Заказчиком, Исполнитель производит их утилизацию. </w:t>
      </w:r>
    </w:p>
    <w:p>
      <w:pPr>
        <w:pStyle w:val="Normal"/>
        <w:ind w:firstLine="709" w:end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8.6.1. Исполнитель производит своими силами и за свой счет утилизацию запасных частей, расходных материалов, масел, аккумуляторных батарей, автомобильных шин после проведения технического обслуживания транспортных средств.</w:t>
      </w:r>
    </w:p>
    <w:p>
      <w:pPr>
        <w:pStyle w:val="Normal"/>
        <w:ind w:firstLine="709" w:end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8.7. Оказание Услуг, а также время их проведения должны осуществляться </w:t>
        <w:br/>
        <w:t>в соответствии с объемами нормо-часов, установленными заводом-изготовителем (официальным дилером) и не превышать указанные объемы нормо-часов.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8.8. Подсчет нормо-часов по всем оказываемым Услугам должен осуществляться с учетом вычитания повторяющихся операций на основе экспертных программ </w:t>
      </w:r>
      <w:r>
        <w:rPr>
          <w:rFonts w:eastAsia="Calibri"/>
          <w:sz w:val="28"/>
          <w:szCs w:val="28"/>
          <w:lang w:val="en-US" w:eastAsia="en-US"/>
        </w:rPr>
        <w:t>EUROTAX</w:t>
      </w:r>
      <w:r>
        <w:rPr>
          <w:rFonts w:eastAsia="Calibri"/>
          <w:sz w:val="28"/>
          <w:szCs w:val="28"/>
          <w:lang w:eastAsia="en-US"/>
        </w:rPr>
        <w:t xml:space="preserve"> или аналогов.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8.9. Все Работы, в рамках оказываемых Услуг, должны выполнятся</w:t>
        <w:br/>
        <w:t>в соответствии с установленными эксплуатационными и ремонтными нормами, рекомендациями (инструкциями) заводов-изготовителей в строгом соответствии</w:t>
        <w:br/>
        <w:t>с действующим законодательством Российской Федерации, в том числе Федеральным</w:t>
      </w:r>
      <w:r>
        <w:rPr>
          <w:strike w:val="false"/>
          <w:dstrike w:val="false"/>
          <w:color w:val="000000"/>
          <w:sz w:val="28"/>
          <w:szCs w:val="28"/>
          <w:lang w:eastAsia="en-US"/>
        </w:rPr>
        <w:t xml:space="preserve"> законом от 10.12.1995 № 196-ФЗ «О безопасности дорожного движения», Правилами оказания Услуг (выполнения работ) по техническому обслуживанию и ремонту автомототранспортных средств, утвержденными постановлением Правительства Российской Федерации от 29.05.2025 № 780,</w:t>
      </w:r>
      <w:r>
        <w:rPr>
          <w:sz w:val="28"/>
          <w:szCs w:val="28"/>
          <w:lang w:eastAsia="en-US"/>
        </w:rPr>
        <w:br/>
        <w:t>ГОСТ 33997-2016 «Межотраслевой стандарт. Колесные транспортные средства. Требования к безопасности в эксплуатации и методы проверки».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8.10. Исполнитель обязан предоставить персональных мастер-консультантов </w:t>
        <w:br/>
        <w:t>по сервису.</w:t>
      </w:r>
    </w:p>
    <w:p>
      <w:pPr>
        <w:pStyle w:val="Normal"/>
        <w:widowControl/>
        <w:suppressAutoHyphens w:val="true"/>
        <w:bidi w:val="0"/>
        <w:ind w:firstLine="680" w:end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8.11. Услуги должны быть оказаны Исполнителем</w:t>
        <w:br/>
        <w:t>с использованием современных компьютеризированных средств диагностики, современного технологического оборудования, метрологических средств</w:t>
        <w:br/>
        <w:t>и инструментов, рекомендованных производителями транспортных средств.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8.12. Исполнитель обязан обеспечить возможность нахождения представителя Заказчика в ремонтной зоне, непосредственно рядом с транспортными средствами во время оказания Услуг, с учетом соблюдения технологического режима работ, правил техники безопасности, пожарной безопасности и производственной санитарии.</w:t>
      </w:r>
    </w:p>
    <w:p>
      <w:pPr>
        <w:pStyle w:val="Normal"/>
        <w:ind w:firstLine="709" w:end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8.13. В целях сохранности транспортных средств Заказчика, переданных Исполнителю для оказания Услуг, Исполнитель должен обеспечить их надлежащее хранение. 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8.14. Исполнитель несет полную материальную ответственность</w:t>
        <w:br/>
        <w:t xml:space="preserve">за сохранность транспортных средств Заказчика и установленного на транспортные средства Заказчика специального оборудования, с момента приема указанных транспортных средств на оказание Услуг до передачи Заказчику. </w:t>
      </w:r>
    </w:p>
    <w:p>
      <w:pPr>
        <w:pStyle w:val="Normal"/>
        <w:ind w:firstLine="709" w:end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8.15.</w:t>
      </w:r>
      <w:r>
        <w:rPr>
          <w:rFonts w:eastAsia="Calibri"/>
          <w:sz w:val="28"/>
          <w:szCs w:val="28"/>
          <w:lang w:eastAsia="en-US"/>
        </w:rPr>
        <w:t xml:space="preserve"> В день окончания оказания Услуг Исполнитель обязан уведомить Заказчика о готовности транспортных средств.</w:t>
      </w:r>
    </w:p>
    <w:p>
      <w:pPr>
        <w:pStyle w:val="Normal"/>
        <w:ind w:firstLine="709" w:end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9. Порядок определения объема оказываемых Услуг. </w:t>
      </w:r>
    </w:p>
    <w:p>
      <w:pPr>
        <w:pStyle w:val="Normal"/>
        <w:ind w:firstLine="709" w:end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9.1. При передаче Заказчиком транспортных средств для оказания Услуг Сторонами оформляется и подписывается заказ-наряд, в котором указывается объем оказываемых Услуг (количество нормо-часов по каждой операции), перечень запасных частей, применяемых для оказания Услуг, стоимость оказываемых Услуг </w:t>
        <w:br/>
        <w:t>и срок их выполнения.</w:t>
      </w:r>
    </w:p>
    <w:p>
      <w:pPr>
        <w:pStyle w:val="Normal"/>
        <w:ind w:firstLine="709" w:end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9.2. В случае выявления в ходе оказания Услуг необходимости проведения дополнительных работ, не отмеченных при составлении заказ-наряда, Исполнитель незамедлительно информирует об этом Заказчика и указывает их стоимость и срок выполнения</w:t>
      </w:r>
      <w:r>
        <w:rPr>
          <w:rFonts w:eastAsia="Calibri"/>
          <w:strike/>
          <w:sz w:val="28"/>
          <w:szCs w:val="28"/>
          <w:lang w:eastAsia="en-US"/>
        </w:rPr>
        <w:t>.</w:t>
      </w:r>
    </w:p>
    <w:p>
      <w:pPr>
        <w:pStyle w:val="Normal"/>
        <w:ind w:firstLine="709" w:end="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9.3. Стоимость оказываемых Исполнителем Услуг указывается в каждом заказ-наряде.</w:t>
      </w:r>
    </w:p>
    <w:p>
      <w:pPr>
        <w:pStyle w:val="Normal"/>
        <w:tabs>
          <w:tab w:val="clear" w:pos="709"/>
          <w:tab w:val="left" w:pos="284" w:leader="none"/>
        </w:tabs>
        <w:ind w:firstLine="709" w:end="0"/>
        <w:rPr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10. Сроки оказания Услуг.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10.1. Исполнитель выполняет работы с момента прибытия транспортных средств Заказчика для оказания услуг в следующие сроки: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обслуживание – не более 1-го рабочего дня;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- слесарные работы – не более 3-х рабочих дней;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- ремонт двигателя, автоматической коробки переключения передач, механической коробки переключения передач – не более 5-и рабочих дней;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- ремонт электрооборудования – не более 3-х рабочих дней;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- диагностические работы – не более 1-го рабочего дня;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- жестяно-сварочные работы – не более 5-и рабочих дней;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- арматурные работы – не более 4-х рабочих дней;</w:t>
      </w:r>
    </w:p>
    <w:p>
      <w:pPr>
        <w:pStyle w:val="Normal"/>
        <w:ind w:firstLine="709" w:end="0"/>
        <w:jc w:val="both"/>
        <w:rPr/>
      </w:pPr>
      <w:r>
        <w:rPr/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10.2. Срок выполнения двух и более видов работ в рамках оказываемых Услуг не должен превышать 10 (десяти) рабочих дней.</w:t>
      </w:r>
    </w:p>
    <w:p>
      <w:pPr>
        <w:pStyle w:val="Normal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  <w:t>10.3. Срок оказания Услуг включает в себя срок поставки запасных частей, узлов, деталей, материалов применяемых при оказании Услуг.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567" w:gutter="0" w:header="709" w:top="1560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  <w:font w:name="PT Astra Serif">
    <w:altName w:val="Times New Roman"/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</w:r>
  </w:p>
  <w:p>
    <w:pPr>
      <w:pStyle w:val="Footer"/>
      <w:tabs>
        <w:tab w:val="clear" w:pos="4677"/>
        <w:tab w:val="clear" w:pos="9355"/>
        <w:tab w:val="left" w:pos="1410" w:leader="none"/>
      </w:tabs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9225" cy="1714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00" cy="171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960" rIns="3960" tIns="3960" bIns="39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49.2pt;margin-top:0.05pt;width:11.7pt;height:13.4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864" w:hanging="1155"/>
      </w:pPr>
      <w:rPr>
        <w:sz w:val="28"/>
        <w:i w:val="false"/>
        <w:b w:val="false"/>
        <w:szCs w:val="28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159" w:hanging="450"/>
      </w:pPr>
      <w:rPr>
        <w:sz w:val="28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429" w:hanging="720"/>
      </w:pPr>
      <w:rPr>
        <w:sz w:val="28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429" w:hanging="720"/>
      </w:pPr>
      <w:rPr>
        <w:sz w:val="28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789" w:hanging="1080"/>
      </w:pPr>
      <w:rPr>
        <w:sz w:val="28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789" w:hanging="1080"/>
      </w:pPr>
      <w:rPr>
        <w:sz w:val="28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2149" w:hanging="1440"/>
      </w:pPr>
      <w:rPr>
        <w:sz w:val="28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2149" w:hanging="1440"/>
      </w:pPr>
      <w:rPr>
        <w:sz w:val="28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509" w:hanging="1800"/>
      </w:pPr>
      <w:rPr>
        <w:sz w:val="28"/>
      </w:rPr>
    </w:lvl>
  </w:abstractNum>
  <w:abstractNum w:abstractNumId="4">
    <w:lvl w:ilvl="0">
      <w:start w:val="8"/>
      <w:numFmt w:val="decimal"/>
      <w:lvlText w:val="%1."/>
      <w:lvlJc w:val="start"/>
      <w:pPr>
        <w:tabs>
          <w:tab w:val="num" w:pos="0"/>
        </w:tabs>
        <w:ind w:start="720" w:hanging="360"/>
      </w:pPr>
      <w:rPr>
        <w:sz w:val="28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2"/>
      </w:numPr>
      <w:jc w:val="center"/>
      <w:outlineLvl w:val="0"/>
    </w:pPr>
    <w:rPr>
      <w:sz w:val="28"/>
      <w:szCs w:val="28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val="ru-RU"/>
    </w:rPr>
  </w:style>
  <w:style w:type="character" w:styleId="WW8Num2z0">
    <w:name w:val="WW8Num2z0"/>
    <w:qFormat/>
    <w:rPr>
      <w:b w:val="false"/>
      <w:i w:val="false"/>
      <w:sz w:val="28"/>
      <w:szCs w:val="28"/>
    </w:rPr>
  </w:style>
  <w:style w:type="character" w:styleId="WW8Num2z1">
    <w:name w:val="WW8Num2z1"/>
    <w:qFormat/>
    <w:rPr>
      <w:sz w:val="28"/>
    </w:rPr>
  </w:style>
  <w:style w:type="character" w:styleId="WW8Num3z0">
    <w:name w:val="WW8Num3z0"/>
    <w:qFormat/>
    <w:rPr>
      <w:sz w:val="28"/>
    </w:rPr>
  </w:style>
  <w:style w:type="character" w:styleId="WW8Num4z0">
    <w:name w:val="WW8Num4z0"/>
    <w:qFormat/>
    <w:rPr>
      <w:sz w:val="28"/>
    </w:rPr>
  </w:style>
  <w:style w:type="character" w:styleId="Style11">
    <w:name w:val="Основной шрифт абзаца"/>
    <w:qFormat/>
    <w:rPr/>
  </w:style>
  <w:style w:type="character" w:styleId="WW8NumSt1z0">
    <w:name w:val="WW8NumSt1z0"/>
    <w:qFormat/>
    <w:rPr>
      <w:rFonts w:ascii="Times New Roman" w:hAnsi="Times New Roman" w:cs="Times New Roman"/>
    </w:rPr>
  </w:style>
  <w:style w:type="character" w:styleId="1">
    <w:name w:val="Основной шрифт абзаца1"/>
    <w:qFormat/>
    <w:rPr/>
  </w:style>
  <w:style w:type="character" w:styleId="ConsPlusNormal">
    <w:name w:val="ConsPlusNormal Знак"/>
    <w:qFormat/>
    <w:rPr>
      <w:rFonts w:ascii="Arial" w:hAnsi="Arial" w:cs="Arial"/>
      <w:sz w:val="28"/>
      <w:szCs w:val="28"/>
      <w:lang w:val="ru-RU" w:bidi="ar-SA"/>
    </w:rPr>
  </w:style>
  <w:style w:type="character" w:styleId="PageNumber">
    <w:name w:val="Page Number"/>
    <w:rPr>
      <w:rFonts w:ascii="Times New Roman" w:hAnsi="Times New Roman" w:cs="Times New Roman"/>
    </w:rPr>
  </w:style>
  <w:style w:type="character" w:styleId="Style12">
    <w:name w:val="Текст сноски Знак"/>
    <w:qFormat/>
    <w:rPr>
      <w:lang w:val="ru-RU" w:bidi="ar-SA"/>
    </w:rPr>
  </w:style>
  <w:style w:type="character" w:styleId="Style13">
    <w:name w:val="Символ сноски"/>
    <w:qFormat/>
    <w:rPr>
      <w:vertAlign w:val="superscript"/>
    </w:rPr>
  </w:style>
  <w:style w:type="character" w:styleId="Style14">
    <w:name w:val="Не вступил в силу"/>
    <w:qFormat/>
    <w:rPr>
      <w:b/>
      <w:bCs/>
      <w:color w:val="008080"/>
    </w:rPr>
  </w:style>
  <w:style w:type="character" w:styleId="Style15">
    <w:name w:val="Верхний колонтитул Знак"/>
    <w:qFormat/>
    <w:rPr>
      <w:sz w:val="24"/>
      <w:szCs w:val="24"/>
      <w:lang w:val="ru-RU" w:bidi="ar-SA"/>
    </w:rPr>
  </w:style>
  <w:style w:type="character" w:styleId="Style16">
    <w:name w:val=" Знак Знак"/>
    <w:qFormat/>
    <w:rPr>
      <w:lang w:val="ru-RU" w:bidi="ar-SA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3">
    <w:name w:val="Знак Знак3"/>
    <w:qFormat/>
    <w:rPr>
      <w:lang w:val="ru-RU" w:bidi="ar-SA"/>
    </w:rPr>
  </w:style>
  <w:style w:type="character" w:styleId="2">
    <w:name w:val=" Знак Знак2"/>
    <w:basedOn w:val="1"/>
    <w:qFormat/>
    <w:rPr/>
  </w:style>
  <w:style w:type="character" w:styleId="31">
    <w:name w:val="Основной текст 3 Знак"/>
    <w:qFormat/>
    <w:rPr>
      <w:sz w:val="16"/>
      <w:szCs w:val="16"/>
    </w:rPr>
  </w:style>
  <w:style w:type="character" w:styleId="Style18">
    <w:name w:val="Основной текст Знак"/>
    <w:qFormat/>
    <w:rPr>
      <w:sz w:val="24"/>
      <w:szCs w:val="24"/>
    </w:rPr>
  </w:style>
  <w:style w:type="character" w:styleId="11">
    <w:name w:val="Заголовок 1 Знак"/>
    <w:qFormat/>
    <w:rPr>
      <w:sz w:val="28"/>
      <w:szCs w:val="28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converted-space">
    <w:name w:val="apple-converted-space"/>
    <w:qFormat/>
    <w:rPr/>
  </w:style>
  <w:style w:type="character" w:styleId="S1">
    <w:name w:val="s1"/>
    <w:qFormat/>
    <w:rPr>
      <w:rFonts w:cs="Times New Roman"/>
    </w:rPr>
  </w:style>
  <w:style w:type="character" w:styleId="21">
    <w:name w:val="Основной текст с отступом 2 Знак"/>
    <w:qFormat/>
    <w:rPr>
      <w:rFonts w:ascii="Calibri" w:hAnsi="Calibri" w:cs="Calibri"/>
      <w:sz w:val="22"/>
      <w:szCs w:val="22"/>
    </w:rPr>
  </w:style>
  <w:style w:type="character" w:styleId="22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styleId="Style19">
    <w:name w:val="Текст выноски Знак"/>
    <w:qFormat/>
    <w:rPr>
      <w:rFonts w:ascii="Tahoma" w:hAnsi="Tahoma" w:cs="Tahoma"/>
      <w:sz w:val="16"/>
      <w:szCs w:val="16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20">
    <w:name w:val="Текст примечания Знак"/>
    <w:qFormat/>
    <w:rPr>
      <w:rFonts w:eastAsia="Calibri"/>
      <w:sz w:val="20"/>
      <w:szCs w:val="20"/>
    </w:rPr>
  </w:style>
  <w:style w:type="character" w:styleId="Style21">
    <w:name w:val="Нижний колонтитул Знак"/>
    <w:qFormat/>
    <w:rPr>
      <w:sz w:val="24"/>
      <w:szCs w:val="24"/>
    </w:rPr>
  </w:style>
  <w:style w:type="character" w:styleId="4">
    <w:name w:val="Заголовок 4 Знак"/>
    <w:qFormat/>
    <w:rPr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13">
    <w:name w:val="Гиперссылка1"/>
    <w:qFormat/>
    <w:rPr>
      <w:color w:val="0000FF"/>
      <w:u w:val="single"/>
    </w:rPr>
  </w:style>
  <w:style w:type="character" w:styleId="Style22">
    <w:name w:val="Основной текст с отступом Знак"/>
    <w:qFormat/>
    <w:rPr/>
  </w:style>
  <w:style w:type="character" w:styleId="14">
    <w:name w:val="Текст примечания Знак1"/>
    <w:basedOn w:val="1"/>
    <w:qFormat/>
    <w:rPr/>
  </w:style>
  <w:style w:type="character" w:styleId="Hyperlink">
    <w:name w:val="Hyperlink"/>
    <w:rPr>
      <w:color w:val="0000FF"/>
      <w:u w:val="single"/>
    </w:rPr>
  </w:style>
  <w:style w:type="character" w:styleId="FontStyle52">
    <w:name w:val="Font Style52"/>
    <w:qFormat/>
    <w:rPr>
      <w:rFonts w:ascii="Times New Roman" w:hAnsi="Times New Roman" w:cs="Times New Roman"/>
      <w:sz w:val="22"/>
      <w:szCs w:val="22"/>
    </w:rPr>
  </w:style>
  <w:style w:type="character" w:styleId="FontStyle53">
    <w:name w:val="Font Style53"/>
    <w:qFormat/>
    <w:rPr>
      <w:rFonts w:ascii="Times New Roman" w:hAnsi="Times New Roman" w:cs="Times New Roman"/>
      <w:b/>
      <w:bCs/>
      <w:sz w:val="22"/>
      <w:szCs w:val="22"/>
    </w:rPr>
  </w:style>
  <w:style w:type="character" w:styleId="Normaltextrun">
    <w:name w:val="normaltextrun"/>
    <w:qFormat/>
    <w:rPr/>
  </w:style>
  <w:style w:type="character" w:styleId="Eop">
    <w:name w:val="eop"/>
    <w:qFormat/>
    <w:rPr/>
  </w:style>
  <w:style w:type="character" w:styleId="Spellingerror">
    <w:name w:val="spellingerror"/>
    <w:qFormat/>
    <w:rPr/>
  </w:style>
  <w:style w:type="character" w:styleId="FontStyle24">
    <w:name w:val="Font Style24"/>
    <w:qFormat/>
    <w:rPr>
      <w:rFonts w:ascii="Times New Roman" w:hAnsi="Times New Roman" w:cs="Times New Roman"/>
      <w:b/>
      <w:bCs/>
      <w:sz w:val="22"/>
      <w:szCs w:val="22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val="ru-RU"/>
    </w:rPr>
  </w:style>
  <w:style w:type="paragraph" w:styleId="List">
    <w:name w:val="List"/>
    <w:basedOn w:val="BodyText"/>
    <w:pPr/>
    <w:rPr>
      <w:rFonts w:ascii="PT Astra Serif;Times New Roman" w:hAnsi="PT Astra Serif;Times New Roman" w:cs="Noto Sans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;Times New Roman" w:hAnsi="PT Astra Serif;Times New Roman" w:eastAsia="Tahoma" w:cs="Noto Sans Devanagari;Times New Roman"/>
      <w:sz w:val="28"/>
      <w:szCs w:val="28"/>
    </w:rPr>
  </w:style>
  <w:style w:type="paragraph" w:styleId="Style25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16">
    <w:name w:val="Указатель1"/>
    <w:basedOn w:val="Normal"/>
    <w:qFormat/>
    <w:pPr>
      <w:suppressLineNumbers/>
    </w:pPr>
    <w:rPr>
      <w:rFonts w:ascii="PT Astra Serif;Times New Roman" w:hAnsi="PT Astra Serif;Times New Roman" w:cs="Noto Sans Devanagari;Times New Roman"/>
      <w:lang w:val="zxx" w:bidi="zxx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8"/>
      <w:szCs w:val="28"/>
      <w:lang w:val="ru-RU" w:eastAsia="zh-CN" w:bidi="ar-SA"/>
    </w:rPr>
  </w:style>
  <w:style w:type="paragraph" w:styleId="BodyTextIndent">
    <w:name w:val="Body Text Indent"/>
    <w:basedOn w:val="Normal"/>
    <w:pPr>
      <w:widowControl w:val="false"/>
      <w:spacing w:before="280" w:after="280"/>
      <w:jc w:val="both"/>
    </w:pPr>
    <w:rPr>
      <w:sz w:val="20"/>
      <w:szCs w:val="20"/>
    </w:rPr>
  </w:style>
  <w:style w:type="paragraph" w:styleId="Style26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C-number">
    <w:name w:val="c-number"/>
    <w:basedOn w:val="Normal"/>
    <w:qFormat/>
    <w:pPr>
      <w:spacing w:before="675" w:after="0"/>
      <w:jc w:val="center"/>
    </w:pPr>
    <w:rPr>
      <w:i/>
      <w:iCs/>
      <w:sz w:val="33"/>
      <w:szCs w:val="33"/>
    </w:rPr>
  </w:style>
  <w:style w:type="paragraph" w:styleId="17">
    <w:name w:val="Название объекта1"/>
    <w:basedOn w:val="Normal"/>
    <w:next w:val="Normal"/>
    <w:qFormat/>
    <w:pPr>
      <w:widowControl w:val="false"/>
      <w:jc w:val="center"/>
    </w:pPr>
    <w:rPr>
      <w:b/>
      <w:sz w:val="28"/>
      <w:szCs w:val="20"/>
    </w:rPr>
  </w:style>
  <w:style w:type="paragraph" w:styleId="Style27">
    <w:name w:val="А_обычный"/>
    <w:basedOn w:val="Normal"/>
    <w:qFormat/>
    <w:pPr>
      <w:ind w:firstLine="709" w:start="0" w:end="0"/>
      <w:jc w:val="both"/>
    </w:pPr>
    <w:rPr/>
  </w:style>
  <w:style w:type="paragraph" w:styleId="23">
    <w:name w:val=" Знак Знак2 Знак"/>
    <w:basedOn w:val="Normal"/>
    <w:next w:val="Heading2"/>
    <w:qFormat/>
    <w:pPr>
      <w:spacing w:lineRule="exact" w:line="240" w:before="0" w:after="160"/>
    </w:pPr>
    <w:rPr>
      <w:szCs w:val="20"/>
      <w:lang w:val="en-US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9">
    <w:name w:val="Обычный.Нормальный абзац"/>
    <w:qFormat/>
    <w:pPr>
      <w:widowControl w:val="false"/>
      <w:suppressAutoHyphens w:val="true"/>
      <w:bidi w:val="0"/>
      <w:spacing w:before="0" w:after="0"/>
      <w:ind w:firstLine="709" w:start="0" w:end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32">
    <w:name w:val=" Знак3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7">
    <w:name w:val="Знак7"/>
    <w:basedOn w:val="Normal"/>
    <w:next w:val="Heading2"/>
    <w:qFormat/>
    <w:pPr>
      <w:spacing w:lineRule="exact" w:line="240" w:before="0" w:after="160"/>
    </w:pPr>
    <w:rPr>
      <w:szCs w:val="20"/>
      <w:lang w:val="en-US"/>
    </w:rPr>
  </w:style>
  <w:style w:type="paragraph" w:styleId="Style30">
    <w:name w:val="Абзац списка"/>
    <w:basedOn w:val="Normal"/>
    <w:qFormat/>
    <w:pPr>
      <w:ind w:hanging="0" w:start="708" w:end="0"/>
    </w:pPr>
    <w:rPr/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HTML1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ru-RU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hanging="0" w:start="283" w:end="0"/>
    </w:pPr>
    <w:rPr>
      <w:rFonts w:ascii="Calibri" w:hAnsi="Calibri" w:cs="Calibri"/>
      <w:sz w:val="22"/>
      <w:szCs w:val="22"/>
      <w:lang w:val="ru-RU"/>
    </w:rPr>
  </w:style>
  <w:style w:type="paragraph" w:styleId="18">
    <w:name w:val="Текст примечания1"/>
    <w:basedOn w:val="Normal"/>
    <w:next w:val="24"/>
    <w:qFormat/>
    <w:pPr>
      <w:spacing w:before="0" w:after="160"/>
    </w:pPr>
    <w:rPr>
      <w:rFonts w:eastAsia="Calibri"/>
      <w:sz w:val="20"/>
      <w:szCs w:val="20"/>
      <w:lang w:val="ru-RU"/>
    </w:rPr>
  </w:style>
  <w:style w:type="paragraph" w:styleId="Formattext">
    <w:name w:val="formattext"/>
    <w:basedOn w:val="Normal"/>
    <w:qFormat/>
    <w:pPr>
      <w:spacing w:before="280" w:after="280"/>
    </w:pPr>
    <w:rPr/>
  </w:style>
  <w:style w:type="paragraph" w:styleId="24">
    <w:name w:val="Текст примечания2"/>
    <w:basedOn w:val="Normal"/>
    <w:qFormat/>
    <w:pPr/>
    <w:rPr>
      <w:sz w:val="20"/>
      <w:szCs w:val="20"/>
    </w:rPr>
  </w:style>
  <w:style w:type="paragraph" w:styleId="Style41">
    <w:name w:val="Style4"/>
    <w:basedOn w:val="Normal"/>
    <w:qFormat/>
    <w:pPr>
      <w:widowControl w:val="false"/>
      <w:spacing w:lineRule="exact" w:line="276"/>
      <w:jc w:val="both"/>
    </w:pPr>
    <w:rPr/>
  </w:style>
  <w:style w:type="paragraph" w:styleId="Style71">
    <w:name w:val="Style7"/>
    <w:basedOn w:val="Normal"/>
    <w:qFormat/>
    <w:pPr>
      <w:widowControl w:val="false"/>
      <w:spacing w:lineRule="exact" w:line="276"/>
      <w:ind w:firstLine="739" w:start="0" w:end="0"/>
      <w:jc w:val="both"/>
    </w:pPr>
    <w:rPr/>
  </w:style>
  <w:style w:type="paragraph" w:styleId="Style91">
    <w:name w:val="Style9"/>
    <w:basedOn w:val="Normal"/>
    <w:qFormat/>
    <w:pPr>
      <w:widowControl w:val="false"/>
      <w:jc w:val="both"/>
    </w:pPr>
    <w:rPr/>
  </w:style>
  <w:style w:type="paragraph" w:styleId="Style241">
    <w:name w:val="Style24"/>
    <w:basedOn w:val="Normal"/>
    <w:qFormat/>
    <w:pPr>
      <w:widowControl w:val="false"/>
      <w:spacing w:lineRule="exact" w:line="275"/>
      <w:jc w:val="both"/>
    </w:pPr>
    <w:rPr/>
  </w:style>
  <w:style w:type="paragraph" w:styleId="Style301">
    <w:name w:val="Style30"/>
    <w:basedOn w:val="Normal"/>
    <w:qFormat/>
    <w:pPr>
      <w:widowControl w:val="false"/>
      <w:spacing w:lineRule="exact" w:line="274"/>
      <w:ind w:firstLine="490" w:start="0" w:end="0"/>
      <w:jc w:val="both"/>
    </w:pPr>
    <w:rPr/>
  </w:style>
  <w:style w:type="paragraph" w:styleId="Style36">
    <w:name w:val="Style36"/>
    <w:basedOn w:val="Normal"/>
    <w:qFormat/>
    <w:pPr>
      <w:widowControl w:val="false"/>
    </w:pPr>
    <w:rPr/>
  </w:style>
  <w:style w:type="paragraph" w:styleId="ConsPlusCell">
    <w:name w:val="ConsPlusCel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Paragraph">
    <w:name w:val="paragraph"/>
    <w:basedOn w:val="Normal"/>
    <w:qFormat/>
    <w:pPr>
      <w:spacing w:before="280" w:after="280"/>
    </w:pPr>
    <w:rPr/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paragraph" w:styleId="Style33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126</TotalTime>
  <Application>LibreOffice/7.6.7.2$Linux_X86_64 LibreOffice_project/60$Build-2</Application>
  <AppVersion>15.0000</AppVersion>
  <Pages>4</Pages>
  <Words>884</Words>
  <Characters>6463</Characters>
  <CharactersWithSpaces>7298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2026-04-17T10:10:00Z</dcterms:created>
  <dc:creator>Андрей Алексеев</dc:creator>
  <dc:description/>
  <dc:language>ru-RU</dc:language>
  <cp:lastModifiedBy/>
  <cp:lastPrinted>2024-11-27T20:02:00Z</cp:lastPrinted>
  <dcterms:modified xsi:type="dcterms:W3CDTF">2026-09-01T17:40:41Z</dcterms:modified>
  <cp:revision>16</cp:revision>
  <dc:subject/>
  <dc:title>Типовая форма документации об открытом аукционе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