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226EAD">
        <w:rPr>
          <w:rFonts w:ascii="Times New Roman" w:eastAsia="Times New Roman" w:hAnsi="Times New Roman" w:cs="Times New Roman"/>
          <w:sz w:val="20"/>
          <w:szCs w:val="20"/>
        </w:rPr>
        <w:t xml:space="preserve">выполнить работы </w:t>
      </w:r>
      <w:bookmarkStart w:id="0" w:name="_GoBack"/>
      <w:bookmarkEnd w:id="0"/>
      <w:r w:rsidR="00226EAD" w:rsidRPr="00226EAD">
        <w:rPr>
          <w:rFonts w:ascii="Times New Roman" w:eastAsia="Times New Roman" w:hAnsi="Times New Roman" w:cs="Times New Roman"/>
          <w:sz w:val="20"/>
          <w:szCs w:val="20"/>
        </w:rPr>
        <w:t>по устройству приямка под монтаж подъёмника в блоке обслуживания</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в соответствии с положениями Федерального закона о контрактной системе. 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1071</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344</cp:revision>
  <cp:lastPrinted>2025-02-27T12:09:00Z</cp:lastPrinted>
  <dcterms:created xsi:type="dcterms:W3CDTF">2024-07-16T10:15:00Z</dcterms:created>
  <dcterms:modified xsi:type="dcterms:W3CDTF">2026-07-22T05:33:00Z</dcterms:modified>
</cp:coreProperties>
</file>