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Проект государственного к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онтракта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№ ____/2026 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на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проведение работ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по прочистке труб системы канализации гидродинамическим способом</w:t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 г. Томск          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«___» _____  2026 г.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firstLine="284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4"/>
        <w:ind w:left="0" w:right="0" w:firstLine="709"/>
        <w:jc w:val="both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Томской области (Управление Росреестра по Томской области)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действующее от имени Российской Федерации, именуемое в дальнейшем «Заказчик»,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лице начальника отдела финансово-экономического и административно-хозяйственного обеспечения Деминой Татьяны Анатольевны, действующего на основании Доверенности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№ 77 от 29.12.2025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г.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с одной стороны,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________________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с другой стороны, в дальнейшем вместе именуемые «Стороны», и каждый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 отдельно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сти «Сторона», в соответствии с пунктом 4 части 1 статьи 93 Федерального закона от 05 апреля 2013 г. № 44-ФЗ «О контрактной системе в сфере закупок товаров, работ, услуг для обеспечения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государственных и муниципальных нужд» (далее –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Федеральный з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акон от 05.04.2013 № 44-ФЗ)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заключили настоящий Государственный контракт (далее – Контракт) о нижеследующем: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 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left="0" w:right="0" w:firstLine="709"/>
        <w:jc w:val="center"/>
        <w:widowControl w:val="off"/>
        <w:rPr>
          <w:rFonts w:ascii="PT Astra Serif" w:hAnsi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1. ПРЕДМЕТ КОНТРАКТА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outlineLvl w:val="2"/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1.1. Предмет 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онтракта: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оказание услуг по прочистке труб системы канализации гидродинамическим способом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(далее - Услуги)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Описанием объекта закупки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(Прилож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ение 1 к Контракту), Спецификацией (Приложение 2 к Контракту),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eastAsia="PT Astra Serif" w:cs="PT Astra Serif"/>
          <w:sz w:val="22"/>
          <w:szCs w:val="22"/>
          <w:highlight w:val="none"/>
        </w:rPr>
        <w:outlineLvl w:val="2"/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.2. Идентификационный код закупки: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26 1 7017107837 701701001 0030 000 0000 000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/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outlineLvl w:val="2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left="0" w:right="0" w:firstLine="709"/>
        <w:jc w:val="center"/>
        <w:rPr>
          <w:rFonts w:ascii="PT Astra Serif" w:hAnsi="PT Astra Serif" w:cs="PT Astra Serif"/>
          <w:b/>
          <w:sz w:val="22"/>
          <w:szCs w:val="22"/>
        </w:rPr>
        <w:outlineLvl w:val="2"/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2. ЦЕНА КОНТРАКТА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85"/>
        <w:ind w:left="0" w:right="0" w:firstLine="709"/>
        <w:jc w:val="both"/>
        <w:widowControl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2.1.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Цена контракта составляет _____ (сумма прописью),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том числе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НДС</w:t>
      </w:r>
      <w:r>
        <w:rPr>
          <w:rStyle w:val="902"/>
          <w:rFonts w:ascii="PT Astra Serif" w:hAnsi="PT Astra Serif" w:eastAsia="PT Astra Serif" w:cs="PT Astra Serif"/>
          <w:sz w:val="22"/>
          <w:szCs w:val="22"/>
        </w:rPr>
        <w:footnoteReference w:id="2"/>
      </w:r>
      <w:r>
        <w:rPr>
          <w:rFonts w:ascii="PT Astra Serif" w:hAnsi="PT Astra Serif" w:eastAsia="PT Astra Serif" w:cs="PT Astra Serif"/>
          <w:sz w:val="22"/>
          <w:szCs w:val="22"/>
        </w:rPr>
        <w:t xml:space="preserve"> 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% -__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руб. __ коп.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 включает в себя все расходы, связанные с оказанием услуг в соответствии с условиями Контракта, в том числе </w:t>
      </w:r>
      <w:r>
        <w:rPr>
          <w:rFonts w:ascii="PT Astra Serif" w:hAnsi="PT Astra Serif" w:cs="Times New Roman"/>
          <w:sz w:val="24"/>
          <w:szCs w:val="24"/>
        </w:rPr>
        <w:t xml:space="preserve">стоимость </w:t>
      </w:r>
      <w:r>
        <w:rPr>
          <w:rFonts w:ascii="PT Astra Serif" w:hAnsi="PT Astra Serif" w:cs="Times New Roman"/>
          <w:sz w:val="24"/>
          <w:szCs w:val="24"/>
        </w:rPr>
        <w:t xml:space="preserve">оказания услуг,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р</w:t>
      </w:r>
      <w:r>
        <w:rPr>
          <w:rFonts w:ascii="PT Astra Serif" w:hAnsi="PT Astra Serif" w:cs="Times New Roman"/>
          <w:sz w:val="24"/>
          <w:szCs w:val="24"/>
        </w:rPr>
        <w:t xml:space="preserve">асходы на уплату налогов, сборов и других обязательных платежей, </w:t>
      </w:r>
      <w:r>
        <w:rPr>
          <w:rFonts w:ascii="PT Astra Serif" w:hAnsi="PT Astra Serif" w:cs="Times New Roman"/>
          <w:sz w:val="24"/>
          <w:szCs w:val="24"/>
        </w:rPr>
        <w:t xml:space="preserve">все непредвиденные расходы, которые могут возникнуть в период действия Контракта в связи с его исполнением</w:t>
      </w:r>
      <w:r>
        <w:rPr>
          <w:rFonts w:ascii="PT Astra Serif" w:hAnsi="PT Astra Serif" w:cs="Times New Roman"/>
          <w:sz w:val="24"/>
          <w:szCs w:val="24"/>
        </w:rPr>
      </w:r>
      <w:r/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5"/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2.2. Сумма, подлежащая уплате Заказчиком </w:t>
      </w: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Исполнителю</w:t>
      </w: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 w:eastAsiaTheme="minorHAnsi"/>
          <w:sz w:val="22"/>
          <w:szCs w:val="22"/>
          <w:lang w:eastAsia="en-US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2.3.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Цена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Контракт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 является твердой и определяется на весь срок исполнения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Контракт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а, за исключением случаев, предусмотренных 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Федеральным законом от 05.04.2013 № 44-ФЗ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79"/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2.4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бочих дней с даты подпис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ания Исполнителем Акта приемки товаров, работ, услуг (далее – Акт приемки) по форме ОКУД 0510452, утвержденной приказом Минфина России от 15.04.2021 № 61н (далее – Приказ № 61н), сформированного на основании представленных Исполнителем счета, счета-фактуры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(при необходимости), акта оказанных услуг либо универсального передаточного документа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В случае, указанном в пункт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е 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5.2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 Конт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ракта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 о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Акта приемки Заказчиком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5. Финансирование Контракта осуществляется за счет средств федерального бюджета.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.6. КБК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321 0412 54 4 01 90020 244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2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.7. ОКПД2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37.00.11.150 - Услуги по техническому обслуживанию и очистке систем водоотведения и дренажных труб, включая арматуру систем водоотведения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2.8.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Валюта, используемая для расчетов, - рубль Российской Федерации.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center"/>
        <w:tabs>
          <w:tab w:val="left" w:pos="709" w:leader="none"/>
          <w:tab w:val="left" w:pos="1134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 ПРАВА И ОБЯЗАННОСТИ СТОРОН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3.1. Заказчик вправе: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3.1.1. Требовать от Исполнителя надлежащего исполнения обязательств в соответствии с условиями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3.1.3. Запрашивать у Исполнителя информацию о ходе и состоянии исполнения обязательств Исполнителя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Проверять ход и качество оказываемых Исполнителем Услуг, не вмешиваясь в его деятельность.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3.2. Заказчик обязан: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3.2.1. Своевременно принять и оплатить оказанные Услуги в соответствии с условиями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Своевременно предоставлять разъяснения и уточнения по запросам Исполнителя в части 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казания Услуг в соответствии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условиями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3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В случае про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срочки исполнения Исполнителем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Исполнителем обязательств, предусмотренных контрактом, направлять Испо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(в том числе гарантийных, если таковые установлены)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3.2.5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Осуществлять контроль за исполнением Исполнителем условий контракта в соответствии с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3.3. Исполнитель вправе: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3.3.1. Требовать подписания в соответствии с условиями контракта Заказчиком акта оказанных услуг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3.3.2. Требовать своевременной оплаты за оказываемые Услуги в соответствии с условиями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3.3.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3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Направлять Заказчику запросы и получать от него разъяснения и уточнения по вопросам оказания Услуг в рамках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3.4. Исполнитель обязан: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b/>
          <w:color w:val="auto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3.4.1. 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С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амостоятельно о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казать услуги, предусмотренные настоящим контрактом, в соответствии с Описанием объекта закупки и в сроки, установленные пунктом 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4.1 Раздела 4 «Сроки, место и условия оказания услуг» контракта.</w:t>
      </w:r>
      <w:r>
        <w:rPr>
          <w:rFonts w:ascii="PT Astra Serif" w:hAnsi="PT Astra Serif" w:cs="PT Astra Serif"/>
          <w:b/>
          <w:color w:val="auto"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color w:val="auto"/>
          <w:sz w:val="22"/>
          <w:szCs w:val="22"/>
          <w:highlight w:val="white"/>
        </w:rPr>
      </w:r>
    </w:p>
    <w:p>
      <w:pPr>
        <w:ind w:firstLine="709"/>
        <w:jc w:val="both"/>
        <w:spacing w:line="259" w:lineRule="auto"/>
        <w:rPr>
          <w:rFonts w:ascii="PT Astra Serif" w:hAnsi="PT Astra Serif" w:cs="PT Astra Serif"/>
          <w:color w:val="auto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3.4.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2</w:t>
      </w:r>
      <w:r>
        <w:rPr>
          <w:rFonts w:ascii="PT Astra Serif" w:hAnsi="PT Astra Serif" w:eastAsia="PT Astra Serif" w:cs="PT Astra Serif"/>
          <w:color w:val="auto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К установленному Контрактом сроку предоставить Заказчику результаты оказания услуг, предусмотренные Контрактом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auto"/>
          <w:sz w:val="22"/>
          <w:szCs w:val="22"/>
        </w:rPr>
      </w:r>
    </w:p>
    <w:p>
      <w:pPr>
        <w:pStyle w:val="883"/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3.4.3. Не предоставлять другим лицам или не разглашать иным способом конфиден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циальную информацию, полученную в результате исполнения обязательств по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3"/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Представить по запросу Заказчика в сроки, указанные в таком запросе, информацию о ходе исполнения обязательств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3.4.5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4"/>
        <w:ind w:left="0" w:right="0"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6.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 заявке Заказчика предоставлять акт сверки взаимных расчетов.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03"/>
        <w:ind w:left="0" w:right="0" w:firstLine="709"/>
        <w:spacing w:after="0"/>
        <w:tabs>
          <w:tab w:val="left" w:pos="-2977" w:leader="none"/>
          <w:tab w:val="left" w:pos="993" w:leader="none"/>
        </w:tabs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7. Представить Заказчику сведения об изменении своего фактиче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03"/>
        <w:ind w:left="0" w:right="0" w:firstLine="709"/>
        <w:spacing w:after="0"/>
        <w:tabs>
          <w:tab w:val="left" w:pos="-2977" w:leader="none"/>
          <w:tab w:val="left" w:pos="993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  <w:t xml:space="preserve">3.4.8. 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  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В срок не позднее 5 (Пяти) рабочих дней с момента оказания услуг направить Заказчику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счет, счет-фактуру (при необходимости), акт оказанных услуг, либо универсальный передаточный документ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center"/>
        <w:shd w:val="clear" w:color="auto" w:fill="ffffff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 СРОК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, МЕСТО И УСЛОВИЯ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ОКАЗАНИЯ УСЛУГ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4.1. Срок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оказания Услуг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течение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1 (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одного)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рабочего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дня с момента заключения Контракта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 обязан выполнять работы по  прочистке труб системы канализации, учитывая, что здание и помещения эксплуатируются.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tabs>
          <w:tab w:val="left" w:pos="142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4.2.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Место оказания услуг: Томская область, с. Молчаново, ул. Советская, д. 33, строение 1,  с учетом действующего регламента работы Заказчика (пн.-чт. - с 8-45 час. до 18-00 час., обед с 13-00 час. до 14-00 час.; пт. - с 8-45 час. до 16-15 час., обед с 13-00 ча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с. до 13-30 час.)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color w:val="00b05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4.3.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Услуги осуществляются Исполнителем собственными силами и средствами в порядке и объемах, указанных 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Описании объекта закупки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b050"/>
          <w:sz w:val="22"/>
          <w:szCs w:val="22"/>
        </w:rPr>
      </w:r>
      <w:r>
        <w:rPr>
          <w:rFonts w:ascii="PT Astra Serif" w:hAnsi="PT Astra Serif" w:cs="PT Astra Serif"/>
          <w:color w:val="00b050"/>
          <w:sz w:val="22"/>
          <w:szCs w:val="22"/>
        </w:rPr>
      </w:r>
    </w:p>
    <w:p>
      <w:pPr>
        <w:ind w:left="0" w:right="0" w:firstLine="709"/>
        <w:jc w:val="center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center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left="0" w:right="0" w:firstLine="709"/>
        <w:jc w:val="center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left="0" w:right="0" w:firstLine="709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5. ПОРЯДОК СДАЧИ-ПРИЕМКИ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ОКАЗАННЫХ УСЛУГ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/>
          <w:sz w:val="22"/>
          <w:szCs w:val="22"/>
        </w:rPr>
        <w:tab/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79"/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Заказчик в срок не позднее 10 (десяти) рабочих дней, следующих за днем поступления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от Исполнителя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счета, счета-фактуры (при необходимости), акта оказанных услуг, либо универсального передаточного документа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осуществляет приемку оказанных услуг и формирует Акт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 приемки в соответствии с п. 64.19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Приказа № 61н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ри отсутствии расхождений по результатам приемки оказанных услуг, проведенной без участия Исполнителя, Заказчик утверждает Акт приемки и направляет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на адрес электронной почты Исполнителя, указанный в Контракте, 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кан копию Акта приемки,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целях уведомления Исполнителя о результатах приемки оказанных услуг. </w:t>
      </w:r>
      <w:r/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79"/>
        <w:ind w:left="0" w:right="0" w:firstLine="709"/>
        <w:jc w:val="both"/>
        <w:spacing w:before="0" w:beforeAutospacing="0" w:line="240" w:lineRule="auto"/>
        <w:widowControl w:val="off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вправе провести экспертизу оказанных услуг с привлечением экспертов, экспертных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организаций. Способ определения проведения экспертизы определяется Заказчиком самостоятельно в соответствии с Федеральным законом от 05.04.2013 № 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79"/>
        <w:ind w:left="0" w:right="0" w:firstLine="709"/>
        <w:jc w:val="both"/>
        <w:spacing w:before="0" w:beforeAutospacing="0" w:line="240" w:lineRule="auto"/>
        <w:widowControl w:val="off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Заказчик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подписывает Акт приемки только при наличии положительного заключения приемочной комиссии Заказчика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При наличии замечаний к оказанным услугам, отраженных в акте приемочной комиссии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отказывает в приемке и направляет Исполнителю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мотивированный отказ от приемки оказанных услуг с приложением акта приемочной комиссии.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79"/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.5.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Times New Roman"/>
          <w:sz w:val="24"/>
          <w:szCs w:val="24"/>
        </w:rPr>
        <w:t xml:space="preserve">В случае получения в соответствии с пунктом 5.</w:t>
      </w:r>
      <w:r>
        <w:rPr>
          <w:rFonts w:ascii="PT Astra Serif" w:hAnsi="PT Astra Serif" w:cs="Times New Roman"/>
          <w:sz w:val="24"/>
          <w:szCs w:val="24"/>
        </w:rPr>
        <w:t xml:space="preserve">4 Контракта мотивированного отказа от подписания документа о приемке Исполнитель вправе устранить причины, указанные в таком мотивированном отказе, и повторно направить заказчику документ о приемке.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6. ГАРАНТИЙНЫЕ ОБЯЗАТЕЛЬСТВА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6.1. Исполнитель гарантирует соответствие качества оказанных Услуг условиям контракт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left="0" w:right="0" w:firstLine="709"/>
        <w:jc w:val="both"/>
      </w:pPr>
      <w:r>
        <w:rPr>
          <w:rFonts w:ascii="PT Astra Serif" w:hAnsi="PT Astra Serif" w:cs="PT Astra Serif"/>
          <w:sz w:val="22"/>
          <w:szCs w:val="22"/>
          <w:highlight w:val="none"/>
        </w:rPr>
        <w:t xml:space="preserve">6.2. Гарантийный срок на оказываемые услуги должен составлять 1 (один) месяц с даты подписания Заказчиком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Акт приемки</w:t>
      </w:r>
      <w:r/>
      <w:r>
        <w:rPr>
          <w:rFonts w:ascii="PT Astra Serif" w:hAnsi="PT Astra Serif" w:cs="PT Astra Serif"/>
          <w:sz w:val="22"/>
          <w:szCs w:val="22"/>
          <w:highlight w:val="none"/>
        </w:rPr>
        <w:t xml:space="preserve">. </w:t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  <w:highlight w:val="none"/>
        </w:rPr>
        <w:t xml:space="preserve">6.3. Исполнитель обязан устранить в течение гарантийного срока все неисправности (недостатки по качеству или объему оказанных услуг) в течение 5 (пяти) рабочих дней с даты поступления заявки от Заказчика.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left="0" w:right="0" w:firstLine="709"/>
        <w:jc w:val="center"/>
        <w:tabs>
          <w:tab w:val="left" w:pos="709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  <w:outlineLvl w:val="0"/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ind w:left="0" w:right="0" w:firstLine="709"/>
        <w:jc w:val="center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Style w:val="929"/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Style w:val="929"/>
          <w:rFonts w:ascii="PT Astra Serif" w:hAnsi="PT Astra Serif" w:eastAsia="PT Astra Serif" w:cs="PT Astra Serif"/>
          <w:sz w:val="22"/>
          <w:szCs w:val="22"/>
          <w:highlight w:val="white"/>
        </w:rPr>
        <w:t xml:space="preserve">7. ОТВЕТСТВЕННОСТЬ СТОРОН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b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случае неисполнения или ненадлежащего исполнения обязательств, предусмотренных Контрактом, Стороны несут ответственность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b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none"/>
          <w:lang w:eastAsia="en-US" w:bidi="en-US"/>
        </w:rPr>
        <w:t xml:space="preserve">7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en-US" w:bidi="en-US"/>
        </w:rPr>
        <w:t xml:space="preserve">.2.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В случае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.2.1. Пеня начисляется за каждый день просрочки исполнения Заказчиком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обязательства, предусмотренного Контрактом,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начиная со дня,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.2.2.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Штрафы начисляются за каждый факт неисполнения Заказчиком обязатель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Размер штрафа составляет 1000 (одна тысяча) рублей.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.3. В случае просрочки исполнения Исполнителем обязательств</w:t>
      </w:r>
      <w:r>
        <w:rPr>
          <w:rFonts w:ascii="PT Astra Serif" w:hAnsi="PT Astra Serif" w:eastAsia="PT Astra Serif" w:cs="PT Astra Serif"/>
          <w:i/>
          <w:color w:val="2c0afa"/>
          <w:sz w:val="22"/>
          <w:szCs w:val="22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.3.1.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исполнения Контракта),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.3.2.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Штрафы начисляются за каждый факт неисполнения или ненадлежащего исполнения Исполнителем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заказ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      № 1063».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i/>
          <w:iCs/>
          <w:sz w:val="22"/>
          <w:szCs w:val="22"/>
          <w:highlight w:val="white"/>
        </w:rPr>
        <w:suppressLineNumbers w:val="0"/>
      </w:pP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Размер штрафа - 10 % цены Контракта, 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что составляет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_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i/>
          <w:iCs/>
          <w:sz w:val="22"/>
          <w:szCs w:val="22"/>
          <w:highlight w:val="white"/>
        </w:rPr>
      </w:r>
      <w:r>
        <w:rPr>
          <w:rFonts w:ascii="PT Astra Serif" w:hAnsi="PT Astra Serif" w:cs="PT Astra Serif"/>
          <w:i/>
          <w:iCs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.3.3</w:t>
      </w:r>
      <w:r>
        <w:rPr>
          <w:rFonts w:ascii="PT Astra Serif" w:hAnsi="PT Astra Serif" w:eastAsia="PT Astra Serif" w:cs="PT Astra Serif"/>
          <w:i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составляет 1000 (одна тысяча) рублей.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Уплата неустоек (штрафов, пеней) осуществляется на основании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письменной претензии одной из Сторон.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.7.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Заказчик вправе учитывать при расчете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Исполнителем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(вычитать из цены Контракта) сумму в виде неустойки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(штрафа, пени)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, подлежащую уплате Исполнителю за неисполнение (ненадлежащее исполнение) обязательств, предусмотренных Контрактом, 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сли Исполнитель не докажет, что неисполнение (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ненадлежащее исполнение) обязательств произошло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вследствие непреодолимой силы или по вине другой Стороны.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ОБСТОЯТЕЛЬСТВА НЕПРЕОДОЛИМОЙ СИЛЫ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suppressLineNumbers w:val="0"/>
      </w:pPr>
      <w:r>
        <w:rPr>
          <w:rFonts w:ascii="PT Astra Serif" w:hAnsi="PT Astra Serif" w:cs="PT Astra Serif"/>
          <w:sz w:val="22"/>
          <w:szCs w:val="22"/>
        </w:rPr>
        <w:t xml:space="preserve">8.1. 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</w:t>
      </w:r>
      <w:r>
        <w:rPr>
          <w:rFonts w:ascii="PT Astra Serif" w:hAnsi="PT Astra Serif" w:cs="PT Astra Serif"/>
          <w:sz w:val="22"/>
          <w:szCs w:val="22"/>
        </w:rPr>
        <w:t xml:space="preserve">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suppressLineNumbers w:val="0"/>
      </w:pPr>
      <w:r>
        <w:rPr>
          <w:rFonts w:ascii="PT Astra Serif" w:hAnsi="PT Astra Serif" w:cs="PT Astra Serif"/>
          <w:sz w:val="22"/>
          <w:szCs w:val="22"/>
        </w:rPr>
        <w:t xml:space="preserve">8.2.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</w:t>
      </w:r>
      <w:r>
        <w:rPr>
          <w:rFonts w:ascii="PT Astra Serif" w:hAnsi="PT Astra Serif" w:cs="PT Astra Serif"/>
          <w:sz w:val="22"/>
          <w:szCs w:val="22"/>
        </w:rPr>
        <w:t xml:space="preserve">щении фактов должны служить документы, выдаваемые компетентными органами.</w:t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</w:rPr>
        <w:t xml:space="preserve">8.3. Неизвещение либо несвоевременное извещение другой стороны согласно пункту 8.2 Контракта влечет за собой утрату права ссылаться на эти обстоятельства.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6"/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b/>
          <w:bCs/>
          <w:color w:val="548dd4"/>
          <w:sz w:val="22"/>
          <w:szCs w:val="22"/>
        </w:rPr>
      </w:pPr>
      <w:r>
        <w:rPr>
          <w:rFonts w:ascii="PT Astra Serif" w:hAnsi="PT Astra Serif" w:eastAsia="PT Astra Serif" w:cs="PT Astra Serif"/>
          <w:b/>
          <w:color w:val="548dd4"/>
          <w:sz w:val="22"/>
          <w:szCs w:val="22"/>
        </w:rPr>
      </w:r>
      <w:r>
        <w:rPr>
          <w:rFonts w:ascii="PT Astra Serif" w:hAnsi="PT Astra Serif" w:cs="PT Astra Serif"/>
          <w:b/>
          <w:bCs/>
          <w:color w:val="548dd4"/>
          <w:sz w:val="22"/>
          <w:szCs w:val="22"/>
        </w:rPr>
      </w:r>
      <w:r>
        <w:rPr>
          <w:rFonts w:ascii="PT Astra Serif" w:hAnsi="PT Astra Serif" w:cs="PT Astra Serif"/>
          <w:b/>
          <w:bCs/>
          <w:color w:val="548dd4"/>
          <w:sz w:val="22"/>
          <w:szCs w:val="22"/>
        </w:rPr>
      </w:r>
    </w:p>
    <w:p>
      <w:pPr>
        <w:pStyle w:val="886"/>
        <w:ind w:left="0" w:right="0" w:firstLine="709"/>
        <w:jc w:val="center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9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ПОРЯДОК УРЕГУЛИРОВАНИЯ СПОРОВ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spacing w:before="0" w:beforeAutospacing="0" w:line="240" w:lineRule="auto"/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  <w:t xml:space="preserve">9</w:t>
      </w:r>
      <w:r>
        <w:rPr>
          <w:rFonts w:ascii="PT Astra Serif" w:hAnsi="PT Astra Serif" w:cs="PT Astra Serif"/>
          <w:sz w:val="22"/>
          <w:szCs w:val="22"/>
          <w:highlight w:val="white"/>
        </w:rPr>
        <w:t xml:space="preserve">.1. Все споры или разногласия, возникающие между Сторонами по Контракту или в связи с ним, разрешаются в претензионном порядке. Обмен документами в претензионном порядке осуществляется с соблюдением требований, предусмотренных пунктом 11.5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  <w:t xml:space="preserve">9</w:t>
      </w:r>
      <w:r>
        <w:rPr>
          <w:rFonts w:ascii="PT Astra Serif" w:hAnsi="PT Astra Serif" w:cs="PT Astra Serif"/>
          <w:sz w:val="22"/>
          <w:szCs w:val="22"/>
          <w:highlight w:val="white"/>
        </w:rPr>
        <w:t xml:space="preserve">7.2. В случае невозможности разрешения разногласий в претензионном порядке, они подлежат рассмотрению в Арбитражном суде Томской области.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  <w:outlineLvl w:val="1"/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  <w:outlineLvl w:val="1"/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  <w:outlineLvl w:val="1"/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  <w:outlineLvl w:val="1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931"/>
        <w:ind w:left="0" w:right="0" w:firstLine="709"/>
        <w:jc w:val="center"/>
        <w:spacing w:before="0" w:beforeAutospacing="0" w:line="240" w:lineRule="auto"/>
        <w:widowControl/>
        <w:tabs>
          <w:tab w:val="left" w:pos="1128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Style w:val="929"/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Style w:val="929"/>
          <w:rFonts w:ascii="PT Astra Serif" w:hAnsi="PT Astra Serif" w:eastAsia="PT Astra Serif" w:cs="PT Astra Serif"/>
          <w:sz w:val="22"/>
          <w:szCs w:val="22"/>
          <w:highlight w:val="white"/>
        </w:rPr>
        <w:t xml:space="preserve">10. ПОРЯДОК ИЗМЕНЕНИЯ И РАСТОРЖЕНИЯ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79"/>
        <w:ind w:left="0" w:right="0" w:firstLine="709"/>
        <w:jc w:val="both"/>
        <w:spacing w:before="0" w:before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.1. При заключении и исполнении настоящего контракта изменение его условий не допускается, за исключением случаев, предусмотренных частью 1 статьи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879"/>
        <w:ind w:left="0" w:right="0" w:firstLine="709"/>
        <w:jc w:val="both"/>
        <w:spacing w:before="0" w:before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Расторжение Контракта допускается по соглашению Сторон, 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 решению суда или в связи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положениями частей 8 - 11, 12.1 - 19, 20.1 - 23  статьи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r>
      <w:r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color w:val="00b050"/>
          <w:sz w:val="22"/>
          <w:szCs w:val="22"/>
        </w:rPr>
      </w:pPr>
      <w:r>
        <w:rPr>
          <w:rFonts w:ascii="PT Astra Serif" w:hAnsi="PT Astra Serif" w:cs="PT Astra Serif"/>
          <w:color w:val="00b050"/>
          <w:sz w:val="22"/>
          <w:szCs w:val="22"/>
        </w:rPr>
      </w:r>
      <w:r>
        <w:rPr>
          <w:rFonts w:ascii="PT Astra Serif" w:hAnsi="PT Astra Serif" w:cs="PT Astra Serif"/>
          <w:color w:val="00b050"/>
          <w:sz w:val="22"/>
          <w:szCs w:val="22"/>
        </w:rPr>
      </w:r>
      <w:r>
        <w:rPr>
          <w:rFonts w:ascii="PT Astra Serif" w:hAnsi="PT Astra Serif" w:cs="PT Astra Serif"/>
          <w:color w:val="00b050"/>
          <w:sz w:val="22"/>
          <w:szCs w:val="22"/>
        </w:rPr>
      </w:r>
    </w:p>
    <w:p>
      <w:pPr>
        <w:ind w:left="0" w:right="0" w:firstLine="709"/>
        <w:jc w:val="center"/>
        <w:spacing w:before="0" w:beforeAutospacing="0" w:line="240" w:lineRule="auto"/>
        <w:rPr>
          <w:rFonts w:ascii="PT Astra Serif" w:hAnsi="PT Astra Serif" w:cs="PT Astra Serif"/>
          <w:b/>
          <w:bCs/>
          <w:sz w:val="22"/>
          <w:szCs w:val="22"/>
          <w:highlight w:val="white"/>
        </w:rPr>
        <w:suppressLineNumbers w:val="0"/>
      </w:pPr>
      <w:r>
        <w:rPr>
          <w:rStyle w:val="929"/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Style w:val="929"/>
          <w:rFonts w:ascii="PT Astra Serif" w:hAnsi="PT Astra Serif" w:eastAsia="PT Astra Serif" w:cs="PT Astra Serif"/>
          <w:sz w:val="22"/>
          <w:szCs w:val="22"/>
          <w:highlight w:val="white"/>
        </w:rPr>
        <w:t xml:space="preserve">11. СРОК ДЕЙСТВИЯ КОНТРАКТА. ЗАКЛЮЧИТЕЛЬНЫЕ ПОЛОЖЕНИЯ</w:t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:lang w:eastAsia="ar-SA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Контракт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вступает в силу с даты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его заключения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 действует по 31.07.2026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 Окончание срока действия Контракта не влечет прекращения неисполненных обязательств Сторон по Контракту.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.3. При исполнении Контракта не допускается перемена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, за исключением случая, если нов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ый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Исполнитель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является правопреемником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по такому Контракту вследствие реорганизации юридического лица в форме преобразования, слияния или присоединения в соответствии с ч. 5 ст.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.4. В случае перемены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Заказчика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права и обязанности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Заказчика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, предусмотренные Контрактом, переходят к новому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Заказчику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в соответствии с ч. 6 ст. 95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Федерального закона от 05.04.2013 № 44-ФЗ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Стороны обязуются письменно уведомлять друг друга об изменении своих адресов, номеров телефонов, факсов, адресов электронной почты, платежных реквизитов и предоставить документы, подтверждающие факт изменений, в срок не позднее 2 (двух) рабочих дней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со дня изменения. Риск ненадлежащего исполнения Контракта,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.5.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Документооборот в рамках Контракта может осуществляться:</w:t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- в письменной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форме со ссылкой на номер и дату Контракта.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дней;</w:t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- в электронном виде с использованием телекоммуникационных каналов связи (электронного документооборота, ЭДО) - при наличии технических средств и возможност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ей для приемки и обработки электронных документов с использованием ЭП и признавать юридическую силу всех полученных или отправленных электронных документов. Направление аналогичного документа на бумажном носителе в рамках исполнения Контракта не требуется.</w:t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Срок ответа на входящий документ в рамках Контракта не может превышать 5 (пят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и) рабочих дней со дня его получения, за исключением случая, предусмотр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енного п. 8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.2.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.6. Все приложения к Контракту должны быть оформлены в со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ответств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Style w:val="930"/>
          <w:rFonts w:ascii="PT Astra Serif" w:hAnsi="PT Astra Serif" w:eastAsia="PT Astra Serif" w:cs="PT Astra Serif"/>
          <w:sz w:val="22"/>
          <w:szCs w:val="22"/>
          <w:highlight w:val="none"/>
        </w:rPr>
        <w:t xml:space="preserve">11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7. 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  <w:t xml:space="preserve">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 </w:t>
      </w:r>
      <w:r>
        <w:rPr>
          <w:rStyle w:val="930"/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contextualSpacing/>
        <w:ind w:left="0" w:right="0" w:firstLine="709"/>
        <w:jc w:val="center"/>
        <w:spacing w:before="0" w:beforeAutospacing="0" w:line="240" w:lineRule="auto"/>
        <w:rPr>
          <w:rFonts w:ascii="PT Astra Serif" w:hAnsi="PT Astra Serif" w:cs="PT Astra Serif"/>
          <w:b/>
          <w:bCs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  <w:lang w:eastAsia="en-US" w:bidi="en-US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</w:p>
    <w:p>
      <w:pPr>
        <w:contextualSpacing/>
        <w:ind w:left="0" w:right="0" w:firstLine="709"/>
        <w:jc w:val="center"/>
        <w:spacing w:before="0" w:beforeAutospacing="0" w:line="240" w:lineRule="auto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12. </w:t>
      </w:r>
      <w:r>
        <w:rPr>
          <w:rFonts w:ascii="PT Astra Serif" w:hAnsi="PT Astra Serif" w:eastAsia="PT Astra Serif" w:cs="PT Astra Serif"/>
          <w:b/>
          <w:sz w:val="22"/>
          <w:szCs w:val="22"/>
          <w:highlight w:val="white"/>
          <w:lang w:eastAsia="en-US" w:bidi="en-US"/>
        </w:rPr>
        <w:t xml:space="preserve">ПЕРЕЧЕНЬ ПРИЛОЖЕНИЙ</w:t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ind w:left="0" w:right="0" w:firstLine="709"/>
        <w:jc w:val="left"/>
        <w:tabs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12.1.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0" w:right="0" w:firstLine="709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.1.1 Приложение 1.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Описание объекта закупки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12.1.2 Приложение 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Спецификация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pStyle w:val="886"/>
        <w:ind w:firstLine="0"/>
        <w:jc w:val="center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13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АДРЕСА, БАНКОВСКИЕ РЕКВИЗИТЫ И ПОДПИСИ СТОРОН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tbl>
      <w:tblPr>
        <w:tblStyle w:val="892"/>
        <w:tblW w:w="1048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78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5278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left="0" w:right="0"/>
              <w:jc w:val="both"/>
              <w:spacing w:line="240" w:lineRule="auto"/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white"/>
              </w:rPr>
              <w:t xml:space="preserve">Управление Федеральной службы государственной регистрации, кадастра и картографии по Томской области 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Юридический и почтовый адрес: 634003, г. Томск, ул. Пушкина, 34/1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ИНН 7017107837  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КПП 701701001  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ОКТМО 69701000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ОГРН 1047000304823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Дата постановки на учет в налоговом органе: 17.12.2004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2"/>
                <w:szCs w:val="22"/>
              </w:rPr>
              <w:t xml:space="preserve">Банковские реквизиты: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            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Банк: ОКЦ № 1 Сибирского ГУ Банка России // УФК по Новосибирской области, г. Новосибирск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Единый казначейский счет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№ 40102810445370000043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БИК 015004950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УФК по Томской области (Управление Росреестра по Томской области, л/с 03651А27490)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Казначейский счет 03211643000000015105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white"/>
              </w:rPr>
              <w:t xml:space="preserve">Реквизиты для уплаты неустоек (штрафов, пеней): </w:t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Получатель: УФК по Томской области (Управление Росреестра по Томской области л/с 04651А27490)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Банк получателя: ОКЦ № 10 Сибирского ГУ Банка России // УФК по Томской области,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г. Томск,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БИК:016902004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Единый казначейский счет: 40102810245370000058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Казначейский счет: 03100643000000016500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ИНН 7017107837 КПП 701701001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КБК 321 1 16 07090 01 9000 140 (Денежные взыскания (штрафы) за неисполнение или ненадлежащее исполнение поставщиком (подрядчиком, исполнителем) обязательств, предусмотренных контрактами (договорами)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КБК 321 1 16 07010 01 9000 140 (Штрафы, неустойки, пени за просрочку исполнения обязательств, предусмотренных контрактами (договорами)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PT Astra Serif" w:hAnsi="PT Astra Serif" w:cs="PT Astra Serif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ОКТМО 69701000»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Телефон: 8(3822) 65-18-10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tabs>
                <w:tab w:val="num" w:pos="1100" w:leader="none"/>
              </w:tabs>
              <w:rPr>
                <w:rFonts w:ascii="PT Astra Serif" w:hAnsi="PT Astra Serif" w:cs="PT Astra Serif"/>
                <w:color w:val="auto"/>
                <w:sz w:val="22"/>
                <w:szCs w:val="22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:</w:t>
            </w:r>
            <w:r>
              <w:rPr>
                <w:rStyle w:val="927"/>
                <w:rFonts w:ascii="PT Astra Serif" w:hAnsi="PT Astra Serif" w:eastAsia="PT Astra Serif" w:cs="PT Astra Serif"/>
                <w:sz w:val="22"/>
                <w:szCs w:val="22"/>
              </w:rPr>
              <w:t xml:space="preserve"> eg.golovan</w:t>
            </w:r>
            <w:hyperlink r:id="rId11" w:tooltip="mailto:vo.antonenko@r70.rosreestr.ru" w:history="1">
              <w:r>
                <w:rPr>
                  <w:rStyle w:val="927"/>
                  <w:rFonts w:ascii="PT Astra Serif" w:hAnsi="PT Astra Serif" w:eastAsia="PT Astra Serif" w:cs="PT Astra Serif"/>
                  <w:sz w:val="22"/>
                  <w:szCs w:val="22"/>
                </w:rPr>
                <w:t xml:space="preserve">@r70.rosreestr.ru</w:t>
              </w:r>
              <w:r>
                <w:rPr>
                  <w:rStyle w:val="927"/>
                  <w:sz w:val="22"/>
                  <w:szCs w:val="22"/>
                </w:rPr>
              </w:r>
              <w:r>
                <w:rPr>
                  <w:rStyle w:val="927"/>
                  <w:rFonts w:ascii="PT Astra Serif" w:hAnsi="PT Astra Serif" w:cs="PT Astra Serif"/>
                  <w:sz w:val="22"/>
                  <w:szCs w:val="22"/>
                </w:rPr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  <w:u w:val="single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tabs>
                <w:tab w:val="num" w:pos="1100" w:leader="none"/>
              </w:tabs>
              <w:rPr>
                <w:rFonts w:ascii="PT Astra Serif" w:hAnsi="PT Astra Serif" w:cs="PT Astra Serif"/>
                <w:color w:val="auto"/>
                <w:sz w:val="22"/>
                <w:szCs w:val="22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  <w:u w:val="single"/>
                <w:lang w:bidi="sa-IN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  <w:u w:val="single"/>
              </w:rPr>
            </w:r>
          </w:p>
        </w:tc>
        <w:tc>
          <w:tcPr>
            <w:tcW w:w="5278" w:type="dxa"/>
            <w:textDirection w:val="lrTb"/>
            <w:noWrap w:val="false"/>
          </w:tcPr>
          <w:p>
            <w:pPr>
              <w:ind w:left="0" w:right="0"/>
              <w:jc w:val="both"/>
              <w:spacing w:line="240" w:lineRule="auto"/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  <w14:ligatures w14:val="none"/>
              </w:rPr>
            </w:r>
          </w:p>
          <w:p>
            <w:pPr>
              <w:ind w:left="0" w:right="0"/>
              <w:jc w:val="both"/>
              <w:spacing w:line="240" w:lineRule="auto"/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highlight w:val="yellow"/>
                <w14:ligatures w14:val="none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84"/>
              <w:ind w:right="0" w:firstLine="0"/>
              <w:jc w:val="left"/>
              <w:spacing w:line="240" w:lineRule="auto"/>
              <w:rPr>
                <w:rFonts w:ascii="PT Astra Serif" w:hAnsi="PT Astra Serif" w:cs="PT Astra Serif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Начальник отдела финансово-экономического и административно-хозяйственного обеспечения </w:t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pStyle w:val="884"/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pStyle w:val="884"/>
              <w:ind w:right="0" w:firstLine="0"/>
              <w:jc w:val="left"/>
              <w:spacing w:line="240" w:lineRule="auto"/>
              <w:rPr>
                <w:rFonts w:ascii="PT Astra Serif" w:hAnsi="PT Astra Serif" w:cs="PT Astra Serif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  <w:t xml:space="preserve">____________________________/Т.А. Демина/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52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886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tbl>
      <w:tblPr>
        <w:tblStyle w:val="892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3651"/>
      </w:tblGrid>
      <w:tr>
        <w:tblPrEx/>
        <w:trPr>
          <w:trHeight w:val="7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Приложение 1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к Государственному контракту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На 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проведение работ по прочистке труб системы канализации гидродинамическим способом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от «_____»___________2026 г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№ ___/2026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pStyle w:val="885"/>
        <w:ind w:right="0"/>
        <w:jc w:val="center"/>
        <w:keepNext/>
        <w:widowControl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ОПИСАНИЕ ОБЪЕКТА ЗАКУПКИ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jc w:val="center"/>
        <w:widowControl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Style w:val="934"/>
          <w:rFonts w:ascii="PT Astra Serif" w:hAnsi="PT Astra Serif" w:eastAsia="PT Astra Serif" w:cs="PT Astra Serif"/>
          <w:b/>
          <w:sz w:val="22"/>
          <w:szCs w:val="22"/>
        </w:rPr>
        <w:t xml:space="preserve">в соответствии со статьёй 33 Федерального закона № 44-ФЗ</w:t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pStyle w:val="883"/>
        <w:ind w:left="0" w:firstLine="709"/>
        <w:jc w:val="both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numPr>
          <w:ilvl w:val="0"/>
          <w:numId w:val="16"/>
        </w:numPr>
        <w:ind w:left="0" w:firstLine="709"/>
        <w:jc w:val="both"/>
        <w:shd w:val="clear" w:color="auto" w:fill="ffffff"/>
        <w:rPr>
          <w:b w:val="0"/>
          <w:bCs w:val="0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проведение работ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по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прочистке труб системы канализации гидродинамическим способом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numPr>
          <w:ilvl w:val="0"/>
          <w:numId w:val="16"/>
        </w:numPr>
        <w:ind w:left="0" w:firstLine="709"/>
        <w:jc w:val="both"/>
        <w:shd w:val="clear" w:color="auto" w:fill="ffffff"/>
        <w:rPr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ОКПД2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en-US"/>
        </w:rPr>
        <w:t xml:space="preserve">37.00.11.150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-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Услуги по техническому обслуживанию и очистке систем водоотведения и дренажных труб, включая арматуру систем водоотведения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6"/>
        </w:numPr>
        <w:ind w:left="0" w:firstLine="709"/>
        <w:jc w:val="both"/>
        <w:shd w:val="clear" w:color="auto" w:fill="ffffff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/>
          <w:b/>
          <w:sz w:val="24"/>
          <w:szCs w:val="24"/>
        </w:rPr>
        <w:t xml:space="preserve">Условия оказания услуг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Основания для выполнения работ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: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профилактическая чистка канализации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 в целях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поддержания пропускной способности канализационной сети.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Основными задачами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прочистки труб системы канализации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являются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: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устранение засоров и восстановление пропускной способности трубопроводов, включая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 удаление жировых отложений, ила, песка, строительного мусора и других отложений со стенок труб,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предотвращение засоров и заиливания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Характеристика канализационной сети: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tbl>
      <w:tblPr>
        <w:tblW w:w="9781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3209"/>
        <w:gridCol w:w="3260"/>
        <w:gridCol w:w="3312"/>
        <w:gridCol w:w="3312"/>
      </w:tblGrid>
      <w:tr>
        <w:tblPrEx/>
        <w:trPr>
          <w:trHeight w:val="584"/>
        </w:trPr>
        <w:tc>
          <w:tcPr>
            <w:tcBorders>
              <w:top w:val="single" w:color="000000" w:sz="4" w:space="0"/>
              <w:left w:val="single" w:color="000000" w:sz="1" w:space="0"/>
              <w:bottom w:val="single" w:color="000000" w:sz="4" w:space="0"/>
            </w:tcBorders>
            <w:tcW w:w="320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Тип канализационной сети  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38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Хозяйственно-бытовая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</w:r>
            <w:r>
              <w:rPr>
                <w:rFonts w:eastAsia="Lucida Sans Unicode"/>
                <w:sz w:val="24"/>
                <w:szCs w:val="24"/>
              </w:rPr>
            </w:r>
            <w:r>
              <w:rPr>
                <w:rFonts w:eastAsia="Lucida Sans Unicode"/>
                <w:sz w:val="24"/>
                <w:szCs w:val="24"/>
              </w:rPr>
            </w:r>
          </w:p>
        </w:tc>
      </w:tr>
      <w:tr>
        <w:tblPrEx/>
        <w:trPr>
          <w:trHeight w:val="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9" w:type="dxa"/>
            <w:vMerge w:val="restart"/>
            <w:textDirection w:val="lrTb"/>
            <w:noWrap w:val="false"/>
          </w:tcPr>
          <w:p>
            <w:pPr>
              <w:contextualSpacing/>
              <w:ind w:left="-197" w:firstLine="197"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Параметры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канализационной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сети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Ø трубы </w:t>
            </w:r>
            <w:r>
              <w:rPr>
                <w:rFonts w:eastAsia="Lucida Sans Unicode"/>
                <w:i/>
                <w:sz w:val="24"/>
                <w:szCs w:val="24"/>
              </w:rPr>
              <w:t xml:space="preserve">(мм)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Кол-во 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i/>
                <w:sz w:val="24"/>
                <w:szCs w:val="24"/>
              </w:rPr>
              <w:t xml:space="preserve">(пог.м)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2" w:type="dxa"/>
            <w:textDirection w:val="lrTb"/>
            <w:noWrap w:val="false"/>
          </w:tcPr>
          <w:p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</w:r>
            <w:r>
              <w:rPr>
                <w:rFonts w:eastAsia="Lucida Sans Unicode"/>
                <w:sz w:val="24"/>
                <w:szCs w:val="24"/>
              </w:rPr>
              <w:t xml:space="preserve">Материал труб</w:t>
            </w:r>
            <w:r>
              <w:rPr>
                <w:rFonts w:eastAsia="Lucida Sans Unicode"/>
                <w:sz w:val="24"/>
                <w:szCs w:val="24"/>
              </w:rPr>
            </w:r>
            <w:r>
              <w:rPr>
                <w:rFonts w:eastAsia="Lucida Sans Unicode"/>
                <w:sz w:val="24"/>
                <w:szCs w:val="24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9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110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  <w:t xml:space="preserve">40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widowControl w:val="off"/>
              <w:rPr>
                <w:rFonts w:eastAsia="Lucida Sans Unicode"/>
              </w:rPr>
              <w:suppressLineNumbers/>
            </w:pPr>
            <w:r>
              <w:rPr>
                <w:rFonts w:eastAsia="Lucida Sans Unicode"/>
                <w:sz w:val="24"/>
                <w:szCs w:val="24"/>
              </w:rPr>
            </w:r>
            <w:r>
              <w:rPr>
                <w:rFonts w:eastAsia="Lucida Sans Unicode"/>
                <w:sz w:val="24"/>
                <w:szCs w:val="24"/>
              </w:rPr>
              <w:t xml:space="preserve">чугун / ПВХ</w:t>
            </w:r>
            <w:r>
              <w:rPr>
                <w:rFonts w:eastAsia="Lucida Sans Unicode"/>
              </w:rPr>
            </w:r>
            <w:r>
              <w:rPr>
                <w:rFonts w:eastAsia="Lucida Sans Unicode"/>
              </w:rPr>
            </w:r>
          </w:p>
        </w:tc>
      </w:tr>
    </w:tbl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  <w:lang w:eastAsia="en-US"/>
        </w:rPr>
        <w:t xml:space="preserve">Место оказания услуг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  <w:lang w:eastAsia="en-US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Томская область, с. Молчаново, ул. Советская, д. 33, строение 1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с учетом действующего регламента работы Заказчика (пн.-чт. - с 8-45 час. до 18-00 час., обед с 13-00 час. до 14-00 час.; пт. - с 8-45 час. до 16-15 час., обед с 13-00 час. до 13-30 час.).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  <w:lang w:eastAsia="en-US"/>
        </w:rPr>
        <w:t xml:space="preserve">Сроки оказания услуг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  <w:lang w:eastAsia="en-US"/>
        </w:rPr>
        <w:t xml:space="preserve">: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В течение 1 рабочего дня с момента заключения государственного контракта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  <w:t xml:space="preserve">Исполнитель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обязан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выполнять работы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по  прочистке труб системы канализации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, учитывая, что здание и помещения эксплуатируются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  <w:lang w:eastAsia="en-US"/>
        </w:rPr>
        <w:t xml:space="preserve">Содержание и объем оказываемых услуг: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Исполнитель обязан выполнить полный комплекс работ: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ind w:left="0" w:firstLine="708"/>
        <w:jc w:val="both"/>
        <w:shd w:val="clear" w:color="auto" w:fill="ffffff"/>
        <w:rPr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1.</w:t>
        <w:tab/>
        <w:t xml:space="preserve">Осмотр и диагностика (перед началом):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numPr>
          <w:ilvl w:val="0"/>
          <w:numId w:val="17"/>
        </w:numPr>
        <w:jc w:val="both"/>
        <w:shd w:val="clear" w:color="auto" w:fill="ffffff"/>
        <w:rPr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Визуальный контроль состояния канализационных труб.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2.</w:t>
        <w:tab/>
        <w:t xml:space="preserve">Основные работы: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83"/>
        <w:numPr>
          <w:ilvl w:val="0"/>
          <w:numId w:val="18"/>
        </w:numPr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Гидродинамическая прочистка канализационных сетей  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Работа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прочистке труб системы канализации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считается выполненной качественно, если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пропускная способность сети восстановлена на 80% от проектной (вода свободно проходит по трубе с расходом, характерным для нормального режима).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В случае если выполнение работ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по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прочистке труб системы канализации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 требует наличие у специалистов Исполнителя определенной квалификации, то к выполнению работ должны привлекаться только специалисты,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имеющие соответствующую подготовку.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/>
          <w:sz w:val="24"/>
          <w:szCs w:val="24"/>
        </w:rPr>
        <w:t xml:space="preserve">Услуги оказываются исполнителем в соответствии с требованиями настоящего Описания объекта закупки, а также правовыми актами и иными документами, регламентирующими порядок организации оказания услуг, действующими в Российской Федерации, в том числе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pStyle w:val="883"/>
        <w:numPr>
          <w:ilvl w:val="0"/>
          <w:numId w:val="18"/>
        </w:numPr>
        <w:jc w:val="both"/>
        <w:shd w:val="clear" w:color="auto" w:fill="ffffff"/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СП 73.13330.2016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 «Внутренние санитарно-технические системы зданий»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;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pStyle w:val="883"/>
        <w:numPr>
          <w:ilvl w:val="0"/>
          <w:numId w:val="18"/>
        </w:numPr>
        <w:jc w:val="both"/>
        <w:shd w:val="clear" w:color="auto" w:fill="ffffff"/>
        <w:tabs>
          <w:tab w:val="clear" w:pos="720" w:leader="none"/>
        </w:tabs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ГОСТ Р 56597-2015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 (Услуги по прочистке канализационных сетей)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</w:p>
    <w:p>
      <w:pPr>
        <w:ind w:left="0" w:firstLine="708"/>
        <w:jc w:val="both"/>
        <w:shd w:val="clear" w:color="auto" w:fill="ffffff"/>
        <w:rPr>
          <w:rFonts w:ascii="PT Astra Serif" w:hAnsi="PT Astra Serif" w:eastAsia="PT Astra Serif" w:cs="PT Astra Serif"/>
          <w:b/>
          <w:bCs/>
          <w:highlight w:val="none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  <w:lang w:eastAsia="en-US"/>
        </w:rPr>
        <w:t xml:space="preserve">Гарантия срок оказания услуг:</w:t>
      </w:r>
      <w:r>
        <w:rPr>
          <w:rFonts w:ascii="PT Astra Serif" w:hAnsi="PT Astra Serif" w:eastAsia="PT Astra Serif" w:cs="PT Astra Serif"/>
          <w:b/>
          <w:bCs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highlight w:val="none"/>
          <w14:ligatures w14:val="none"/>
        </w:rPr>
      </w:r>
    </w:p>
    <w:p>
      <w:pPr>
        <w:pStyle w:val="879"/>
        <w:contextualSpacing w:val="0"/>
        <w:ind w:left="0" w:right="0" w:firstLine="709"/>
        <w:jc w:val="both"/>
        <w:spacing w:before="0" w:after="0"/>
        <w:shd w:val="clear" w:color="auto" w:fill="ffffff"/>
        <w:widowControl/>
        <w:tabs>
          <w:tab w:val="left" w:pos="225" w:leader="none"/>
          <w:tab w:val="clear" w:pos="708" w:leader="none"/>
          <w:tab w:val="left" w:pos="993" w:leader="none"/>
        </w:tabs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Гарантийный срок на оказываемые услуги должен составлять 1 (один) месяц с даты подписания Заказчиком документа о приемке. 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pStyle w:val="883"/>
        <w:ind w:lef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Исполнитель обязан устранить в течение гарантийного срока все неисправности (недостатки по качеству или объему оказанных услуг) в течение 5 (пяти) рабочих дней с даты поступления заявки от Заказчика.</w:t>
      </w:r>
      <w:r/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3"/>
        <w:ind w:lef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3"/>
        <w:ind w:lef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>
        <w:tblPrEx/>
        <w:trPr>
          <w:jc w:val="center"/>
          <w:trHeight w:val="223"/>
        </w:trPr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ЗАКАЗ</w:t>
            </w: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ИК</w:t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Управление Федеральной</w:t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службы государственной регистрации,</w:t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кадастра и картографии по Томской области</w:t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</w:r>
          </w:p>
          <w:p>
            <w:pPr>
              <w:pStyle w:val="884"/>
              <w:ind w:right="0" w:firstLine="0"/>
              <w:jc w:val="left"/>
              <w:spacing w:line="240" w:lineRule="auto"/>
              <w:rPr>
                <w:rFonts w:ascii="PT Astra Serif" w:hAnsi="PT Astra Serif" w:cs="PT Astra Serif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Начальник отдела финансово-экономического и административно-хозяйственного обеспечения </w:t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pStyle w:val="884"/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pStyle w:val="884"/>
              <w:ind w:right="0" w:firstLine="0"/>
              <w:jc w:val="left"/>
              <w:spacing w:line="240" w:lineRule="auto"/>
              <w:rPr>
                <w:rFonts w:ascii="PT Astra Serif" w:hAnsi="PT Astra Serif" w:cs="PT Astra Serif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  <w:t xml:space="preserve">____________________________/Т.А. Демина/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contextualSpacing w:val="0"/>
              <w:jc w:val="left"/>
              <w:spacing w:before="0" w:after="0"/>
              <w:rPr>
                <w:rFonts w:ascii="PT Astra Serif" w:hAnsi="PT Astra Serif" w:eastAsia="PT Astra Serif" w:cs="PT Astra Serif"/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35"/>
              <w:jc w:val="center"/>
              <w:spacing w:before="0" w:after="0" w:line="240" w:lineRule="auto"/>
              <w:shd w:val="clear" w:color="auto" w:fill="auto"/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auto"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</w:p>
          <w:p>
            <w:pPr>
              <w:pStyle w:val="935"/>
              <w:ind w:right="20"/>
              <w:spacing w:before="0" w:after="0" w:line="240" w:lineRule="auto"/>
              <w:shd w:val="clear" w:color="auto" w:fill="auto"/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auto"/>
                <w:sz w:val="22"/>
                <w:szCs w:val="22"/>
              </w:rPr>
            </w:r>
          </w:p>
        </w:tc>
      </w:tr>
    </w:tbl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82"/>
        <w:jc w:val="both"/>
        <w:rPr>
          <w:rFonts w:ascii="PT Astra Serif" w:hAnsi="PT Astra Serif" w:cs="PT Astra Serif"/>
          <w:sz w:val="22"/>
          <w:szCs w:val="22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Style w:val="892"/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5528"/>
      </w:tblGrid>
      <w:tr>
        <w:tblPrEx/>
        <w:trPr>
          <w:trHeight w:val="9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Приложение 2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right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к Государственному контракту на 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проведение работ по прочистке труб системы канализации гидродинамическим способом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right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от «_____»___________2026 г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right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№ ____/2026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  <w:p>
            <w:pPr>
              <w:jc w:val="right"/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none"/>
              </w:rPr>
            </w:r>
          </w:p>
        </w:tc>
      </w:tr>
    </w:tbl>
    <w:p>
      <w:pPr>
        <w:ind w:firstLine="426"/>
        <w:jc w:val="center"/>
        <w:shd w:val="clear" w:color="auto" w:fill="ffffff"/>
        <w:rPr>
          <w:rFonts w:ascii="PT Astra Serif" w:hAnsi="PT Astra Serif" w:cs="PT Astra Serif"/>
          <w:sz w:val="22"/>
          <w:szCs w:val="22"/>
        </w:rPr>
        <w:outlineLvl w:val="3"/>
      </w:pPr>
      <w:r>
        <w:rPr>
          <w:rFonts w:ascii="PT Astra Serif" w:hAnsi="PT Astra Serif" w:eastAsia="PT Astra Serif" w:cs="PT Astra Serif"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eastAsia="PT Astra Serif" w:cs="PT Astra Serif"/>
          <w:sz w:val="22"/>
          <w:szCs w:val="22"/>
          <w:highlight w:val="none"/>
        </w:rPr>
        <w:outlineLvl w:val="3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СПЕЦИФИКАЦИЯ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eastAsia="PT Astra Serif" w:cs="PT Astra Serif"/>
          <w:sz w:val="22"/>
          <w:szCs w:val="22"/>
          <w14:ligatures w14:val="none"/>
        </w:rPr>
        <w:outlineLvl w:val="3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на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проведение работ по прочистке труб системы канализации гидродинамическим способом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  <w14:ligatures w14:val="none"/>
        </w:rPr>
      </w:r>
    </w:p>
    <w:p>
      <w:pPr>
        <w:ind w:firstLine="426"/>
        <w:jc w:val="center"/>
        <w:shd w:val="clear" w:color="auto" w:fill="ffffff"/>
        <w:rPr>
          <w:rFonts w:ascii="PT Astra Serif" w:hAnsi="PT Astra Serif" w:cs="PT Astra Serif"/>
          <w:bCs/>
          <w:sz w:val="22"/>
          <w:szCs w:val="22"/>
        </w:rPr>
        <w:outlineLvl w:val="3"/>
      </w:pPr>
      <w:r>
        <w:rPr>
          <w:rFonts w:ascii="PT Astra Serif" w:hAnsi="PT Astra Serif" w:eastAsia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tbl>
      <w:tblPr>
        <w:tblW w:w="503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1276"/>
        <w:gridCol w:w="992"/>
        <w:gridCol w:w="1134"/>
        <w:gridCol w:w="1559"/>
      </w:tblGrid>
      <w:tr>
        <w:tblPrEx/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br/>
              <w:t xml:space="preserve">п/п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Наименование услуг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Цена за ед., руб.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Стоимость, руб.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Прочистка труб системы канализации гидродинамическим способом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  <w:t xml:space="preserve">пог.м.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  <w:t xml:space="preserve">40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  <w:t xml:space="preserve">ИТОГО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707" w:righ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  <w:t xml:space="preserve">Итого: _________________________.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0" w:type="auto"/>
        <w:jc w:val="center"/>
        <w:tblInd w:w="-1899" w:type="dxa"/>
        <w:tblLayout w:type="fixed"/>
        <w:tblLook w:val="01E0" w:firstRow="1" w:lastRow="1" w:firstColumn="1" w:lastColumn="1" w:noHBand="0" w:noVBand="0"/>
      </w:tblPr>
      <w:tblGrid>
        <w:gridCol w:w="5352"/>
        <w:gridCol w:w="4098"/>
      </w:tblGrid>
      <w:tr>
        <w:tblPrEx/>
        <w:trPr>
          <w:jc w:val="center"/>
          <w:trHeight w:val="223"/>
        </w:trPr>
        <w:tc>
          <w:tcPr>
            <w:tcW w:w="5352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lang w:eastAsia="en-US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4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lang w:eastAsia="en-US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5352" w:type="dxa"/>
            <w:textDirection w:val="lrTb"/>
            <w:noWrap w:val="false"/>
          </w:tcPr>
          <w:p>
            <w:r/>
            <w:r/>
          </w:p>
        </w:tc>
        <w:tc>
          <w:tcPr>
            <w:tcW w:w="4098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99"/>
        </w:trPr>
        <w:tc>
          <w:tcPr>
            <w:tcW w:w="5352" w:type="dxa"/>
            <w:textDirection w:val="lrTb"/>
            <w:noWrap w:val="false"/>
          </w:tcPr>
          <w:p>
            <w:r/>
            <w:r/>
          </w:p>
        </w:tc>
        <w:tc>
          <w:tcPr>
            <w:tcW w:w="4098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502040504020204"/>
  </w:font>
  <w:font w:name="Wingdings">
    <w:panose1 w:val="05010000000000000000"/>
  </w:font>
  <w:font w:name="Symbol">
    <w:panose1 w:val="05010000000000000000"/>
  </w:font>
  <w:font w:name="SimSun">
    <w:panose1 w:val="02000506000000020000"/>
  </w:font>
  <w:font w:name="TimesET">
    <w:panose1 w:val="02000603000000000000"/>
  </w:font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0"/>
      </w:pPr>
      <w:r>
        <w:rPr>
          <w:rStyle w:val="902"/>
        </w:rPr>
        <w:footnoteRef/>
      </w:r>
      <w:r>
        <w:t xml:space="preserve"> </w:t>
      </w:r>
      <w:r>
        <w:rPr>
          <w:rFonts w:eastAsia="Calibri"/>
          <w:lang w:eastAsia="en-US"/>
        </w:rPr>
        <w:t xml:space="preserve">В случае если </w:t>
      </w:r>
      <w:r>
        <w:rPr>
          <w:rFonts w:eastAsia="Calibri"/>
          <w:lang w:eastAsia="en-US"/>
        </w:rPr>
        <w:t xml:space="preserve">Исполнитель</w:t>
      </w:r>
      <w:r>
        <w:rPr>
          <w:rFonts w:eastAsia="Calibri"/>
          <w:lang w:eastAsia="en-US"/>
        </w:rPr>
        <w:t xml:space="preserve"> не является плательщиком НДС, указать "НДС не облагается"</w:t>
      </w:r>
      <w:r/>
    </w:p>
    <w:p>
      <w:pPr>
        <w:pStyle w:val="900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─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-"/>
      <w:lvlJc w:val="left"/>
      <w:pPr>
        <w:ind w:left="2148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914"/>
      <w:isLgl w:val="false"/>
      <w:suff w:val="tab"/>
      <w:lvlText w:val="Раздел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360"/>
      </w:pPr>
      <w:rPr>
        <w:rFonts w:hint="default" w:ascii="Times New Roman" w:hAnsi="Times New Roman" w:cs="Times New Roman"/>
        <w:b/>
      </w:rPr>
    </w:lvl>
    <w:lvl w:ilvl="2">
      <w:start w:val="1"/>
      <w:numFmt w:val="decimal"/>
      <w:isLgl w:val="false"/>
      <w:suff w:val="tab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1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3"/>
    </w:lvlOverride>
  </w:num>
  <w:num w:numId="6">
    <w:abstractNumId w:val="3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79"/>
    <w:next w:val="87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0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79"/>
    <w:next w:val="87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0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0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0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0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0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79"/>
    <w:next w:val="87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0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79"/>
    <w:next w:val="87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0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879"/>
    <w:next w:val="879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0"/>
    <w:link w:val="727"/>
    <w:uiPriority w:val="10"/>
    <w:rPr>
      <w:sz w:val="48"/>
      <w:szCs w:val="48"/>
    </w:rPr>
  </w:style>
  <w:style w:type="paragraph" w:styleId="729">
    <w:name w:val="Subtitle"/>
    <w:basedOn w:val="879"/>
    <w:next w:val="879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0"/>
    <w:link w:val="729"/>
    <w:uiPriority w:val="11"/>
    <w:rPr>
      <w:sz w:val="24"/>
      <w:szCs w:val="24"/>
    </w:rPr>
  </w:style>
  <w:style w:type="paragraph" w:styleId="731">
    <w:name w:val="Quote"/>
    <w:basedOn w:val="879"/>
    <w:next w:val="879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79"/>
    <w:next w:val="879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0"/>
    <w:link w:val="895"/>
    <w:uiPriority w:val="99"/>
  </w:style>
  <w:style w:type="character" w:styleId="736">
    <w:name w:val="Footer Char"/>
    <w:basedOn w:val="880"/>
    <w:link w:val="897"/>
    <w:uiPriority w:val="99"/>
  </w:style>
  <w:style w:type="paragraph" w:styleId="737">
    <w:name w:val="Caption"/>
    <w:basedOn w:val="879"/>
    <w:next w:val="879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7"/>
    <w:uiPriority w:val="99"/>
  </w:style>
  <w:style w:type="table" w:styleId="739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Footnote Text Char"/>
    <w:link w:val="900"/>
    <w:uiPriority w:val="99"/>
    <w:rPr>
      <w:sz w:val="18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List Paragraph"/>
    <w:basedOn w:val="879"/>
    <w:link w:val="918"/>
    <w:uiPriority w:val="34"/>
    <w:qFormat/>
    <w:pPr>
      <w:contextualSpacing/>
      <w:ind w:left="720"/>
    </w:pPr>
  </w:style>
  <w:style w:type="paragraph" w:styleId="884" w:customStyle="1">
    <w:name w:val="ConsPlusNormal"/>
    <w:link w:val="891"/>
    <w:qFormat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5" w:customStyle="1">
    <w:name w:val="ConsNonformat"/>
    <w:pPr>
      <w:ind w:firstLine="0"/>
      <w:jc w:val="left"/>
      <w:widowControl w:val="off"/>
    </w:pPr>
    <w:rPr>
      <w:rFonts w:ascii="Courier New" w:hAnsi="Courier New" w:eastAsia="Times New Roman"/>
      <w:sz w:val="20"/>
      <w:szCs w:val="20"/>
      <w:lang w:eastAsia="ru-RU"/>
    </w:rPr>
  </w:style>
  <w:style w:type="paragraph" w:styleId="886" w:customStyle="1">
    <w:name w:val="ConsNormal"/>
    <w:link w:val="887"/>
    <w:qFormat/>
    <w:pPr>
      <w:ind w:firstLine="720"/>
      <w:jc w:val="left"/>
      <w:widowControl w:val="off"/>
    </w:pPr>
    <w:rPr>
      <w:rFonts w:ascii="Consultant" w:hAnsi="Consultant" w:eastAsia="Arial"/>
      <w:sz w:val="28"/>
      <w:lang w:eastAsia="ar-SA"/>
    </w:rPr>
  </w:style>
  <w:style w:type="character" w:styleId="887" w:customStyle="1">
    <w:name w:val="ConsNormal Знак"/>
    <w:link w:val="886"/>
    <w:rPr>
      <w:rFonts w:ascii="Consultant" w:hAnsi="Consultant" w:eastAsia="Arial"/>
      <w:sz w:val="28"/>
      <w:lang w:eastAsia="ar-SA"/>
    </w:rPr>
  </w:style>
  <w:style w:type="paragraph" w:styleId="888">
    <w:name w:val="Body Text"/>
    <w:basedOn w:val="879"/>
    <w:link w:val="889"/>
    <w:unhideWhenUsed/>
    <w:pPr>
      <w:jc w:val="both"/>
      <w:spacing w:after="120"/>
    </w:pPr>
    <w:rPr>
      <w:szCs w:val="20"/>
    </w:rPr>
  </w:style>
  <w:style w:type="character" w:styleId="889" w:customStyle="1">
    <w:name w:val="Основной текст Знак"/>
    <w:basedOn w:val="880"/>
    <w:link w:val="888"/>
    <w:rPr>
      <w:rFonts w:eastAsia="Times New Roman"/>
      <w:szCs w:val="20"/>
      <w:lang w:eastAsia="ru-RU"/>
    </w:rPr>
  </w:style>
  <w:style w:type="character" w:styleId="890" w:customStyle="1">
    <w:name w:val="Стиль (латиница) Arial 8 пт Синий"/>
    <w:uiPriority w:val="99"/>
    <w:rPr>
      <w:rFonts w:hint="default" w:ascii="Times New Roman" w:hAnsi="Times New Roman" w:cs="Times New Roman"/>
      <w:color w:val="0000ff"/>
      <w:sz w:val="24"/>
    </w:rPr>
  </w:style>
  <w:style w:type="character" w:styleId="891" w:customStyle="1">
    <w:name w:val="ConsPlusNormal Знак"/>
    <w:link w:val="884"/>
    <w:rPr>
      <w:rFonts w:ascii="Arial" w:hAnsi="Arial" w:eastAsia="Times New Roman" w:cs="Arial"/>
      <w:sz w:val="20"/>
      <w:szCs w:val="20"/>
      <w:lang w:eastAsia="ru-RU"/>
    </w:rPr>
  </w:style>
  <w:style w:type="table" w:styleId="892">
    <w:name w:val="Table Grid"/>
    <w:basedOn w:val="881"/>
    <w:uiPriority w:val="3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93">
    <w:name w:val="Balloon Text"/>
    <w:basedOn w:val="879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880"/>
    <w:link w:val="89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5">
    <w:name w:val="Header"/>
    <w:basedOn w:val="879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eastAsia="Times New Roman"/>
      <w:szCs w:val="24"/>
      <w:lang w:eastAsia="ru-RU"/>
    </w:rPr>
  </w:style>
  <w:style w:type="paragraph" w:styleId="897">
    <w:name w:val="Footer"/>
    <w:basedOn w:val="879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880"/>
    <w:link w:val="897"/>
    <w:uiPriority w:val="99"/>
    <w:rPr>
      <w:rFonts w:eastAsia="Times New Roman"/>
      <w:szCs w:val="24"/>
      <w:lang w:eastAsia="ru-RU"/>
    </w:rPr>
  </w:style>
  <w:style w:type="paragraph" w:styleId="899" w:customStyle="1">
    <w:name w:val="Normal_0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900">
    <w:name w:val="footnote text"/>
    <w:basedOn w:val="879"/>
    <w:link w:val="901"/>
    <w:uiPriority w:val="99"/>
    <w:semiHidden/>
    <w:unhideWhenUsed/>
    <w:rPr>
      <w:sz w:val="20"/>
      <w:szCs w:val="20"/>
    </w:rPr>
  </w:style>
  <w:style w:type="character" w:styleId="901" w:customStyle="1">
    <w:name w:val="Текст сноски Знак"/>
    <w:basedOn w:val="880"/>
    <w:link w:val="900"/>
    <w:uiPriority w:val="99"/>
    <w:semiHidden/>
    <w:rPr>
      <w:rFonts w:eastAsia="Times New Roman"/>
      <w:sz w:val="20"/>
      <w:szCs w:val="20"/>
      <w:lang w:eastAsia="ru-RU"/>
    </w:rPr>
  </w:style>
  <w:style w:type="character" w:styleId="902">
    <w:name w:val="footnote reference"/>
    <w:basedOn w:val="880"/>
    <w:uiPriority w:val="99"/>
    <w:semiHidden/>
    <w:unhideWhenUsed/>
    <w:rPr>
      <w:vertAlign w:val="superscript"/>
    </w:rPr>
  </w:style>
  <w:style w:type="paragraph" w:styleId="903" w:customStyle="1">
    <w:name w:val="Text Normal"/>
    <w:basedOn w:val="879"/>
    <w:pPr>
      <w:ind w:left="850" w:right="-1" w:hanging="283"/>
      <w:jc w:val="both"/>
      <w:spacing w:after="120"/>
      <w:widowControl w:val="off"/>
      <w:tabs>
        <w:tab w:val="left" w:pos="0" w:leader="none"/>
      </w:tabs>
    </w:pPr>
    <w:rPr>
      <w:rFonts w:ascii="Arial" w:hAnsi="Arial" w:cs="Arial"/>
      <w:sz w:val="22"/>
      <w:szCs w:val="22"/>
    </w:rPr>
  </w:style>
  <w:style w:type="table" w:styleId="904" w:customStyle="1">
    <w:name w:val="Сетка таблицы1"/>
    <w:basedOn w:val="881"/>
    <w:next w:val="892"/>
    <w:uiPriority w:val="39"/>
    <w:pPr>
      <w:ind w:firstLine="0"/>
      <w:jc w:val="left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5" w:customStyle="1">
    <w:name w:val="Font Style13"/>
    <w:rPr>
      <w:rFonts w:ascii="Times New Roman" w:hAnsi="Times New Roman"/>
      <w:sz w:val="26"/>
    </w:rPr>
  </w:style>
  <w:style w:type="paragraph" w:styleId="906" w:customStyle="1">
    <w:name w:val="Style7"/>
    <w:basedOn w:val="879"/>
    <w:pPr>
      <w:widowControl w:val="off"/>
    </w:pPr>
    <w:rPr>
      <w:rFonts w:eastAsiaTheme="minorEastAsia"/>
    </w:rPr>
  </w:style>
  <w:style w:type="character" w:styleId="907" w:customStyle="1">
    <w:name w:val="Font Style70"/>
    <w:rPr>
      <w:rFonts w:ascii="Times New Roman" w:hAnsi="Times New Roman"/>
      <w:sz w:val="22"/>
    </w:rPr>
  </w:style>
  <w:style w:type="paragraph" w:styleId="908" w:customStyle="1">
    <w:name w:val="Style11"/>
    <w:basedOn w:val="879"/>
    <w:pPr>
      <w:spacing w:line="264" w:lineRule="exact"/>
      <w:widowControl w:val="off"/>
    </w:pPr>
    <w:rPr>
      <w:rFonts w:eastAsiaTheme="minorEastAsia"/>
      <w:lang w:eastAsia="hi-IN" w:bidi="hi-IN"/>
    </w:rPr>
  </w:style>
  <w:style w:type="character" w:styleId="909" w:customStyle="1">
    <w:name w:val="Основной текст (2) + 9"/>
    <w:uiPriority w:val="99"/>
    <w:rPr>
      <w:rFonts w:ascii="Times New Roman" w:hAnsi="Times New Roman"/>
      <w:color w:val="000000"/>
      <w:spacing w:val="0"/>
      <w:position w:val="0"/>
      <w:sz w:val="19"/>
      <w:u w:val="none"/>
      <w:lang w:val="ru-RU" w:eastAsia="ru-RU"/>
    </w:rPr>
  </w:style>
  <w:style w:type="paragraph" w:styleId="910">
    <w:name w:val="Normal (Web)"/>
    <w:basedOn w:val="879"/>
    <w:link w:val="911"/>
    <w:uiPriority w:val="99"/>
    <w:qFormat/>
    <w:pPr>
      <w:spacing w:before="100" w:beforeAutospacing="1" w:after="100" w:afterAutospacing="1"/>
    </w:pPr>
  </w:style>
  <w:style w:type="character" w:styleId="911" w:customStyle="1">
    <w:name w:val="Обычный (веб) Знак"/>
    <w:link w:val="910"/>
    <w:uiPriority w:val="99"/>
    <w:rPr>
      <w:rFonts w:eastAsia="Times New Roman"/>
      <w:szCs w:val="24"/>
      <w:lang w:eastAsia="ru-RU"/>
    </w:rPr>
  </w:style>
  <w:style w:type="character" w:styleId="912" w:customStyle="1">
    <w:name w:val="List Paragraph Char"/>
    <w:link w:val="913"/>
    <w:rPr>
      <w:szCs w:val="24"/>
    </w:rPr>
  </w:style>
  <w:style w:type="paragraph" w:styleId="913" w:customStyle="1">
    <w:name w:val="Абзац списка1"/>
    <w:basedOn w:val="879"/>
    <w:link w:val="912"/>
    <w:qFormat/>
    <w:pPr>
      <w:contextualSpacing/>
      <w:ind w:left="720"/>
    </w:pPr>
    <w:rPr>
      <w:rFonts w:eastAsiaTheme="minorHAnsi"/>
      <w:lang w:eastAsia="en-US"/>
    </w:rPr>
  </w:style>
  <w:style w:type="paragraph" w:styleId="914" w:customStyle="1">
    <w:name w:val="Заголовки Разделов в АД"/>
    <w:basedOn w:val="879"/>
    <w:link w:val="915"/>
    <w:qFormat/>
    <w:pPr>
      <w:numPr>
        <w:ilvl w:val="0"/>
        <w:numId w:val="3"/>
      </w:numPr>
      <w:spacing w:after="120"/>
    </w:pPr>
    <w:rPr>
      <w:b/>
    </w:rPr>
  </w:style>
  <w:style w:type="character" w:styleId="915" w:customStyle="1">
    <w:name w:val="Заголовки Разделов в АД Знак"/>
    <w:link w:val="914"/>
    <w:rPr>
      <w:rFonts w:eastAsia="Times New Roman"/>
      <w:b/>
      <w:szCs w:val="24"/>
    </w:rPr>
  </w:style>
  <w:style w:type="paragraph" w:styleId="916">
    <w:name w:val="No Spacing"/>
    <w:qFormat/>
    <w:pPr>
      <w:ind w:firstLine="0"/>
      <w:jc w:val="left"/>
    </w:pPr>
    <w:rPr>
      <w:rFonts w:ascii="Calibri" w:hAnsi="Calibri" w:eastAsia="Calibri"/>
      <w:sz w:val="22"/>
    </w:rPr>
  </w:style>
  <w:style w:type="character" w:styleId="917" w:customStyle="1">
    <w:name w:val="Основной текст (1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styleId="918" w:customStyle="1">
    <w:name w:val="Абзац списка Знак"/>
    <w:link w:val="883"/>
    <w:uiPriority w:val="34"/>
    <w:rPr>
      <w:rFonts w:eastAsia="Times New Roman"/>
      <w:szCs w:val="24"/>
      <w:lang w:eastAsia="ru-RU"/>
    </w:rPr>
  </w:style>
  <w:style w:type="paragraph" w:styleId="919" w:customStyle="1">
    <w:name w:val="ConsPlusTitle"/>
    <w:uiPriority w:val="99"/>
    <w:pPr>
      <w:ind w:firstLine="0"/>
      <w:jc w:val="left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20">
    <w:name w:val="Body Text 2"/>
    <w:basedOn w:val="879"/>
    <w:link w:val="921"/>
    <w:uiPriority w:val="99"/>
    <w:semiHidden/>
    <w:unhideWhenUsed/>
    <w:pPr>
      <w:spacing w:after="120" w:line="480" w:lineRule="auto"/>
    </w:pPr>
  </w:style>
  <w:style w:type="character" w:styleId="921" w:customStyle="1">
    <w:name w:val="Основной текст 2 Знак"/>
    <w:basedOn w:val="880"/>
    <w:link w:val="920"/>
    <w:uiPriority w:val="99"/>
    <w:semiHidden/>
    <w:rPr>
      <w:rFonts w:eastAsia="Times New Roman"/>
      <w:szCs w:val="24"/>
      <w:lang w:eastAsia="ru-RU"/>
    </w:rPr>
  </w:style>
  <w:style w:type="paragraph" w:styleId="922" w:customStyle="1">
    <w:name w:val="Default"/>
    <w:pPr>
      <w:ind w:firstLine="0"/>
      <w:jc w:val="left"/>
    </w:pPr>
    <w:rPr>
      <w:color w:val="000000"/>
      <w:szCs w:val="24"/>
    </w:rPr>
  </w:style>
  <w:style w:type="paragraph" w:styleId="923" w:customStyle="1">
    <w:name w:val="Обычный1"/>
    <w:pPr>
      <w:ind w:firstLine="0"/>
      <w:spacing w:after="120"/>
    </w:pPr>
    <w:rPr>
      <w:rFonts w:ascii="TimesET" w:hAnsi="TimesET" w:eastAsia="Times New Roman"/>
      <w:szCs w:val="24"/>
      <w:lang w:eastAsia="ru-RU"/>
    </w:rPr>
  </w:style>
  <w:style w:type="paragraph" w:styleId="924" w:customStyle="1">
    <w:name w:val="Стиль"/>
    <w:pPr>
      <w:ind w:firstLine="0"/>
      <w:jc w:val="left"/>
      <w:widowControl w:val="off"/>
    </w:pPr>
    <w:rPr>
      <w:rFonts w:ascii="Arial" w:hAnsi="Arial" w:eastAsia="SimSun" w:cs="Arial"/>
      <w:szCs w:val="24"/>
      <w:lang w:eastAsia="zh-CN"/>
    </w:rPr>
  </w:style>
  <w:style w:type="paragraph" w:styleId="925">
    <w:name w:val="Body Text Indent 2"/>
    <w:basedOn w:val="879"/>
    <w:link w:val="926"/>
    <w:uiPriority w:val="99"/>
    <w:semiHidden/>
    <w:unhideWhenUsed/>
    <w:pPr>
      <w:ind w:left="283"/>
      <w:spacing w:after="120" w:line="480" w:lineRule="auto"/>
    </w:pPr>
    <w:rPr>
      <w:rFonts w:ascii="Calibri" w:hAnsi="Calibri" w:cs="Calibri"/>
      <w:sz w:val="20"/>
      <w:szCs w:val="20"/>
      <w:lang w:eastAsia="ar-SA"/>
    </w:rPr>
  </w:style>
  <w:style w:type="character" w:styleId="926" w:customStyle="1">
    <w:name w:val="Основной текст с отступом 2 Знак"/>
    <w:basedOn w:val="880"/>
    <w:link w:val="925"/>
    <w:uiPriority w:val="99"/>
    <w:semiHidden/>
    <w:rPr>
      <w:rFonts w:ascii="Calibri" w:hAnsi="Calibri" w:eastAsia="Times New Roman" w:cs="Calibri"/>
      <w:sz w:val="20"/>
      <w:szCs w:val="20"/>
      <w:lang w:eastAsia="ar-SA"/>
    </w:rPr>
  </w:style>
  <w:style w:type="character" w:styleId="927">
    <w:name w:val="Hyperlink"/>
    <w:basedOn w:val="880"/>
    <w:uiPriority w:val="99"/>
    <w:unhideWhenUsed/>
    <w:rPr>
      <w:color w:val="0000ff" w:themeColor="hyperlink"/>
      <w:u w:val="single"/>
    </w:rPr>
  </w:style>
  <w:style w:type="paragraph" w:styleId="928" w:customStyle="1">
    <w:name w:val="formattext"/>
    <w:basedOn w:val="879"/>
    <w:qFormat/>
    <w:pPr>
      <w:spacing w:before="100" w:beforeAutospacing="1" w:after="100" w:afterAutospacing="1"/>
    </w:pPr>
    <w:rPr>
      <w:rFonts w:eastAsia="Calibri"/>
      <w:lang w:eastAsia="zh-CN"/>
    </w:rPr>
  </w:style>
  <w:style w:type="character" w:styleId="929" w:customStyle="1">
    <w:name w:val="Font Style25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930" w:customStyle="1">
    <w:name w:val="Font Style15"/>
    <w:uiPriority w:val="99"/>
    <w:rPr>
      <w:rFonts w:ascii="Times New Roman" w:hAnsi="Times New Roman" w:cs="Times New Roman"/>
      <w:sz w:val="22"/>
      <w:szCs w:val="22"/>
    </w:rPr>
  </w:style>
  <w:style w:type="paragraph" w:styleId="931" w:customStyle="1">
    <w:name w:val="Style18"/>
    <w:uiPriority w:val="99"/>
    <w:pPr>
      <w:contextualSpacing w:val="0"/>
      <w:ind w:left="0" w:right="0" w:firstLine="710"/>
      <w:jc w:val="both"/>
      <w:keepLines w:val="0"/>
      <w:keepNext w:val="0"/>
      <w:pageBreakBefore w:val="0"/>
      <w:spacing w:before="0" w:beforeAutospacing="0" w:after="0" w:afterAutospacing="0" w:line="274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2" w:customStyle="1">
    <w:name w:val="Гиперссылка"/>
    <w:unhideWhenUsed/>
    <w:rPr>
      <w:color w:val="0000ff"/>
      <w:u w:val="single"/>
    </w:rPr>
  </w:style>
  <w:style w:type="character" w:styleId="933" w:customStyle="1">
    <w:name w:val="Font Style61"/>
    <w:rPr>
      <w:rFonts w:ascii="Times New Roman" w:hAnsi="Times New Roman" w:cs="Times New Roman"/>
      <w:sz w:val="22"/>
      <w:szCs w:val="22"/>
    </w:rPr>
  </w:style>
  <w:style w:type="character" w:styleId="934" w:customStyle="1">
    <w:name w:val="blk"/>
    <w:link w:val="758"/>
  </w:style>
  <w:style w:type="paragraph" w:styleId="935" w:customStyle="1">
    <w:name w:val="Основной текст2"/>
    <w:basedOn w:val="864"/>
    <w:link w:val="871"/>
    <w:pPr>
      <w:contextualSpacing w:val="0"/>
      <w:ind w:left="0" w:right="0" w:firstLine="0"/>
      <w:jc w:val="both"/>
      <w:keepLines w:val="0"/>
      <w:keepNext w:val="0"/>
      <w:pageBreakBefore w:val="0"/>
      <w:spacing w:before="480" w:beforeAutospacing="0" w:after="300" w:afterAutospacing="0" w:line="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Основной текст 2"/>
    <w:basedOn w:val="862"/>
    <w:next w:val="881"/>
    <w:link w:val="88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vo.antonenko@r7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0CE2-BDC1-43F6-A53B-C7B0FD8D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gzakaz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revision>48</cp:revision>
  <dcterms:created xsi:type="dcterms:W3CDTF">2021-11-30T02:49:00Z</dcterms:created>
  <dcterms:modified xsi:type="dcterms:W3CDTF">2026-05-25T05:50:12Z</dcterms:modified>
</cp:coreProperties>
</file>