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10"/>
        <w:jc w:val="center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ТЕХНИЧЕСКОЕ ЗАДАНИЕ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предоставление услуг подвижной радиотелефонной связи</w:t>
      </w:r>
      <w:r>
        <w:rPr>
          <w:sz w:val="28"/>
          <w:szCs w:val="28"/>
        </w:rPr>
      </w:r>
    </w:p>
    <w:p>
      <w:pPr>
        <w:ind w:left="0" w:hanging="10"/>
        <w:jc w:val="center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Услуги по предоставлению подвижной радиотелефонной связи на базе совершенных цифровых технологий, высокого качества (в том числе и при самых высоких нагрузках </w:t>
      </w:r>
      <w:r>
        <w:rPr>
          <w:sz w:val="28"/>
          <w:szCs w:val="28"/>
        </w:rPr>
        <w:t xml:space="preserve">на сеть), надежно защищенные от </w:t>
      </w:r>
      <w:r>
        <w:rPr>
          <w:sz w:val="28"/>
          <w:szCs w:val="28"/>
        </w:rPr>
        <w:t xml:space="preserve">несанкционированного доступа, иметь ра</w:t>
      </w:r>
      <w:r>
        <w:rPr>
          <w:sz w:val="28"/>
          <w:szCs w:val="28"/>
        </w:rPr>
        <w:t xml:space="preserve">вномерное и плотное покрытие по </w:t>
      </w:r>
      <w:r>
        <w:rPr>
          <w:sz w:val="28"/>
          <w:szCs w:val="28"/>
        </w:rPr>
        <w:t xml:space="preserve">Москве и Московской области, а также возможность эволюционного наращивания, расширения зоны обслуживания и </w:t>
      </w:r>
      <w:r>
        <w:rPr>
          <w:sz w:val="28"/>
          <w:szCs w:val="28"/>
        </w:rPr>
        <w:t xml:space="preserve">роуминговых</w:t>
      </w:r>
      <w:r>
        <w:rPr>
          <w:sz w:val="28"/>
          <w:szCs w:val="28"/>
        </w:rPr>
        <w:t xml:space="preserve"> отношений, экономичные тарифы и полный набор </w:t>
      </w:r>
      <w:r>
        <w:rPr>
          <w:sz w:val="28"/>
          <w:szCs w:val="28"/>
        </w:rPr>
        <w:t xml:space="preserve">современных услуг для номеров в </w:t>
      </w:r>
      <w:r>
        <w:rPr>
          <w:sz w:val="28"/>
          <w:szCs w:val="28"/>
        </w:rPr>
        <w:t xml:space="preserve">количестве 20</w:t>
      </w:r>
      <w:r>
        <w:rPr>
          <w:sz w:val="28"/>
          <w:szCs w:val="28"/>
        </w:rPr>
        <w:t xml:space="preserve"> штук в соответствии с техническими характеристиками.</w:t>
      </w:r>
      <w:r>
        <w:rPr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Услуги предоставляются </w:t>
      </w:r>
      <w:r>
        <w:rPr>
          <w:b/>
          <w:sz w:val="28"/>
          <w:szCs w:val="28"/>
        </w:rPr>
        <w:t xml:space="preserve">с 01.</w:t>
      </w:r>
      <w:r>
        <w:rPr>
          <w:b/>
          <w:sz w:val="28"/>
          <w:szCs w:val="28"/>
        </w:rPr>
        <w:t xml:space="preserve">08.2026</w:t>
      </w:r>
      <w:r>
        <w:rPr>
          <w:b/>
          <w:sz w:val="28"/>
          <w:szCs w:val="28"/>
        </w:rPr>
        <w:t xml:space="preserve"> по 30</w:t>
      </w:r>
      <w:r>
        <w:rPr>
          <w:b/>
          <w:sz w:val="28"/>
          <w:szCs w:val="28"/>
        </w:rPr>
        <w:t xml:space="preserve">.11</w:t>
      </w:r>
      <w:r>
        <w:rPr>
          <w:b/>
          <w:sz w:val="28"/>
          <w:szCs w:val="28"/>
        </w:rPr>
        <w:t xml:space="preserve">.2026</w:t>
      </w:r>
      <w:r>
        <w:rPr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случае, если услуги будут оказываться операто</w:t>
      </w:r>
      <w:r>
        <w:rPr>
          <w:sz w:val="28"/>
          <w:szCs w:val="28"/>
        </w:rPr>
        <w:t xml:space="preserve">ром подвижной связи, в сеть связи которого будут переноситься абонентские номера, используемые Заказчиком, срок начала оказания услуг с использованием сохраняемых абонентских номеров определяется в соответствии с Правилами оказания услуг телефонной связи, </w:t>
      </w:r>
      <w:r>
        <w:rPr>
          <w:sz w:val="28"/>
          <w:szCs w:val="28"/>
        </w:rPr>
        <w:t xml:space="preserve">утверждёнными</w:t>
      </w:r>
      <w:r>
        <w:rPr>
          <w:sz w:val="28"/>
          <w:szCs w:val="28"/>
        </w:rPr>
        <w:t xml:space="preserve"> Постановлением Правительства РФ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09.12.2014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1342. В случае, если услуги будут оказываться оператором подвижной связи, в сеть связи которого будут переноситься абонентские номера, используемые Заказчиком, перечень таких абонентских номеров будет указан Заказчиком в контракте при его заключении,</w:t>
      </w:r>
      <w:r>
        <w:rPr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Технические характеристики:</w:t>
      </w:r>
      <w:r>
        <w:rPr>
          <w:b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бесплатного подключения и качественной круглосуточной работы радиотелефонов стандартов: GSM 900/1800, UMTS, LTE;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Обеспечение использования ММ-карты в любом аппарате, разработанном для систем GSM 900/1800, UMTS, LTE ведущими фирмами на рынке систем сотовой связи и по мере внедрения новых разработок, возможность их замены аппаратами нового типа;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Максимальная зона устой</w:t>
      </w:r>
      <w:r>
        <w:rPr>
          <w:sz w:val="28"/>
          <w:szCs w:val="28"/>
        </w:rPr>
        <w:t xml:space="preserve">чивого </w:t>
      </w:r>
      <w:r>
        <w:rPr>
          <w:sz w:val="28"/>
          <w:szCs w:val="28"/>
        </w:rPr>
        <w:t xml:space="preserve">радиопокрытия</w:t>
      </w:r>
      <w:r>
        <w:rPr>
          <w:sz w:val="28"/>
          <w:szCs w:val="28"/>
        </w:rPr>
        <w:t xml:space="preserve"> в Москве и </w:t>
      </w:r>
      <w:r>
        <w:rPr>
          <w:sz w:val="28"/>
          <w:szCs w:val="28"/>
        </w:rPr>
        <w:t xml:space="preserve">Московской области; </w:t>
      </w: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816" cy="54880"/>
                <wp:effectExtent l="0" t="0" r="0" b="0"/>
                <wp:docPr id="1" name="Picture 84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97" name="Picture 8497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1816" cy="54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.08pt;height:4.32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8"/>
          <w:szCs w:val="28"/>
        </w:rPr>
        <w:t xml:space="preserve"> Возможность осуществления </w:t>
      </w:r>
      <w:r>
        <w:rPr>
          <w:sz w:val="28"/>
          <w:szCs w:val="28"/>
        </w:rPr>
        <w:t xml:space="preserve">видеозвонков</w:t>
      </w:r>
      <w:r>
        <w:rPr>
          <w:sz w:val="28"/>
          <w:szCs w:val="28"/>
        </w:rPr>
        <w:t xml:space="preserve"> в сетях стандарта 3</w:t>
      </w:r>
      <w:r>
        <w:rPr>
          <w:sz w:val="28"/>
          <w:szCs w:val="28"/>
        </w:rPr>
        <w:t xml:space="preserve">G</w:t>
      </w:r>
      <w:r>
        <w:rPr>
          <w:sz w:val="28"/>
          <w:szCs w:val="28"/>
        </w:rPr>
        <w:t xml:space="preserve">, 4G;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Наибольшая зона покрытия на территории РФ;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Развитое международное покрытие (не менее 228 стран/направлений);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пользоваться услугами других сетей радиотелефонной связи в России и за рубежом (роуминг) (не менее 617 роуминг-партнеров Оператора);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Исполнитель обеспечивает возможность использования имеющихся абонентских номеров Заказчика в коде DEF </w:t>
      </w:r>
      <w:r>
        <w:rPr>
          <w:b/>
          <w:sz w:val="28"/>
          <w:szCs w:val="28"/>
        </w:rPr>
        <w:t xml:space="preserve">в количестве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0 штук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бесплатного подключения дополнительных номеров. </w:t>
      </w:r>
      <w:r>
        <w:rPr>
          <w:sz w:val="28"/>
          <w:szCs w:val="28"/>
        </w:rPr>
      </w:r>
    </w:p>
    <w:p>
      <w:p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Дополнительные услуги (по требованию Заказчика):</w:t>
      </w:r>
      <w:r>
        <w:rPr>
          <w:b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международный доступ; 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переадресация вызова; 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режим ожидания/удержания вызова;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запрет вызова; 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определитель (</w:t>
      </w:r>
      <w:r>
        <w:rPr>
          <w:sz w:val="28"/>
          <w:szCs w:val="28"/>
        </w:rPr>
        <w:t xml:space="preserve">антиопределитель</w:t>
      </w:r>
      <w:r>
        <w:rPr>
          <w:sz w:val="28"/>
          <w:szCs w:val="28"/>
        </w:rPr>
        <w:t xml:space="preserve">) вызова;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голосовая почта; 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детализированный счет; 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бесплатной дистанционной замены </w:t>
      </w:r>
      <w:r>
        <w:rPr>
          <w:sz w:val="28"/>
          <w:szCs w:val="28"/>
          <w:lang w:val="en-US"/>
        </w:rPr>
        <w:t xml:space="preserve">SIM</w:t>
      </w:r>
      <w:r>
        <w:rPr>
          <w:sz w:val="28"/>
          <w:szCs w:val="28"/>
        </w:rPr>
        <w:t xml:space="preserve">-карт для оперативного реагирования в случае выхода из строя или утери </w:t>
      </w:r>
      <w:r>
        <w:rPr>
          <w:sz w:val="28"/>
          <w:szCs w:val="28"/>
          <w:lang w:val="en-US"/>
        </w:rPr>
        <w:t xml:space="preserve">SIM</w:t>
      </w:r>
      <w:r>
        <w:rPr>
          <w:sz w:val="28"/>
          <w:szCs w:val="28"/>
        </w:rPr>
        <w:t xml:space="preserve">-карты; 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выбора абонентских номеров;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блокировка (разблокировка) </w:t>
      </w:r>
      <w:r>
        <w:rPr>
          <w:sz w:val="28"/>
          <w:szCs w:val="28"/>
          <w:lang w:val="en-US"/>
        </w:rPr>
        <w:t xml:space="preserve">SIM</w:t>
      </w:r>
      <w:r>
        <w:rPr>
          <w:sz w:val="28"/>
          <w:szCs w:val="28"/>
        </w:rPr>
        <w:t xml:space="preserve">-карты по требованию владельца в течение 2-х часов с момента обращения;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замены номеров;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временное резервирование номера; 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передачи данных и факсимильных сообщений, мобильного доступа к сети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«Интернет»;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прием/передача </w:t>
      </w:r>
      <w:r>
        <w:rPr>
          <w:sz w:val="28"/>
          <w:szCs w:val="28"/>
          <w:lang w:val="en-US"/>
        </w:rPr>
        <w:t xml:space="preserve">SMS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сообщений, ММ</w:t>
      </w:r>
      <w:r>
        <w:rPr>
          <w:sz w:val="28"/>
          <w:szCs w:val="28"/>
          <w:lang w:val="en-US"/>
        </w:rPr>
        <w:t xml:space="preserve">S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сообщений;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установления запрета GPRS — роуминга;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установления запрета приема наличных платежей;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установления запрета доступа к информационно-развлекательному сервису (по тарифам Оператора).</w:t>
      </w:r>
      <w:r>
        <w:rPr>
          <w:sz w:val="28"/>
          <w:szCs w:val="28"/>
        </w:rPr>
      </w:r>
    </w:p>
    <w:p>
      <w:pPr>
        <w:pStyle w:val="70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 рамках настоящего Техничного задания </w:t>
      </w:r>
      <w:r>
        <w:rPr>
          <w:sz w:val="28"/>
          <w:szCs w:val="28"/>
        </w:rPr>
        <w:t xml:space="preserve">Оператор для целей отображения информации об инициаторе вызова на экране абонентского устройства Вызываемого абонента подключает Абоненту услугу «Этикетка» на все номера, выделенные Оператором в рамках Договора. 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Специальные предложения:</w:t>
      </w:r>
      <w:r>
        <w:rPr>
          <w:b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Отсутствие гарантийных взносов при подключении роуминга.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использования специального </w:t>
      </w:r>
      <w:r>
        <w:rPr>
          <w:sz w:val="28"/>
          <w:szCs w:val="28"/>
        </w:rPr>
        <w:t xml:space="preserve">web</w:t>
      </w:r>
      <w:r>
        <w:rPr>
          <w:sz w:val="28"/>
          <w:szCs w:val="28"/>
        </w:rPr>
        <w:t xml:space="preserve">-интерфейса Оператора, позволяющего Заказчику самостоятельно выполнять следующие действия:</w:t>
      </w:r>
      <w:r>
        <w:rPr>
          <w:sz w:val="28"/>
          <w:szCs w:val="28"/>
        </w:rPr>
      </w:r>
    </w:p>
    <w:p>
      <w:pPr>
        <w:numPr>
          <w:ilvl w:val="3"/>
          <w:numId w:val="2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подключение/отключение услуг;</w:t>
      </w:r>
      <w:r>
        <w:rPr>
          <w:sz w:val="28"/>
          <w:szCs w:val="28"/>
        </w:rPr>
      </w:r>
    </w:p>
    <w:p>
      <w:pPr>
        <w:numPr>
          <w:ilvl w:val="3"/>
          <w:numId w:val="2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подключение/отключение скидок;</w:t>
      </w:r>
      <w:r>
        <w:rPr>
          <w:sz w:val="28"/>
          <w:szCs w:val="28"/>
        </w:rPr>
      </w:r>
    </w:p>
    <w:p>
      <w:pPr>
        <w:numPr>
          <w:ilvl w:val="3"/>
          <w:numId w:val="2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заказ счетов и детализаций (в том числе, единого счета) с доставкой по e-</w:t>
      </w:r>
      <w:r>
        <w:rPr>
          <w:sz w:val="28"/>
          <w:szCs w:val="28"/>
        </w:rPr>
        <w:t xml:space="preserve">mail</w:t>
      </w:r>
      <w:r>
        <w:rPr>
          <w:sz w:val="28"/>
          <w:szCs w:val="28"/>
        </w:rPr>
        <w:t xml:space="preserve"> или факсу;</w:t>
      </w:r>
      <w:r>
        <w:rPr>
          <w:sz w:val="28"/>
          <w:szCs w:val="28"/>
        </w:rPr>
      </w:r>
    </w:p>
    <w:p>
      <w:pPr>
        <w:numPr>
          <w:ilvl w:val="3"/>
          <w:numId w:val="2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формирование отчетов по трафику, начислениям, платежам, номерам компании; </w:t>
      </w:r>
      <w:r>
        <w:rPr>
          <w:sz w:val="28"/>
          <w:szCs w:val="28"/>
        </w:rPr>
      </w:r>
    </w:p>
    <w:p>
      <w:pPr>
        <w:numPr>
          <w:ilvl w:val="3"/>
          <w:numId w:val="2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просмотр совершенных ранее операций;</w:t>
      </w:r>
      <w:r>
        <w:rPr>
          <w:sz w:val="28"/>
          <w:szCs w:val="28"/>
        </w:rPr>
      </w:r>
    </w:p>
    <w:p>
      <w:pPr>
        <w:numPr>
          <w:ilvl w:val="3"/>
          <w:numId w:val="2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просмотр данных по конкретному абоненту (который относится к Заказчику) и т.д.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бесплатного вызова экстренных оперативных служб: пожарной охраны, милиции, скорой медицинской помощи, службы спасения и других аналогичных услуг, которые оговариваются на этапе заключения Контракта.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Обеспечение круглосуточного бесплатного справочно-информационного обслуживания.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Обслуживание государственного заказчика персональным менеджером компании.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Доставка выставляемых счетов курьером.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предоставления отсрочки платежей без отключения радиотелефонов от сети сотовой связи.</w:t>
      </w:r>
      <w:r>
        <w:rPr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Наличие и предоставление Заказчику лицензий:</w:t>
      </w:r>
      <w:r>
        <w:rPr>
          <w:b/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должен предоставить Заказчику копии действующих лицензий на оказание услуг связи или выписки из реестра лицензий. Виды услуг: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 оказание услуг подвижной радиотелефонной связи в стандартах GSM 900/1800 (2G), UMTS (3G), LTE (46), действующую/действующие на территории г. Москвы и Московской</w:t>
      </w:r>
      <w:r>
        <w:rPr>
          <w:sz w:val="28"/>
          <w:szCs w:val="28"/>
        </w:rPr>
        <w:t xml:space="preserve"> области (по месту нахождения и </w:t>
      </w:r>
      <w:r>
        <w:rPr>
          <w:sz w:val="28"/>
          <w:szCs w:val="28"/>
        </w:rPr>
        <w:t xml:space="preserve">территории основной деятельности Заказчика);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 оказание услуг связи по передаче данных, за исключением услуг связи по передаче данных для целей передачи голосовой информации;</w:t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before="80" w:after="80"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 оказание </w:t>
      </w:r>
      <w:r>
        <w:rPr>
          <w:sz w:val="28"/>
          <w:szCs w:val="28"/>
        </w:rPr>
        <w:t xml:space="preserve">телематических</w:t>
      </w:r>
      <w:r>
        <w:rPr>
          <w:sz w:val="28"/>
          <w:szCs w:val="28"/>
        </w:rPr>
        <w:t xml:space="preserve"> услуг связи;</w:t>
      </w:r>
      <w:r>
        <w:rPr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предоставляемым услугам подвижной радиотелефонной связи:</w:t>
      </w:r>
      <w:r>
        <w:rPr>
          <w:b/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0 номеров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безлимитный</w:t>
      </w:r>
      <w:r>
        <w:rPr>
          <w:sz w:val="28"/>
          <w:szCs w:val="28"/>
        </w:rPr>
        <w:t xml:space="preserve"> тариф, включая входящие/исходящие голосовые вызовы, входящие/исходящие </w:t>
      </w:r>
      <w:r>
        <w:rPr>
          <w:sz w:val="28"/>
          <w:szCs w:val="28"/>
          <w:lang w:val="en-US"/>
        </w:rPr>
        <w:t xml:space="preserve">SMS</w:t>
      </w:r>
      <w:r>
        <w:rPr>
          <w:sz w:val="28"/>
          <w:szCs w:val="28"/>
        </w:rPr>
        <w:t xml:space="preserve">/</w:t>
      </w:r>
      <w:r>
        <w:rPr>
          <w:sz w:val="28"/>
          <w:szCs w:val="28"/>
          <w:lang w:val="en-US"/>
        </w:rPr>
        <w:t xml:space="preserve">MMS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сообщения, </w:t>
      </w:r>
      <w:r>
        <w:rPr>
          <w:sz w:val="28"/>
          <w:szCs w:val="28"/>
        </w:rPr>
        <w:t xml:space="preserve">безлимитный</w:t>
      </w:r>
      <w:r>
        <w:rPr>
          <w:sz w:val="28"/>
          <w:szCs w:val="28"/>
        </w:rPr>
        <w:t xml:space="preserve"> доступ к сети Интернет (прием/передача данных WAP/GPRS/3G/LTE) с фиксированной абонентской оплатой для услуг связи при нахождении на территории Российс</w:t>
      </w:r>
      <w:r>
        <w:rPr>
          <w:sz w:val="28"/>
          <w:szCs w:val="28"/>
        </w:rPr>
        <w:t xml:space="preserve">кой Федерации, стран ближнего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дальнего зарубежья (включая услугу GPRS в международном).</w:t>
      </w:r>
      <w:r>
        <w:rPr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 дополнительные опции, не входящие в тарифные планы (международный роуминг), подклю</w:t>
      </w:r>
      <w:r>
        <w:rPr>
          <w:sz w:val="28"/>
          <w:szCs w:val="28"/>
        </w:rPr>
        <w:t xml:space="preserve">чаются по заявлению Заказчика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оплачиваются отдельно по стандартным тарифам оператора-Исполнителя.</w:t>
      </w:r>
      <w:r>
        <w:rPr>
          <w:sz w:val="28"/>
          <w:szCs w:val="28"/>
        </w:rPr>
      </w:r>
    </w:p>
    <w:p>
      <w:pPr>
        <w:ind w:left="0"/>
        <w:jc w:val="left"/>
        <w:spacing w:after="160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ind w:left="0"/>
        <w:jc w:val="center"/>
        <w:spacing w:before="80" w:after="8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Перечень</w:t>
      </w:r>
      <w:r>
        <w:rPr>
          <w:sz w:val="28"/>
          <w:szCs w:val="28"/>
        </w:rPr>
        <w:br/>
        <w:t xml:space="preserve">используемых телефонных номеров</w:t>
      </w:r>
      <w:r>
        <w:rPr>
          <w:sz w:val="28"/>
          <w:szCs w:val="28"/>
        </w:rPr>
        <w:br/>
        <w:t xml:space="preserve">для нужд Министерства культуры Российской Федерации</w:t>
      </w:r>
      <w:r>
        <w:rPr>
          <w:sz w:val="28"/>
          <w:szCs w:val="28"/>
        </w:rPr>
      </w:r>
    </w:p>
    <w:p>
      <w:pPr>
        <w:ind w:left="0"/>
        <w:jc w:val="center"/>
        <w:spacing w:before="80" w:after="8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pPr w:horzAnchor="margin" w:tblpXSpec="center" w:vertAnchor="text" w:tblpY="302" w:leftFromText="180" w:topFromText="0" w:rightFromText="180" w:bottomFromText="0"/>
        <w:tblW w:w="27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1"/>
      </w:tblGrid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  <w:rPr>
                <w:sz w:val="22"/>
              </w:rPr>
            </w:pPr>
            <w:r>
              <w:t xml:space="preserve">9685927021</w:t>
            </w:r>
            <w:r>
              <w:rPr>
                <w:sz w:val="22"/>
              </w:rPr>
            </w:r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9685927034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9685927035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9685927036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9685927038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9685927040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9685927041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9100081812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9100091945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9165098878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9856417723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9858471712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9858471718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9858471733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9858471735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9858471789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9858471837</w:t>
            </w:r>
            <w:r/>
          </w:p>
        </w:tc>
      </w:tr>
      <w:tr>
        <w:tblPrEx/>
        <w:trPr>
          <w:trHeight w:val="284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41" w:type="dxa"/>
            <w:vAlign w:val="bottom"/>
            <w:textDirection w:val="lrTb"/>
            <w:noWrap/>
          </w:tcPr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9858471853</w:t>
            </w:r>
            <w:r/>
          </w:p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9685925787</w:t>
            </w:r>
            <w:r/>
          </w:p>
          <w:p>
            <w:pPr>
              <w:pStyle w:val="706"/>
              <w:numPr>
                <w:ilvl w:val="0"/>
                <w:numId w:val="4"/>
              </w:numPr>
              <w:contextualSpacing w:val="0"/>
              <w:spacing w:after="0" w:line="240" w:lineRule="auto"/>
            </w:pPr>
            <w:r>
              <w:t xml:space="preserve">9661457347</w:t>
            </w:r>
            <w:r/>
          </w:p>
          <w:p>
            <w:pPr>
              <w:rPr>
                <w:rFonts w:ascii="Beeline Sans" w:hAnsi="Beeline Sans"/>
              </w:rPr>
            </w:pPr>
            <w:r>
              <w:rPr>
                <w:rFonts w:ascii="Beeline Sans" w:hAnsi="Beeline Sans"/>
              </w:rPr>
            </w:r>
            <w:r>
              <w:rPr>
                <w:rFonts w:ascii="Beeline Sans" w:hAnsi="Beeline Sans"/>
              </w:rPr>
            </w:r>
          </w:p>
          <w:p>
            <w:pPr>
              <w:rPr>
                <w:rFonts w:ascii="Beeline Sans" w:hAnsi="Beeline Sans"/>
              </w:rPr>
            </w:pPr>
            <w:r>
              <w:rPr>
                <w:rFonts w:ascii="Beeline Sans" w:hAnsi="Beeline Sans"/>
              </w:rPr>
            </w:r>
            <w:r>
              <w:rPr>
                <w:rFonts w:ascii="Beeline Sans" w:hAnsi="Beeline Sans"/>
              </w:rPr>
            </w:r>
          </w:p>
          <w:p>
            <w:pPr>
              <w:rPr>
                <w:rFonts w:ascii="Beeline Sans" w:hAnsi="Beeline Sans"/>
              </w:rPr>
            </w:pPr>
            <w:r>
              <w:rPr>
                <w:rFonts w:ascii="Beeline Sans" w:hAnsi="Beeline Sans"/>
              </w:rPr>
            </w:r>
            <w:r>
              <w:rPr>
                <w:rFonts w:ascii="Beeline Sans" w:hAnsi="Beeline Sans"/>
              </w:rPr>
            </w: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</w:tbl>
    <w:p>
      <w:pPr>
        <w:ind w:left="0"/>
        <w:jc w:val="center"/>
        <w:spacing w:before="80" w:after="8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0" w:firstLine="709"/>
        <w:spacing w:before="80" w:after="8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right"/>
        <w:spacing w:after="120"/>
        <w:tabs>
          <w:tab w:val="left" w:pos="0" w:leader="none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ПРИЛОЖЕНИЕ № </w:t>
      </w:r>
      <w:r>
        <w:rPr>
          <w:b/>
          <w:sz w:val="18"/>
          <w:szCs w:val="18"/>
        </w:rPr>
        <w:t xml:space="preserve">1</w:t>
      </w:r>
      <w:r>
        <w:rPr>
          <w:b/>
          <w:sz w:val="18"/>
          <w:szCs w:val="18"/>
        </w:rPr>
      </w:r>
    </w:p>
    <w:p>
      <w:pPr>
        <w:jc w:val="right"/>
        <w:spacing w:after="120"/>
        <w:tabs>
          <w:tab w:val="left" w:pos="0" w:leader="none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К техническому заданию</w:t>
      </w:r>
      <w:r>
        <w:rPr>
          <w:b/>
          <w:sz w:val="18"/>
          <w:szCs w:val="18"/>
        </w:rPr>
      </w:r>
    </w:p>
    <w:p>
      <w:pPr>
        <w:jc w:val="center"/>
        <w:spacing w:after="120"/>
        <w:tabs>
          <w:tab w:val="left" w:pos="0" w:leader="none"/>
        </w:tabs>
        <w:rPr>
          <w:b/>
          <w:sz w:val="18"/>
          <w:szCs w:val="18"/>
        </w:rPr>
      </w:pP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spacing w:after="120"/>
        <w:tabs>
          <w:tab w:val="left" w:pos="0" w:leader="none"/>
        </w:tabs>
        <w:rPr>
          <w:b/>
          <w:sz w:val="18"/>
          <w:szCs w:val="18"/>
        </w:rPr>
      </w:pP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jc w:val="center"/>
        <w:spacing w:after="120"/>
        <w:tabs>
          <w:tab w:val="left" w:pos="0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Описание услуги Этикетка</w:t>
      </w:r>
      <w:r>
        <w:rPr>
          <w:b/>
          <w:sz w:val="16"/>
          <w:szCs w:val="16"/>
        </w:rPr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>
        <w:tblPrEx/>
        <w:trPr/>
        <w:tc>
          <w:tcPr>
            <w:tcW w:w="4536" w:type="dxa"/>
            <w:textDirection w:val="lrTb"/>
            <w:noWrap w:val="false"/>
          </w:tcPr>
          <w:p>
            <w:pPr>
              <w:ind w:right="-1"/>
              <w:jc w:val="center"/>
              <w:spacing w:after="120"/>
              <w:tabs>
                <w:tab w:val="left" w:pos="0" w:leader="none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right="-1"/>
              <w:jc w:val="right"/>
              <w:spacing w:after="120"/>
              <w:tabs>
                <w:tab w:val="left" w:pos="0" w:leader="none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spacing w:after="1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ТЕРМИНЫ И ОПРЕДЕЛЕНИЯ</w:t>
      </w:r>
      <w:r>
        <w:rPr>
          <w:b/>
          <w:sz w:val="16"/>
          <w:szCs w:val="16"/>
        </w:rPr>
      </w:r>
    </w:p>
    <w:p>
      <w:pPr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Во всех случаях использования в Приложении следующие термины, написанные с большой буквы, имеют приведенное далее значение, независимо от того, в каком числе они используются – в единственном или множественном.</w:t>
      </w:r>
      <w:bookmarkStart w:id="0" w:name="_GoBack"/>
      <w:r/>
      <w:bookmarkEnd w:id="0"/>
      <w:r/>
      <w:r>
        <w:rPr>
          <w:sz w:val="16"/>
          <w:szCs w:val="16"/>
        </w:rPr>
      </w:r>
    </w:p>
    <w:p>
      <w:pPr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Все термины, напечатанные прописными буквами, но не определенные в настоящей статье, будут иметь значение, присвоенное им в тексте самого Приложения или в Договоре.</w:t>
      </w:r>
      <w:r>
        <w:rPr>
          <w:sz w:val="16"/>
          <w:szCs w:val="16"/>
        </w:rPr>
      </w:r>
    </w:p>
    <w:p>
      <w:pPr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Термин «Договор», используемый в настоящем Приложении, распространяется соответственно на равнозначные термины «Контракт», «Государственный контракт», «Муниципальный контракт».</w:t>
      </w:r>
      <w:r>
        <w:rPr>
          <w:sz w:val="16"/>
          <w:szCs w:val="16"/>
        </w:rPr>
      </w:r>
    </w:p>
    <w:p>
      <w:pPr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Термины «Оператор» - «Исполнитель», а также «Абонент» - «Заказчик» являются соответственно равнозначными.</w:t>
      </w:r>
      <w:r>
        <w:rPr>
          <w:sz w:val="16"/>
          <w:szCs w:val="16"/>
        </w:rPr>
      </w:r>
    </w:p>
    <w:tbl>
      <w:tblPr>
        <w:tblW w:w="10348" w:type="dxa"/>
        <w:tblInd w:w="-919" w:type="dxa"/>
        <w:tblLook w:val="04A0" w:firstRow="1" w:lastRow="0" w:firstColumn="1" w:lastColumn="0" w:noHBand="0" w:noVBand="1"/>
      </w:tblPr>
      <w:tblGrid>
        <w:gridCol w:w="1843"/>
        <w:gridCol w:w="8505"/>
      </w:tblGrid>
      <w:tr>
        <w:tblPrEx/>
        <w:trPr/>
        <w:tc>
          <w:tcPr>
            <w:tcW w:w="1843" w:type="dxa"/>
            <w:textDirection w:val="lrTb"/>
            <w:noWrap w:val="false"/>
          </w:tcPr>
          <w:p>
            <w:pPr>
              <w:ind w:left="-113"/>
              <w:spacing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Вызываемый абонент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5" w:type="dxa"/>
            <w:textDirection w:val="lrTb"/>
            <w:noWrap w:val="false"/>
          </w:tcPr>
          <w:p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абонент </w:t>
            </w:r>
            <w:r>
              <w:rPr>
                <w:sz w:val="16"/>
                <w:szCs w:val="16"/>
              </w:rPr>
              <w:t xml:space="preserve">сети подвижной радиотелефонной связи Оператора или иного оператора связи (при наличии договора такого оператора с Оператором на отображение Информации об организации), с которым заключен договор об оказании услуг связи, которому поступает телефонный вызов.</w:t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W w:w="1843" w:type="dxa"/>
            <w:textDirection w:val="lrTb"/>
            <w:noWrap w:val="false"/>
          </w:tcPr>
          <w:p>
            <w:pPr>
              <w:ind w:left="-113"/>
              <w:spacing w:after="1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Вызывающий абонент</w:t>
            </w:r>
            <w:r>
              <w:rPr>
                <w:sz w:val="16"/>
                <w:szCs w:val="16"/>
              </w:rPr>
            </w:r>
          </w:p>
        </w:tc>
        <w:tc>
          <w:tcPr>
            <w:tcW w:w="8505" w:type="dxa"/>
            <w:textDirection w:val="lrTb"/>
            <w:noWrap w:val="false"/>
          </w:tcPr>
          <w:p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пользователь услугами телефонной связи Абонента, который инициирует вызов с Номеров, выделенных Абоненту в рамках Договора.</w:t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W w:w="1843" w:type="dxa"/>
            <w:textDirection w:val="lrTb"/>
            <w:noWrap w:val="false"/>
          </w:tcPr>
          <w:p>
            <w:pPr>
              <w:ind w:left="-113"/>
              <w:spacing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Информация об организации (Этикетка)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5" w:type="dxa"/>
            <w:textDirection w:val="lrTb"/>
            <w:noWrap w:val="false"/>
          </w:tcPr>
          <w:p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обязательная для передачи на пользовательское устройство Вызываемого абонента информация об Абоненте, как об инициаторе вызова, осуществляемого Вызывающим абонентом, определенная Правилами.</w:t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W w:w="1843" w:type="dxa"/>
            <w:textDirection w:val="lrTb"/>
            <w:noWrap w:val="false"/>
          </w:tcPr>
          <w:p>
            <w:pPr>
              <w:ind w:left="-113"/>
              <w:spacing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Номер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5" w:type="dxa"/>
            <w:textDirection w:val="lrTb"/>
            <w:noWrap w:val="false"/>
          </w:tcPr>
          <w:p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абонентский номер сети Оператора, выделенный Абоненту в рамках Договора и используемый Вызывающим абонентом для совершения телефонных вызовов на номера Вызываемых абонентов.</w:t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W w:w="1843" w:type="dxa"/>
            <w:textDirection w:val="lrTb"/>
            <w:noWrap w:val="false"/>
          </w:tcPr>
          <w:p>
            <w:pPr>
              <w:ind w:left="-113"/>
              <w:spacing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Отчетный период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5" w:type="dxa"/>
            <w:textDirection w:val="lrTb"/>
            <w:noWrap w:val="false"/>
          </w:tcPr>
          <w:p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(один) календарный месяц.</w:t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W w:w="1843" w:type="dxa"/>
            <w:textDirection w:val="lrTb"/>
            <w:noWrap w:val="false"/>
          </w:tcPr>
          <w:p>
            <w:pPr>
              <w:ind w:left="-113"/>
              <w:spacing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Правила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5" w:type="dxa"/>
            <w:textDirection w:val="lrTb"/>
            <w:noWrap w:val="false"/>
          </w:tcPr>
          <w:p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правила, сроки, формат передачи оператором связи, с сети связи которого инициируется телефонный вызов, на пользовательское оборудование </w:t>
            </w:r>
            <w:r>
              <w:rPr>
                <w:sz w:val="16"/>
                <w:szCs w:val="16"/>
              </w:rPr>
              <w:t xml:space="preserve">(оконечное оборудование) информации об абоненте – юридическом лице либо индивидуальном предпринимателе, а также составу такой информации, утвержденные постановлением Правительства Российской Федерации в соответствии с федеральным законом «О связи» №126-ФЗ.</w:t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W w:w="1843" w:type="dxa"/>
            <w:textDirection w:val="lrTb"/>
            <w:noWrap w:val="false"/>
          </w:tcPr>
          <w:p>
            <w:pPr>
              <w:ind w:left="-113"/>
              <w:spacing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Сайт Оператора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5" w:type="dxa"/>
            <w:textDirection w:val="lrTb"/>
            <w:noWrap w:val="false"/>
          </w:tcPr>
          <w:p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официальный сайт Оператора по адресу https://beeline.ru.</w:t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tcW w:w="1843" w:type="dxa"/>
            <w:textDirection w:val="lrTb"/>
            <w:noWrap w:val="false"/>
          </w:tcPr>
          <w:p>
            <w:pPr>
              <w:ind w:left="-113"/>
              <w:spacing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Услуга (Услуга «Этикетка»)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5" w:type="dxa"/>
            <w:textDirection w:val="lrTb"/>
            <w:noWrap w:val="false"/>
          </w:tcPr>
          <w:p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услуга по передаче Информации об организации Заказчика, инициировавшего телефонный вызов на устройство Вызываемого абонента.</w:t>
            </w:r>
            <w:r>
              <w:rPr>
                <w:sz w:val="16"/>
                <w:szCs w:val="16"/>
              </w:rPr>
            </w:r>
          </w:p>
          <w:p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tabs>
          <w:tab w:val="right" w:pos="9639" w:leader="none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В рамках настоящего Приложения Оператор оказывает Абоненту Услугу, а Абонент обязуется оплачивать Услугу в порядке и сроки, установленные настоящим Приложением.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jc w:val="left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Стоимость Услуги определяется на основании тарифов, приведенных в Дополнении к настоящему Приложению.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Оператор для целей отображения информации об инициаторе вызова на экране абонентского устройства Вызываемого абонента подключает Абоненту услугу «Этикетка» на все номера, выделенные Оператором в рамках Договора. </w:t>
      </w:r>
      <w:r>
        <w:rPr>
          <w:sz w:val="16"/>
          <w:szCs w:val="16"/>
        </w:rPr>
      </w:r>
    </w:p>
    <w:p>
      <w:pPr>
        <w:pStyle w:val="706"/>
        <w:contextualSpacing w:val="0"/>
        <w:ind w:left="567"/>
        <w:spacing w:after="120"/>
        <w:shd w:val="clear" w:color="auto" w:fill="ffffff"/>
        <w:tabs>
          <w:tab w:val="right" w:pos="9639" w:leader="none"/>
        </w:tabs>
        <w:rPr>
          <w:rStyle w:val="707"/>
          <w:sz w:val="16"/>
          <w:szCs w:val="16"/>
        </w:rPr>
      </w:pPr>
      <w:r>
        <w:rPr>
          <w:sz w:val="16"/>
          <w:szCs w:val="16"/>
        </w:rPr>
        <w:t xml:space="preserve">Если иное не согласовано Сторонами в Таблице 1, в рамках услуги Этикетка в качестве информации об инициаторе вызова Оператором будет использоваться сокращённое наименование Абоне</w:t>
      </w:r>
      <w:r>
        <w:rPr>
          <w:sz w:val="16"/>
          <w:szCs w:val="16"/>
        </w:rPr>
        <w:t xml:space="preserve">нта (при его отсутствии будет сокращено полное наименование) из ЕГРЮЛ/ЕГРИП, а также категория вызова, определенная исходя из основного вида деятельности Абонента, указанного в ЕГРЮЛ/ЕГРИП, в соответствии с требованиями к формату, размещенными на странице </w:t>
      </w:r>
      <w:hyperlink r:id="rId11" w:tooltip="https://static.beeline.ru/upload/images/business/doc/etiketka-obschie-trebovaniya.pdf" w:history="1">
        <w:r>
          <w:rPr>
            <w:rStyle w:val="707"/>
            <w:sz w:val="16"/>
            <w:szCs w:val="16"/>
          </w:rPr>
          <w:t xml:space="preserve">https://static.beeline.ru/upload/images/business/doc/etiketka-obschie-trebovaniya.pdf</w:t>
        </w:r>
      </w:hyperlink>
      <w:r/>
      <w:r>
        <w:rPr>
          <w:rStyle w:val="707"/>
          <w:sz w:val="16"/>
          <w:szCs w:val="16"/>
        </w:rPr>
      </w:r>
    </w:p>
    <w:p>
      <w:pPr>
        <w:pStyle w:val="706"/>
        <w:contextualSpacing w:val="0"/>
        <w:ind w:left="567"/>
        <w:jc w:val="right"/>
        <w:spacing w:after="120"/>
        <w:shd w:val="clear" w:color="auto" w:fill="ffffff"/>
        <w:tabs>
          <w:tab w:val="right" w:pos="9639" w:leader="none"/>
        </w:tabs>
        <w:rPr>
          <w:sz w:val="16"/>
          <w:szCs w:val="16"/>
        </w:rPr>
      </w:pPr>
      <w:r>
        <w:rPr>
          <w:sz w:val="16"/>
          <w:szCs w:val="16"/>
        </w:rPr>
        <w:t xml:space="preserve">Таблица 1</w:t>
      </w:r>
      <w:r>
        <w:rPr>
          <w:sz w:val="16"/>
          <w:szCs w:val="16"/>
        </w:rPr>
      </w:r>
    </w:p>
    <w:p>
      <w:pPr>
        <w:pStyle w:val="706"/>
        <w:contextualSpacing w:val="0"/>
        <w:ind w:left="567"/>
        <w:spacing w:after="120"/>
        <w:shd w:val="clear" w:color="auto" w:fill="ffffff"/>
        <w:tabs>
          <w:tab w:val="right" w:pos="9639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pPr w:horzAnchor="margin" w:tblpXSpec="center" w:vertAnchor="text" w:tblpY="115" w:leftFromText="180" w:topFromText="0" w:rightFromText="180" w:bottomFromText="0"/>
        <w:tblW w:w="9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52"/>
        <w:gridCol w:w="3544"/>
        <w:gridCol w:w="3543"/>
      </w:tblGrid>
      <w:tr>
        <w:tblPrEx/>
        <w:trPr>
          <w:trHeight w:val="900"/>
        </w:trPr>
        <w:tc>
          <w:tcPr>
            <w:shd w:val="clear" w:color="auto" w:fill="bfbfbf"/>
            <w:tcW w:w="2552" w:type="dxa"/>
            <w:textDirection w:val="lrTb"/>
            <w:noWrap/>
          </w:tcPr>
          <w:p>
            <w:pPr>
              <w:jc w:val="center"/>
              <w:rPr>
                <w:rFonts w:ascii="Calibri" w:hAnsi="Calibri" w:eastAsia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  <w:t xml:space="preserve">Направление вызовов</w:t>
            </w: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bfbfbf"/>
            <w:tcW w:w="3544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  <w:t xml:space="preserve">Информация об организации </w:t>
            </w: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Calibri" w:hAnsi="Calibri" w:eastAsia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  <w:t xml:space="preserve">(латиница)</w:t>
            </w: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Calibri" w:hAnsi="Calibri" w:eastAsia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  <w:t xml:space="preserve">до 32 символов</w:t>
            </w: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bfbfbf"/>
            <w:tcW w:w="3543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  <w:t xml:space="preserve">Информация об организации (кириллица)</w:t>
            </w: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Calibri" w:hAnsi="Calibri" w:eastAsia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  <w:t xml:space="preserve">до 32 символов</w:t>
            </w:r>
            <w:r>
              <w:rPr>
                <w:rFonts w:ascii="Calibri" w:hAnsi="Calibri" w:eastAsia="Calibri"/>
                <w:b/>
                <w:bCs/>
                <w:sz w:val="16"/>
                <w:szCs w:val="16"/>
              </w:rPr>
            </w:r>
          </w:p>
        </w:tc>
      </w:tr>
      <w:tr>
        <w:tblPrEx/>
        <w:trPr>
          <w:trHeight w:val="136"/>
        </w:trPr>
        <w:tc>
          <w:tcPr>
            <w:tcW w:w="2552" w:type="dxa"/>
            <w:textDirection w:val="lrTb"/>
            <w:noWrap/>
          </w:tcPr>
          <w:p>
            <w:pPr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ascii="Calibri" w:hAnsi="Calibri" w:eastAsia="Calibri"/>
                <w:sz w:val="16"/>
                <w:szCs w:val="16"/>
              </w:rPr>
              <w:t xml:space="preserve">билайн</w:t>
            </w:r>
            <w:r>
              <w:rPr>
                <w:rFonts w:ascii="Calibri" w:hAnsi="Calibri" w:eastAsia="Calibri"/>
                <w:sz w:val="16"/>
                <w:szCs w:val="16"/>
              </w:rPr>
            </w:r>
          </w:p>
          <w:p>
            <w:pPr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ascii="Calibri" w:hAnsi="Calibri" w:eastAsia="Calibri"/>
                <w:sz w:val="16"/>
                <w:szCs w:val="16"/>
              </w:rPr>
              <w:t xml:space="preserve">МТС</w:t>
            </w:r>
            <w:r>
              <w:rPr>
                <w:rFonts w:ascii="Calibri" w:hAnsi="Calibri" w:eastAsia="Calibri"/>
                <w:sz w:val="16"/>
                <w:szCs w:val="16"/>
              </w:rPr>
            </w:r>
          </w:p>
          <w:p>
            <w:pPr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ascii="Calibri" w:hAnsi="Calibri" w:eastAsia="Calibri"/>
                <w:sz w:val="16"/>
                <w:szCs w:val="16"/>
              </w:rPr>
              <w:t xml:space="preserve">МегаФон</w:t>
            </w:r>
            <w:r>
              <w:rPr>
                <w:rFonts w:ascii="Calibri" w:hAnsi="Calibri" w:eastAsia="Calibri"/>
                <w:sz w:val="16"/>
                <w:szCs w:val="16"/>
              </w:rPr>
            </w:r>
          </w:p>
          <w:p>
            <w:pPr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ascii="Calibri" w:hAnsi="Calibri" w:eastAsia="Calibri"/>
                <w:sz w:val="16"/>
                <w:szCs w:val="16"/>
              </w:rPr>
              <w:t xml:space="preserve">t2</w:t>
            </w:r>
            <w:r>
              <w:rPr>
                <w:rFonts w:ascii="Calibri" w:hAnsi="Calibri" w:eastAsia="Calibri"/>
                <w:sz w:val="16"/>
                <w:szCs w:val="16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rPr>
                <w:rFonts w:ascii="Calibri" w:hAnsi="Calibri" w:eastAsia="Calibri"/>
                <w:sz w:val="16"/>
                <w:szCs w:val="16"/>
                <w:lang w:val="en-US"/>
              </w:rPr>
            </w:pPr>
            <w:r>
              <w:rPr>
                <w:rFonts w:ascii="Calibri" w:hAnsi="Calibri" w:eastAsia="Calibri"/>
                <w:sz w:val="16"/>
                <w:szCs w:val="16"/>
              </w:rPr>
              <w:t xml:space="preserve">Minkultury</w:t>
            </w:r>
            <w:r>
              <w:rPr>
                <w:rFonts w:ascii="Calibri" w:hAnsi="Calibri" w:eastAsia="Calibri"/>
                <w:sz w:val="16"/>
                <w:szCs w:val="16"/>
              </w:rPr>
              <w:t xml:space="preserve"> RF: </w:t>
            </w:r>
            <w:r>
              <w:rPr>
                <w:rFonts w:ascii="Calibri" w:hAnsi="Calibri" w:eastAsia="Calibri"/>
                <w:sz w:val="16"/>
                <w:szCs w:val="16"/>
              </w:rPr>
              <w:t xml:space="preserve">gosorg</w:t>
            </w:r>
            <w:r>
              <w:rPr>
                <w:rFonts w:ascii="Calibri" w:hAnsi="Calibri" w:eastAsia="Calibri"/>
                <w:sz w:val="16"/>
                <w:szCs w:val="16"/>
                <w:lang w:val="en-US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ascii="Calibri" w:hAnsi="Calibri" w:eastAsia="Calibri"/>
                <w:color w:val="a6a6a6"/>
                <w:sz w:val="16"/>
                <w:szCs w:val="16"/>
              </w:rPr>
              <w:t xml:space="preserve">Минкультуры РФ: </w:t>
            </w:r>
            <w:r>
              <w:rPr>
                <w:rFonts w:ascii="Calibri" w:hAnsi="Calibri" w:eastAsia="Calibri"/>
                <w:color w:val="a6a6a6"/>
                <w:sz w:val="16"/>
                <w:szCs w:val="16"/>
              </w:rPr>
              <w:t xml:space="preserve">госорг</w:t>
            </w:r>
            <w:r>
              <w:rPr>
                <w:rFonts w:ascii="Calibri" w:hAnsi="Calibri" w:eastAsia="Calibri"/>
                <w:sz w:val="16"/>
                <w:szCs w:val="16"/>
              </w:rPr>
            </w:r>
          </w:p>
        </w:tc>
      </w:tr>
    </w:tbl>
    <w:p>
      <w:pPr>
        <w:pStyle w:val="706"/>
        <w:contextualSpacing w:val="0"/>
        <w:ind w:left="567"/>
        <w:shd w:val="clear" w:color="auto" w:fill="ffffff"/>
        <w:tabs>
          <w:tab w:val="right" w:pos="9639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spacing w:after="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подключения Услуги </w:t>
      </w:r>
      <w:r>
        <w:rPr>
          <w:sz w:val="16"/>
          <w:szCs w:val="16"/>
        </w:rPr>
        <w:t xml:space="preserve">в случае</w:t>
      </w:r>
      <w:r>
        <w:rPr>
          <w:sz w:val="16"/>
          <w:szCs w:val="16"/>
        </w:rPr>
        <w:t xml:space="preserve"> указания </w:t>
      </w:r>
      <w:r>
        <w:rPr>
          <w:sz w:val="16"/>
          <w:szCs w:val="16"/>
        </w:rPr>
        <w:t xml:space="preserve">Информации об организации </w:t>
      </w:r>
      <w:r>
        <w:rPr>
          <w:sz w:val="16"/>
          <w:szCs w:val="16"/>
        </w:rPr>
        <w:t xml:space="preserve">в Таблице 1 Абонент предоставляет Оператору:</w:t>
      </w:r>
      <w:r>
        <w:rPr>
          <w:sz w:val="16"/>
          <w:szCs w:val="16"/>
        </w:rPr>
      </w:r>
    </w:p>
    <w:p>
      <w:pPr>
        <w:pStyle w:val="706"/>
        <w:numPr>
          <w:ilvl w:val="0"/>
          <w:numId w:val="7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копию свидетельства о регистрации юридического лица или листа записи ЕГРЮЛ;</w:t>
      </w:r>
      <w:r>
        <w:rPr>
          <w:sz w:val="16"/>
          <w:szCs w:val="16"/>
        </w:rPr>
      </w:r>
    </w:p>
    <w:p>
      <w:pPr>
        <w:pStyle w:val="706"/>
        <w:numPr>
          <w:ilvl w:val="0"/>
          <w:numId w:val="7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копию свидетельства о постановке на учёт в налоговом органе;</w:t>
      </w:r>
      <w:r>
        <w:rPr>
          <w:sz w:val="16"/>
          <w:szCs w:val="16"/>
        </w:rPr>
      </w:r>
    </w:p>
    <w:p>
      <w:pPr>
        <w:pStyle w:val="706"/>
        <w:numPr>
          <w:ilvl w:val="0"/>
          <w:numId w:val="7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документы, подтверждающие корректность указания Абонентом Информации об организации, используемой в качестве Этикетки, в том числе, но не ограничиваясь ею, корректность выбора категории вызова;</w:t>
      </w:r>
      <w:r>
        <w:rPr>
          <w:sz w:val="16"/>
          <w:szCs w:val="16"/>
        </w:rPr>
      </w:r>
    </w:p>
    <w:p>
      <w:pPr>
        <w:pStyle w:val="706"/>
        <w:numPr>
          <w:ilvl w:val="0"/>
          <w:numId w:val="7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документы, подтверждающие поручение третьего лица Абоненту осуществлять звонки в интересах такого третьего лица (например, письмо по форме Оператора);</w:t>
      </w:r>
      <w:r>
        <w:rPr>
          <w:sz w:val="16"/>
          <w:szCs w:val="16"/>
        </w:rPr>
      </w:r>
    </w:p>
    <w:p>
      <w:pPr>
        <w:pStyle w:val="706"/>
        <w:numPr>
          <w:ilvl w:val="0"/>
          <w:numId w:val="7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документы, подтверждающие право Абонента на использование коммерческого обозначения в составе Информации об организации;</w:t>
      </w:r>
      <w:r>
        <w:rPr>
          <w:sz w:val="16"/>
          <w:szCs w:val="16"/>
        </w:rPr>
      </w:r>
    </w:p>
    <w:p>
      <w:pPr>
        <w:pStyle w:val="706"/>
        <w:numPr>
          <w:ilvl w:val="0"/>
          <w:numId w:val="7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иные документы для подтверждения гарантий, предусмотренных подпунктом 6.1 Приложения.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Оператор осуществляет подключение У</w:t>
      </w:r>
      <w:r>
        <w:rPr>
          <w:sz w:val="16"/>
          <w:szCs w:val="16"/>
        </w:rPr>
        <w:t xml:space="preserve">слуги Абоненту для Номеров в течение 10 (десяти) рабочих дней с даты подписания Приложения Сторонами, при условии предоставления документов, указанных в пункте 4 Приложения, и при отсутствии технологических и технических ограничений для подключения Услуги.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При использовании Услуг Абонент гарантирует, что:</w:t>
      </w:r>
      <w:r>
        <w:rPr>
          <w:sz w:val="16"/>
          <w:szCs w:val="16"/>
        </w:rPr>
      </w:r>
    </w:p>
    <w:p>
      <w:pPr>
        <w:pStyle w:val="706"/>
        <w:numPr>
          <w:ilvl w:val="1"/>
          <w:numId w:val="8"/>
        </w:numPr>
        <w:contextualSpacing w:val="0"/>
        <w:ind w:left="1134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Предоставленная Абонентом Информация об организации, а также документы, предоставленные Оператору:</w:t>
      </w:r>
      <w:r>
        <w:rPr>
          <w:sz w:val="16"/>
          <w:szCs w:val="16"/>
        </w:rPr>
      </w:r>
    </w:p>
    <w:p>
      <w:pPr>
        <w:pStyle w:val="706"/>
        <w:numPr>
          <w:ilvl w:val="1"/>
          <w:numId w:val="5"/>
        </w:numPr>
        <w:contextualSpacing w:val="0"/>
        <w:ind w:left="1701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относятся к Абоненту и его деятельности;</w:t>
      </w:r>
      <w:r>
        <w:rPr>
          <w:sz w:val="16"/>
          <w:szCs w:val="16"/>
        </w:rPr>
      </w:r>
    </w:p>
    <w:p>
      <w:pPr>
        <w:pStyle w:val="706"/>
        <w:numPr>
          <w:ilvl w:val="1"/>
          <w:numId w:val="5"/>
        </w:numPr>
        <w:contextualSpacing w:val="0"/>
        <w:ind w:left="1701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не противоречат цели/или содержанию вызова, не предназначены для введения в заблуждение Вызываемого абонента и не искажают фактические данные Абонента;</w:t>
      </w:r>
      <w:r>
        <w:rPr>
          <w:sz w:val="16"/>
          <w:szCs w:val="16"/>
        </w:rPr>
      </w:r>
    </w:p>
    <w:p>
      <w:pPr>
        <w:pStyle w:val="706"/>
        <w:numPr>
          <w:ilvl w:val="1"/>
          <w:numId w:val="5"/>
        </w:numPr>
        <w:contextualSpacing w:val="0"/>
        <w:ind w:left="1701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не нарушают прав третьих лиц на фирменное наименование и результаты интеллектуальной деятельности;</w:t>
      </w:r>
      <w:r>
        <w:rPr>
          <w:sz w:val="16"/>
          <w:szCs w:val="16"/>
        </w:rPr>
      </w:r>
    </w:p>
    <w:p>
      <w:pPr>
        <w:pStyle w:val="706"/>
        <w:numPr>
          <w:ilvl w:val="1"/>
          <w:numId w:val="5"/>
        </w:numPr>
        <w:contextualSpacing w:val="0"/>
        <w:ind w:left="1701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не несут незаконного, неприличного, клеветнического, дискредитирующего, угрожающего, порнографического, враждебного характера, а также не содержат скрытых смыслов, домогательств и признаков расовой или этнической дискриминации;</w:t>
      </w:r>
      <w:r>
        <w:rPr>
          <w:sz w:val="16"/>
          <w:szCs w:val="16"/>
        </w:rPr>
      </w:r>
    </w:p>
    <w:p>
      <w:pPr>
        <w:pStyle w:val="706"/>
        <w:numPr>
          <w:ilvl w:val="1"/>
          <w:numId w:val="5"/>
        </w:numPr>
        <w:contextualSpacing w:val="0"/>
        <w:ind w:left="1701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не призывает к совершению действий, которые могут считаться уголовным преступлением или являться нарушением какого-либо законодательства, равно как и считаться недопустимыми по иным причинам;</w:t>
      </w:r>
      <w:r>
        <w:rPr>
          <w:sz w:val="16"/>
          <w:szCs w:val="16"/>
        </w:rPr>
      </w:r>
    </w:p>
    <w:p>
      <w:pPr>
        <w:pStyle w:val="706"/>
        <w:numPr>
          <w:ilvl w:val="1"/>
          <w:numId w:val="5"/>
        </w:numPr>
        <w:contextualSpacing w:val="0"/>
        <w:ind w:left="1701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не относятся к лицу, включенному в реестр иностранных агентов и/или к информационному ресурсу иностранного агента.</w:t>
      </w:r>
      <w:r>
        <w:rPr>
          <w:sz w:val="16"/>
          <w:szCs w:val="16"/>
        </w:rPr>
      </w:r>
    </w:p>
    <w:p>
      <w:pPr>
        <w:pStyle w:val="706"/>
        <w:numPr>
          <w:ilvl w:val="1"/>
          <w:numId w:val="8"/>
        </w:numPr>
        <w:contextualSpacing w:val="0"/>
        <w:ind w:left="1134" w:hanging="567"/>
        <w:spacing w:after="120" w:line="240" w:lineRule="auto"/>
        <w:shd w:val="clear" w:color="auto" w:fill="ffffff"/>
        <w:tabs>
          <w:tab w:val="right" w:pos="9639" w:leader="none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Вызывающий абонент обладает всеми необходимыми правами использования Номера, с которого совершаются телефонные вызовы на номера Вызываемых абонентов, и в отношении которого оказывается Услуга.</w:t>
      </w:r>
      <w:r>
        <w:rPr>
          <w:sz w:val="16"/>
          <w:szCs w:val="16"/>
        </w:rPr>
      </w:r>
    </w:p>
    <w:p>
      <w:pPr>
        <w:pStyle w:val="706"/>
        <w:numPr>
          <w:ilvl w:val="1"/>
          <w:numId w:val="8"/>
        </w:numPr>
        <w:contextualSpacing w:val="0"/>
        <w:ind w:left="1134" w:hanging="567"/>
        <w:spacing w:after="120" w:line="240" w:lineRule="auto"/>
        <w:shd w:val="clear" w:color="auto" w:fill="ffffff"/>
        <w:tabs>
          <w:tab w:val="right" w:pos="9639" w:leader="none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 xml:space="preserve">Вызывающий абоне</w:t>
      </w:r>
      <w:r>
        <w:rPr>
          <w:sz w:val="16"/>
          <w:szCs w:val="16"/>
        </w:rPr>
        <w:t xml:space="preserve">нт использует Услугу для направления вызовов рекламного характера только такому Вызываемому абоненту, который дал Абоненту предварительное и надлежаще оформленное согласие на получение рекламных сообщений по сети электросвязи на номер Вызываемого абонента.</w:t>
      </w:r>
      <w:r>
        <w:rPr>
          <w:sz w:val="16"/>
          <w:szCs w:val="16"/>
        </w:rPr>
      </w:r>
    </w:p>
    <w:p>
      <w:pPr>
        <w:pStyle w:val="706"/>
        <w:numPr>
          <w:ilvl w:val="1"/>
          <w:numId w:val="8"/>
        </w:numPr>
        <w:contextualSpacing w:val="0"/>
        <w:ind w:left="1134" w:hanging="567"/>
        <w:spacing w:after="120" w:line="240" w:lineRule="auto"/>
        <w:shd w:val="clear" w:color="auto" w:fill="ffffff"/>
        <w:tabs>
          <w:tab w:val="right" w:pos="9639" w:leader="none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Вызывающий абонент использует Услугу для направления массовых и (или) автоматических вызовов в сети связи общего пользования только такому Вызываемому абоненту, который дал предварительное и надлежаще оформленное согласие на получение таких вызовов.</w:t>
      </w:r>
      <w:r>
        <w:rPr>
          <w:sz w:val="16"/>
          <w:szCs w:val="16"/>
        </w:rPr>
      </w:r>
    </w:p>
    <w:p>
      <w:pPr>
        <w:pStyle w:val="706"/>
        <w:numPr>
          <w:ilvl w:val="1"/>
          <w:numId w:val="8"/>
        </w:numPr>
        <w:contextualSpacing w:val="0"/>
        <w:ind w:left="1134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Абонент будет незамедлительно уведомлять Оператора обо всех изменениях в Информации об организации Абонента.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Абонент настоящим подтверждает, что информация и документы, предоставленные Абонентом Оператору в соответствии с пунктом 4 Приложения, носят </w:t>
      </w:r>
      <w:r>
        <w:rPr>
          <w:sz w:val="16"/>
          <w:szCs w:val="16"/>
        </w:rPr>
        <w:t xml:space="preserve">неконфиденциальный</w:t>
      </w:r>
      <w:r>
        <w:rPr>
          <w:sz w:val="16"/>
          <w:szCs w:val="16"/>
        </w:rPr>
        <w:t xml:space="preserve"> характер независимо от сопровождающих их уведомлений или проставленных на них грифов, и Абонент несет ответственность за проверку информации и документов перед отправкой их Оператору и гарантирует их актуальность, подлинность и достоверность.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Абонент соглашается с тем, что информация, указанная в Приложении и Договоре, или в заявлении на изменение Информации об организации, по форме утвержденной Оператором, такая как:</w:t>
      </w:r>
      <w:r>
        <w:rPr>
          <w:sz w:val="16"/>
          <w:szCs w:val="16"/>
        </w:rPr>
      </w:r>
    </w:p>
    <w:p>
      <w:pPr>
        <w:pStyle w:val="706"/>
        <w:numPr>
          <w:ilvl w:val="0"/>
          <w:numId w:val="9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индивидуальный номер налогоплательщика инициатора телефонного вызова;</w:t>
      </w:r>
      <w:r>
        <w:rPr>
          <w:sz w:val="16"/>
          <w:szCs w:val="16"/>
        </w:rPr>
      </w:r>
    </w:p>
    <w:p>
      <w:pPr>
        <w:pStyle w:val="706"/>
        <w:numPr>
          <w:ilvl w:val="0"/>
          <w:numId w:val="9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полное и сокращенное наименование Абонента;</w:t>
      </w:r>
      <w:r>
        <w:rPr>
          <w:sz w:val="16"/>
          <w:szCs w:val="16"/>
        </w:rPr>
      </w:r>
    </w:p>
    <w:p>
      <w:pPr>
        <w:pStyle w:val="706"/>
        <w:numPr>
          <w:ilvl w:val="0"/>
          <w:numId w:val="9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коммерческое обозначение Абонента (при наличии);</w:t>
      </w:r>
      <w:r>
        <w:rPr>
          <w:sz w:val="16"/>
          <w:szCs w:val="16"/>
        </w:rPr>
      </w:r>
    </w:p>
    <w:p>
      <w:pPr>
        <w:pStyle w:val="706"/>
        <w:numPr>
          <w:ilvl w:val="0"/>
          <w:numId w:val="9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код и наименование основного вида деятельности Абонента согласно Общероссийскому классификатору видов экономической деятельности;</w:t>
      </w:r>
      <w:r>
        <w:rPr>
          <w:sz w:val="16"/>
          <w:szCs w:val="16"/>
        </w:rPr>
      </w:r>
    </w:p>
    <w:p>
      <w:pPr>
        <w:pStyle w:val="706"/>
        <w:numPr>
          <w:ilvl w:val="0"/>
          <w:numId w:val="9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категория телефонных вызовов, определенная исходя из основного вида деятельности инициатора телефонного вызова;</w:t>
      </w:r>
      <w:r>
        <w:rPr>
          <w:sz w:val="16"/>
          <w:szCs w:val="16"/>
        </w:rPr>
      </w:r>
    </w:p>
    <w:p>
      <w:pPr>
        <w:pStyle w:val="706"/>
        <w:numPr>
          <w:ilvl w:val="0"/>
          <w:numId w:val="9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текст, подлежащий отображению на пользовательском оборудовании (оконечном оборудовании), соответствующий требованиям к информации об инициаторе телефонного вызова;</w:t>
      </w:r>
      <w:r>
        <w:rPr>
          <w:sz w:val="16"/>
          <w:szCs w:val="16"/>
        </w:rPr>
      </w:r>
    </w:p>
    <w:p>
      <w:pPr>
        <w:pStyle w:val="706"/>
        <w:numPr>
          <w:ilvl w:val="0"/>
          <w:numId w:val="9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перечень абонентских Номеров, с которых будут осуществляться телефонные вызовы, адресованные абонентам сети подвижной радиотелефонной связи;</w:t>
      </w:r>
      <w:r>
        <w:rPr>
          <w:sz w:val="16"/>
          <w:szCs w:val="16"/>
        </w:rPr>
      </w:r>
    </w:p>
    <w:p>
      <w:pPr>
        <w:ind w:left="567"/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и документы, предоставленные Абонентом Оператору в соответствии с пунктом 4 Приложения, могут быть переданы Оператором в адрес операторов подвижной радиотелефонной связи в соответствии с Правилами.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Абонент по запросу Оператора обязуется предоставить подтверждение соблюдения гарантий, предусмотренных пунктом 6 настоящего Приложения с приложением подтверждающих документов.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Оператор при оказании Услуги вправе запрашивать у Абонента информацию и сведения, подтверждающие соблюдение гарантий, предусмотренных настоящим Приложением, и соответствие Этикетки Правилам.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Оператор вправе в одностороннем порядке вно</w:t>
      </w:r>
      <w:r>
        <w:rPr>
          <w:sz w:val="16"/>
          <w:szCs w:val="16"/>
        </w:rPr>
        <w:t xml:space="preserve">сить изменения в Информацию об организации Абонента, в случае если Информация об организации не соответствует Правилам и/или используемые в Информации об организации символы или разделители вызывают технические сбои (в том числе ошибки) при ее отображении.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Оператор вправе в любой момент по своему усмотрению приостановить или прекратить</w:t>
      </w:r>
      <w:r>
        <w:rPr>
          <w:sz w:val="16"/>
          <w:szCs w:val="16"/>
        </w:rPr>
        <w:t xml:space="preserve"> оказание Услуги Абоненту в отношении конкретного Номера и/или конкретных Номеров Вызываемых абонентов с последующим уведомлением Абонента, в случае нарушения Абонентом Договора, настоящего Приложения или действующего законодательства Российской Федерации.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Абонент производит оплату Услуг в порядке, определенном Договором.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Абонент обеспечивает защиту Оператора от любых исков, административных и судебных разбирательств, претензий со стороны государственных/надзорных органов, Вызываемых абонентов и иных третьих лиц, связанных с использованием Услуги Абонентом.</w:t>
      </w:r>
      <w:r>
        <w:rPr>
          <w:sz w:val="16"/>
          <w:szCs w:val="16"/>
        </w:rPr>
      </w:r>
    </w:p>
    <w:p>
      <w:pPr>
        <w:ind w:left="567"/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В случае предъявления к Оператору со стороны какого бы то ни было третьего лица претензий, полностью или частично основанных на утверждении, что:</w:t>
      </w:r>
      <w:r>
        <w:rPr>
          <w:sz w:val="16"/>
          <w:szCs w:val="16"/>
        </w:rPr>
      </w:r>
    </w:p>
    <w:p>
      <w:pPr>
        <w:pStyle w:val="706"/>
        <w:numPr>
          <w:ilvl w:val="0"/>
          <w:numId w:val="6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передача от Оператора третьим лицам любой информации и любых документов, предоставленных Абонентом, или</w:t>
      </w:r>
      <w:r>
        <w:rPr>
          <w:sz w:val="16"/>
          <w:szCs w:val="16"/>
        </w:rPr>
      </w:r>
    </w:p>
    <w:p>
      <w:pPr>
        <w:pStyle w:val="706"/>
        <w:numPr>
          <w:ilvl w:val="0"/>
          <w:numId w:val="6"/>
        </w:numPr>
        <w:contextualSpacing w:val="0"/>
        <w:ind w:left="1134" w:hanging="567"/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использование телефонного номера и/или Информации об организации в рамках оказания Абоненту Услуги,</w:t>
      </w:r>
      <w:r>
        <w:rPr>
          <w:sz w:val="16"/>
          <w:szCs w:val="16"/>
        </w:rPr>
      </w:r>
    </w:p>
    <w:p>
      <w:pPr>
        <w:ind w:left="567"/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является неправомерным или нарушающим законные права (интересы) любого третьего лица действием, Абонент обязуется самостоятельно и за свой счет урегулировать такие претензии.</w:t>
      </w:r>
      <w:r>
        <w:rPr>
          <w:sz w:val="16"/>
          <w:szCs w:val="16"/>
        </w:rPr>
      </w:r>
    </w:p>
    <w:p>
      <w:pPr>
        <w:pStyle w:val="706"/>
        <w:contextualSpacing w:val="0"/>
        <w:ind w:left="567"/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Абонент за свой счет компенсирует Оператору любые имущественные потери (в том числе штрафы, наложенные государственными органами), понесенные Оператором в связи с нарушением Абонентом своих обязательств по Приложению.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В случае выявления Оператором фак</w:t>
      </w:r>
      <w:r>
        <w:rPr>
          <w:sz w:val="16"/>
          <w:szCs w:val="16"/>
        </w:rPr>
        <w:t xml:space="preserve">тов несоответствия Информации об организации документам, предоставленным Абонентом, или явного несоответствия Информации об организации предмету, теме, характеру или целям звонков Вызываемым абонентам и состоявшихся разговоров, или при нарушении иных обяза</w:t>
      </w:r>
      <w:r>
        <w:rPr>
          <w:sz w:val="16"/>
          <w:szCs w:val="16"/>
        </w:rPr>
        <w:t xml:space="preserve">тельств по Условиям, Оператор вправе в одностороннем порядке приостановить оказание Услуги и потребовать уплаты штрафной неустойки в размере 10 000 (десять тысяч) рублей за каждый выявленный факт нарушения в порядке, указанном в соответствующем требовании.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Оператор ни при каких обстоятельствах не несет ответственности за упущенную выгоду, а также косвенные убытки, возникающие у Абонента в связи с использованием Услуги.</w:t>
      </w:r>
      <w:r>
        <w:rPr>
          <w:sz w:val="16"/>
          <w:szCs w:val="16"/>
        </w:rPr>
      </w:r>
    </w:p>
    <w:p>
      <w:pPr>
        <w:pStyle w:val="706"/>
        <w:numPr>
          <w:ilvl w:val="0"/>
          <w:numId w:val="8"/>
        </w:numPr>
        <w:contextualSpacing w:val="0"/>
        <w:ind w:left="567" w:hanging="567"/>
        <w:spacing w:after="120" w:line="240" w:lineRule="auto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Абонент вправе отказаться от Услуги в одностороннем порядке путем направления уведомления Оператору не менее чем за 30 (тридцать) календарных дней до даты планируемого отключения Услуги.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ind w:right="576"/>
      </w:pPr>
      <w:r/>
      <w:r/>
    </w:p>
    <w:p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 xml:space="preserve">2</w:t>
      </w:r>
      <w:r>
        <w:rPr>
          <w:sz w:val="16"/>
          <w:szCs w:val="16"/>
        </w:rPr>
      </w:r>
    </w:p>
    <w:p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К Техническому заданию</w:t>
      </w:r>
      <w:r>
        <w:rPr>
          <w:sz w:val="16"/>
          <w:szCs w:val="16"/>
        </w:rPr>
      </w:r>
    </w:p>
    <w:p>
      <w:pPr>
        <w:jc w:val="center"/>
        <w:spacing w:after="1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Стоимость услуги</w:t>
      </w:r>
      <w:r>
        <w:rPr>
          <w:b/>
          <w:sz w:val="16"/>
          <w:szCs w:val="16"/>
        </w:rPr>
      </w:r>
    </w:p>
    <w:p>
      <w:pPr>
        <w:jc w:val="center"/>
        <w:spacing w:after="160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09"/>
        <w:rPr>
          <w:rFonts w:ascii="Beeline Sans" w:hAnsi="Beeline Sans"/>
          <w:spacing w:val="-2"/>
          <w:sz w:val="28"/>
          <w:szCs w:val="28"/>
        </w:rPr>
      </w:pPr>
      <w:r>
        <w:rPr>
          <w:rFonts w:ascii="Beeline Sans" w:hAnsi="Beeline Sans"/>
          <w:sz w:val="28"/>
          <w:szCs w:val="28"/>
        </w:rPr>
        <w:t xml:space="preserve">Прайс-лист</w:t>
      </w:r>
      <w:r>
        <w:rPr>
          <w:rFonts w:ascii="Beeline Sans" w:hAnsi="Beeline Sans"/>
          <w:spacing w:val="-4"/>
          <w:sz w:val="28"/>
          <w:szCs w:val="28"/>
        </w:rPr>
        <w:t xml:space="preserve"> </w:t>
      </w:r>
      <w:r>
        <w:rPr>
          <w:rFonts w:ascii="Beeline Sans" w:hAnsi="Beeline Sans"/>
          <w:sz w:val="28"/>
          <w:szCs w:val="28"/>
        </w:rPr>
        <w:t xml:space="preserve">на</w:t>
      </w:r>
      <w:r>
        <w:rPr>
          <w:rFonts w:ascii="Beeline Sans" w:hAnsi="Beeline Sans"/>
          <w:spacing w:val="-26"/>
          <w:sz w:val="28"/>
          <w:szCs w:val="28"/>
        </w:rPr>
        <w:t xml:space="preserve"> </w:t>
      </w:r>
      <w:r>
        <w:rPr>
          <w:rFonts w:ascii="Beeline Sans" w:hAnsi="Beeline Sans"/>
          <w:sz w:val="28"/>
          <w:szCs w:val="28"/>
        </w:rPr>
        <w:t xml:space="preserve">услугу</w:t>
      </w:r>
      <w:r>
        <w:rPr>
          <w:rFonts w:ascii="Beeline Sans" w:hAnsi="Beeline Sans"/>
          <w:sz w:val="28"/>
          <w:szCs w:val="28"/>
        </w:rPr>
        <w:t xml:space="preserve"> </w:t>
      </w:r>
      <w:r>
        <w:rPr>
          <w:rFonts w:ascii="Beeline Sans" w:hAnsi="Beeline Sans"/>
          <w:sz w:val="28"/>
          <w:szCs w:val="28"/>
        </w:rPr>
        <w:t xml:space="preserve">«Этикетка»</w:t>
      </w:r>
      <w:r>
        <w:rPr>
          <w:rFonts w:ascii="Beeline Sans" w:hAnsi="Beeline Sans"/>
          <w:spacing w:val="40"/>
          <w:sz w:val="28"/>
          <w:szCs w:val="28"/>
        </w:rPr>
        <w:t xml:space="preserve"> </w:t>
      </w:r>
      <w:r>
        <w:rPr>
          <w:rFonts w:ascii="Beeline Sans" w:hAnsi="Beeline Sans"/>
          <w:sz w:val="28"/>
          <w:szCs w:val="28"/>
        </w:rPr>
        <w:t xml:space="preserve">для</w:t>
      </w:r>
      <w:r>
        <w:rPr>
          <w:rFonts w:ascii="Beeline Sans" w:hAnsi="Beeline Sans"/>
          <w:sz w:val="28"/>
          <w:szCs w:val="28"/>
        </w:rPr>
        <w:t xml:space="preserve"> </w:t>
      </w:r>
      <w:r>
        <w:rPr>
          <w:rFonts w:ascii="Beeline Sans" w:hAnsi="Beeline Sans"/>
          <w:spacing w:val="-2"/>
          <w:sz w:val="28"/>
          <w:szCs w:val="28"/>
        </w:rPr>
        <w:t xml:space="preserve">пользователей</w:t>
      </w:r>
      <w:r>
        <w:rPr>
          <w:rFonts w:ascii="Beeline Sans" w:hAnsi="Beeline Sans"/>
          <w:sz w:val="28"/>
          <w:szCs w:val="28"/>
        </w:rPr>
        <w:t xml:space="preserve"> </w:t>
      </w:r>
      <w:r>
        <w:rPr>
          <w:rFonts w:ascii="Beeline Sans" w:hAnsi="Beeline Sans"/>
          <w:sz w:val="28"/>
          <w:szCs w:val="28"/>
        </w:rPr>
        <w:t xml:space="preserve">корпоративной</w:t>
      </w:r>
      <w:r>
        <w:rPr>
          <w:rFonts w:ascii="Beeline Sans" w:hAnsi="Beeline Sans"/>
          <w:spacing w:val="38"/>
          <w:sz w:val="28"/>
          <w:szCs w:val="28"/>
        </w:rPr>
        <w:t xml:space="preserve"> </w:t>
      </w:r>
      <w:r>
        <w:rPr>
          <w:rFonts w:ascii="Beeline Sans" w:hAnsi="Beeline Sans"/>
          <w:sz w:val="28"/>
          <w:szCs w:val="28"/>
        </w:rPr>
        <w:t xml:space="preserve">сотовой</w:t>
      </w:r>
      <w:r>
        <w:rPr>
          <w:rFonts w:ascii="Beeline Sans" w:hAnsi="Beeline Sans"/>
          <w:spacing w:val="43"/>
          <w:sz w:val="28"/>
          <w:szCs w:val="28"/>
        </w:rPr>
        <w:t xml:space="preserve"> </w:t>
      </w:r>
      <w:r>
        <w:rPr>
          <w:rFonts w:ascii="Beeline Sans" w:hAnsi="Beeline Sans"/>
          <w:sz w:val="28"/>
          <w:szCs w:val="28"/>
        </w:rPr>
        <w:t xml:space="preserve">связи</w:t>
      </w:r>
      <w:r>
        <w:rPr>
          <w:rFonts w:ascii="Beeline Sans" w:hAnsi="Beeline Sans"/>
          <w:spacing w:val="50"/>
          <w:sz w:val="28"/>
          <w:szCs w:val="28"/>
        </w:rPr>
        <w:t xml:space="preserve"> </w:t>
      </w:r>
      <w:r>
        <w:rPr>
          <w:rFonts w:ascii="Beeline Sans" w:hAnsi="Beeline Sans"/>
          <w:spacing w:val="-2"/>
          <w:sz w:val="28"/>
          <w:szCs w:val="28"/>
        </w:rPr>
        <w:t xml:space="preserve">билайн</w:t>
      </w:r>
      <w:r>
        <w:rPr>
          <w:rFonts w:ascii="Beeline Sans" w:hAnsi="Beeline Sans"/>
          <w:spacing w:val="-2"/>
          <w:sz w:val="28"/>
          <w:szCs w:val="28"/>
        </w:rPr>
        <w:t xml:space="preserve">.</w:t>
      </w:r>
      <w:r>
        <w:rPr>
          <w:rFonts w:ascii="Beeline Sans" w:hAnsi="Beeline Sans"/>
          <w:spacing w:val="-2"/>
          <w:sz w:val="28"/>
          <w:szCs w:val="28"/>
        </w:rPr>
      </w:r>
    </w:p>
    <w:p>
      <w:pPr>
        <w:pStyle w:val="709"/>
        <w:rPr>
          <w:rFonts w:ascii="Beeline Sans" w:hAnsi="Beeline Sans"/>
          <w:spacing w:val="-2"/>
          <w:sz w:val="28"/>
          <w:szCs w:val="28"/>
        </w:rPr>
      </w:pPr>
      <w:r>
        <w:rPr>
          <w:rFonts w:ascii="Beeline Sans" w:hAnsi="Beeline Sans"/>
          <w:spacing w:val="-2"/>
          <w:sz w:val="28"/>
          <w:szCs w:val="28"/>
        </w:rPr>
      </w:r>
      <w:r>
        <w:rPr>
          <w:rFonts w:ascii="Beeline Sans" w:hAnsi="Beeline Sans"/>
          <w:spacing w:val="-2"/>
          <w:sz w:val="28"/>
          <w:szCs w:val="28"/>
        </w:rPr>
      </w:r>
    </w:p>
    <w:tbl>
      <w:tblPr>
        <w:tblW w:w="0" w:type="auto"/>
        <w:tblInd w:w="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55"/>
        <w:gridCol w:w="4653"/>
      </w:tblGrid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pStyle w:val="709"/>
              <w:ind w:left="0"/>
              <w:rPr>
                <w:rFonts w:ascii="Beeline Sans" w:hAnsi="Beeline Sans"/>
                <w:sz w:val="28"/>
                <w:szCs w:val="28"/>
                <w:vertAlign w:val="superscript"/>
              </w:rPr>
            </w:pPr>
            <w:r>
              <w:rPr>
                <w:rFonts w:ascii="Beeline Sans" w:hAnsi="Beeline Sans"/>
                <w:sz w:val="28"/>
                <w:szCs w:val="28"/>
              </w:rPr>
              <w:t xml:space="preserve">Наименование услуги</w:t>
            </w:r>
            <w:r>
              <w:rPr>
                <w:rFonts w:ascii="Beeline Sans" w:hAnsi="Beeline Sans"/>
                <w:sz w:val="28"/>
                <w:szCs w:val="28"/>
                <w:vertAlign w:val="superscript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pStyle w:val="709"/>
              <w:ind w:left="0"/>
              <w:rPr>
                <w:rFonts w:ascii="Beeline Sans" w:hAnsi="Beeline Sans"/>
                <w:sz w:val="28"/>
                <w:szCs w:val="28"/>
                <w:vertAlign w:val="superscript"/>
              </w:rPr>
            </w:pPr>
            <w:r>
              <w:rPr>
                <w:rFonts w:ascii="Beeline Sans" w:hAnsi="Beeline Sans"/>
                <w:sz w:val="28"/>
                <w:szCs w:val="28"/>
              </w:rPr>
              <w:t xml:space="preserve">Стоимость</w:t>
            </w:r>
            <w:r>
              <w:rPr>
                <w:rFonts w:ascii="Beeline Sans" w:hAnsi="Beeline Sans"/>
                <w:sz w:val="28"/>
                <w:szCs w:val="28"/>
                <w:vertAlign w:val="superscript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pStyle w:val="709"/>
              <w:ind w:left="0"/>
              <w:rPr>
                <w:rFonts w:ascii="Beeline Sans" w:hAnsi="Beeline Sans"/>
                <w:sz w:val="28"/>
                <w:szCs w:val="28"/>
              </w:rPr>
            </w:pPr>
            <w:r>
              <w:rPr>
                <w:spacing w:val="-2"/>
                <w:sz w:val="25"/>
              </w:rPr>
              <w:t xml:space="preserve">Этикетка</w:t>
            </w:r>
            <w:r>
              <w:rPr>
                <w:rFonts w:ascii="Beeline Sans" w:hAnsi="Beeline Sans"/>
                <w:sz w:val="28"/>
                <w:szCs w:val="28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pStyle w:val="709"/>
              <w:ind w:left="0"/>
              <w:rPr>
                <w:rFonts w:ascii="Beeline Sans" w:hAnsi="Beeline Sans"/>
                <w:sz w:val="28"/>
                <w:szCs w:val="28"/>
                <w:vertAlign w:val="superscript"/>
              </w:rPr>
            </w:pPr>
            <w:r>
              <w:rPr>
                <w:sz w:val="26"/>
              </w:rPr>
              <w:t xml:space="preserve">30</w:t>
            </w:r>
            <w:r>
              <w:rPr>
                <w:sz w:val="26"/>
              </w:rPr>
              <w:t xml:space="preserve">,50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 xml:space="preserve">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мес.</w:t>
            </w:r>
            <w:r>
              <w:rPr>
                <w:rFonts w:ascii="Beeline Sans" w:hAnsi="Beeline Sans"/>
                <w:sz w:val="28"/>
                <w:szCs w:val="28"/>
                <w:vertAlign w:val="superscript"/>
              </w:rPr>
            </w:r>
          </w:p>
        </w:tc>
      </w:tr>
    </w:tbl>
    <w:p>
      <w:pPr>
        <w:pStyle w:val="709"/>
        <w:jc w:val="left"/>
        <w:rPr>
          <w:rFonts w:ascii="Beeline Sans" w:hAnsi="Beeline Sans"/>
          <w:sz w:val="28"/>
          <w:szCs w:val="28"/>
        </w:rPr>
      </w:pPr>
      <w:r>
        <w:rPr>
          <w:rFonts w:ascii="Beeline Sans" w:hAnsi="Beeline Sans"/>
          <w:sz w:val="28"/>
          <w:szCs w:val="28"/>
        </w:rPr>
      </w:r>
      <w:r>
        <w:rPr>
          <w:rFonts w:ascii="Beeline Sans" w:hAnsi="Beeline Sans"/>
          <w:sz w:val="28"/>
          <w:szCs w:val="28"/>
        </w:rPr>
      </w:r>
    </w:p>
    <w:p>
      <w:pPr>
        <w:ind w:left="143"/>
        <w:rPr>
          <w:sz w:val="26"/>
        </w:rPr>
      </w:pPr>
      <w:r>
        <w:rPr>
          <w:spacing w:val="-2"/>
          <w:sz w:val="26"/>
        </w:rPr>
        <w:t xml:space="preserve">Примечания</w:t>
      </w:r>
      <w:r>
        <w:rPr>
          <w:sz w:val="26"/>
        </w:rPr>
      </w:r>
    </w:p>
    <w:p>
      <w:pPr>
        <w:pStyle w:val="706"/>
        <w:numPr>
          <w:ilvl w:val="0"/>
          <w:numId w:val="10"/>
        </w:numPr>
        <w:contextualSpacing w:val="0"/>
        <w:ind w:right="134" w:hanging="576"/>
        <w:spacing w:before="185" w:after="0" w:line="256" w:lineRule="auto"/>
        <w:widowControl w:val="off"/>
        <w:tabs>
          <w:tab w:val="left" w:pos="707" w:leader="none"/>
        </w:tabs>
        <w:rPr>
          <w:sz w:val="21"/>
        </w:rPr>
      </w:pPr>
      <w:r>
        <w:rPr>
          <w:sz w:val="21"/>
        </w:rPr>
        <w:t xml:space="preserve">Корректность отображения Этикетки (информации об инициаторе вызова </w:t>
      </w:r>
      <w:r>
        <w:rPr>
          <w:sz w:val="21"/>
        </w:rPr>
        <w:t xml:space="preserve">— </w:t>
      </w:r>
      <w:r>
        <w:rPr>
          <w:sz w:val="21"/>
        </w:rPr>
        <w:t xml:space="preserve">Абоненте А) не </w:t>
      </w:r>
      <w:r>
        <w:rPr>
          <w:sz w:val="21"/>
        </w:rPr>
        <w:t xml:space="preserve">гарантируется ввиду технологических особенностей или ПО (настроек) абонентского устройства Абонента Б.</w:t>
      </w:r>
      <w:r>
        <w:rPr>
          <w:sz w:val="21"/>
        </w:rPr>
      </w:r>
    </w:p>
    <w:p>
      <w:pPr>
        <w:pStyle w:val="706"/>
        <w:numPr>
          <w:ilvl w:val="0"/>
          <w:numId w:val="10"/>
        </w:numPr>
        <w:contextualSpacing w:val="0"/>
        <w:ind w:left="711" w:right="139" w:hanging="563"/>
        <w:spacing w:after="0" w:line="256" w:lineRule="auto"/>
        <w:widowControl w:val="off"/>
        <w:tabs>
          <w:tab w:val="left" w:pos="711" w:leader="none"/>
          <w:tab w:val="left" w:pos="713" w:leader="none"/>
        </w:tabs>
        <w:rPr>
          <w:sz w:val="21"/>
        </w:rPr>
      </w:pPr>
      <w:r>
        <w:rPr>
          <w:sz w:val="21"/>
        </w:rPr>
        <w:t xml:space="preserve">Указана стоимость услуги Этикетка для пользователей корпоративной сотовой связи </w:t>
      </w:r>
      <w:r>
        <w:rPr>
          <w:spacing w:val="-4"/>
          <w:sz w:val="21"/>
        </w:rPr>
        <w:t xml:space="preserve">билайн</w:t>
      </w:r>
      <w:r>
        <w:rPr>
          <w:spacing w:val="-4"/>
          <w:sz w:val="21"/>
        </w:rPr>
        <w:t xml:space="preserve">.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Стоимость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вызова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 xml:space="preserve">и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иных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 xml:space="preserve">услуг,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подключённых</w:t>
      </w:r>
      <w:r>
        <w:rPr>
          <w:spacing w:val="9"/>
          <w:sz w:val="21"/>
        </w:rPr>
        <w:t xml:space="preserve"> </w:t>
      </w:r>
      <w:r>
        <w:rPr>
          <w:spacing w:val="-4"/>
          <w:sz w:val="21"/>
        </w:rPr>
        <w:t xml:space="preserve">к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номеру,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тарифицируется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 xml:space="preserve">отдельно </w:t>
      </w:r>
      <w:r>
        <w:rPr>
          <w:sz w:val="21"/>
        </w:rPr>
        <w:t xml:space="preserve">в</w:t>
      </w:r>
      <w:r>
        <w:rPr>
          <w:spacing w:val="-15"/>
          <w:sz w:val="21"/>
        </w:rPr>
        <w:t xml:space="preserve"> </w:t>
      </w:r>
      <w:r>
        <w:rPr>
          <w:sz w:val="21"/>
        </w:rPr>
        <w:t xml:space="preserve">соответствии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с</w:t>
      </w:r>
      <w:r>
        <w:rPr>
          <w:spacing w:val="-10"/>
          <w:sz w:val="21"/>
        </w:rPr>
        <w:t xml:space="preserve"> </w:t>
      </w:r>
      <w:r>
        <w:rPr>
          <w:sz w:val="21"/>
        </w:rPr>
        <w:t xml:space="preserve">тарифным планом абонента.</w:t>
      </w:r>
      <w:r>
        <w:rPr>
          <w:sz w:val="21"/>
        </w:rPr>
      </w:r>
    </w:p>
    <w:p>
      <w:pPr>
        <w:pStyle w:val="706"/>
        <w:numPr>
          <w:ilvl w:val="0"/>
          <w:numId w:val="10"/>
        </w:numPr>
        <w:contextualSpacing w:val="0"/>
        <w:ind w:left="708" w:right="130" w:hanging="569"/>
        <w:spacing w:after="0" w:line="256" w:lineRule="auto"/>
        <w:widowControl w:val="off"/>
        <w:tabs>
          <w:tab w:val="left" w:pos="708" w:leader="none"/>
          <w:tab w:val="left" w:pos="712" w:leader="none"/>
        </w:tabs>
        <w:rPr>
          <w:sz w:val="21"/>
        </w:rPr>
      </w:pPr>
      <w:r>
        <w:rPr>
          <w:spacing w:val="-2"/>
          <w:sz w:val="21"/>
        </w:rPr>
        <w:t xml:space="preserve">Абонентская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 xml:space="preserve">плата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 xml:space="preserve">при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 xml:space="preserve">использовании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 xml:space="preserve">Услуги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 xml:space="preserve">на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 xml:space="preserve">каждом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 xml:space="preserve">номере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 xml:space="preserve">взимается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 xml:space="preserve">ежемесячно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 xml:space="preserve">по </w:t>
      </w:r>
      <w:r>
        <w:rPr>
          <w:sz w:val="21"/>
        </w:rPr>
        <w:t xml:space="preserve">окончанию расчетного периода (календарный месяц) в полном объеме независимо от </w:t>
      </w:r>
      <w:r>
        <w:rPr>
          <w:spacing w:val="-4"/>
          <w:sz w:val="21"/>
        </w:rPr>
        <w:t xml:space="preserve">количества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дней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фактического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 xml:space="preserve">использования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Услуги.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 xml:space="preserve">Плата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за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каждый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 xml:space="preserve">факт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 xml:space="preserve">инициирования </w:t>
      </w:r>
      <w:r>
        <w:rPr>
          <w:sz w:val="21"/>
        </w:rPr>
        <w:t xml:space="preserve">вызова не взимается. Сервис доступен для звонков на сеть </w:t>
      </w:r>
      <w:r>
        <w:rPr>
          <w:sz w:val="21"/>
        </w:rPr>
        <w:t xml:space="preserve">билайн</w:t>
      </w:r>
      <w:r>
        <w:rPr>
          <w:sz w:val="21"/>
        </w:rPr>
        <w:t xml:space="preserve">, MTC, Мегафон, t2. Абонентская плата за неполный расчётный период (календарный месяц, в котором подключается или отключается Услуга), рассчитывается пропорционально количеству календарных дней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в</w:t>
      </w:r>
      <w:r>
        <w:rPr>
          <w:spacing w:val="-15"/>
          <w:sz w:val="21"/>
        </w:rPr>
        <w:t xml:space="preserve"> </w:t>
      </w:r>
      <w:r>
        <w:rPr>
          <w:sz w:val="21"/>
        </w:rPr>
        <w:t xml:space="preserve">таком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расчётном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периоде.</w:t>
      </w:r>
      <w:r>
        <w:rPr>
          <w:sz w:val="21"/>
        </w:rPr>
      </w:r>
    </w:p>
    <w:p>
      <w:pPr>
        <w:pStyle w:val="706"/>
        <w:numPr>
          <w:ilvl w:val="0"/>
          <w:numId w:val="10"/>
        </w:numPr>
        <w:contextualSpacing w:val="0"/>
        <w:ind w:left="708" w:right="129" w:hanging="562"/>
        <w:spacing w:after="0" w:line="256" w:lineRule="auto"/>
        <w:widowControl w:val="off"/>
        <w:tabs>
          <w:tab w:val="left" w:pos="708" w:leader="none"/>
        </w:tabs>
        <w:rPr>
          <w:sz w:val="21"/>
        </w:rPr>
      </w:pPr>
      <w:r>
        <w:rPr>
          <w:sz w:val="21"/>
        </w:rPr>
        <w:t xml:space="preserve">Стоимость</w:t>
      </w:r>
      <w:r>
        <w:rPr>
          <w:spacing w:val="-15"/>
          <w:sz w:val="21"/>
        </w:rPr>
        <w:t xml:space="preserve"> </w:t>
      </w:r>
      <w:r>
        <w:rPr>
          <w:sz w:val="21"/>
        </w:rPr>
        <w:t xml:space="preserve">указана</w:t>
      </w:r>
      <w:r>
        <w:rPr>
          <w:spacing w:val="-14"/>
          <w:sz w:val="21"/>
        </w:rPr>
        <w:t xml:space="preserve"> </w:t>
      </w:r>
      <w:r>
        <w:rPr>
          <w:sz w:val="21"/>
        </w:rPr>
        <w:t xml:space="preserve">в</w:t>
      </w:r>
      <w:r>
        <w:rPr>
          <w:spacing w:val="-15"/>
          <w:sz w:val="21"/>
        </w:rPr>
        <w:t xml:space="preserve"> </w:t>
      </w:r>
      <w:r>
        <w:rPr>
          <w:sz w:val="21"/>
        </w:rPr>
        <w:t xml:space="preserve">российских</w:t>
      </w:r>
      <w:r>
        <w:rPr>
          <w:spacing w:val="-14"/>
          <w:sz w:val="21"/>
        </w:rPr>
        <w:t xml:space="preserve"> </w:t>
      </w:r>
      <w:r>
        <w:rPr>
          <w:sz w:val="21"/>
        </w:rPr>
        <w:t xml:space="preserve">рублях</w:t>
      </w:r>
      <w:r>
        <w:rPr>
          <w:spacing w:val="-15"/>
          <w:sz w:val="21"/>
        </w:rPr>
        <w:t xml:space="preserve"> </w:t>
      </w:r>
      <w:r>
        <w:rPr>
          <w:sz w:val="21"/>
        </w:rPr>
        <w:t xml:space="preserve">с учетом</w:t>
      </w:r>
      <w:r>
        <w:rPr>
          <w:spacing w:val="-14"/>
          <w:sz w:val="21"/>
        </w:rPr>
        <w:t xml:space="preserve"> </w:t>
      </w:r>
      <w:r>
        <w:rPr>
          <w:sz w:val="21"/>
        </w:rPr>
        <w:t xml:space="preserve">НДС.</w:t>
      </w:r>
      <w:r>
        <w:rPr>
          <w:sz w:val="21"/>
        </w:rPr>
      </w:r>
    </w:p>
    <w:p>
      <w:pPr>
        <w:pStyle w:val="709"/>
        <w:jc w:val="left"/>
        <w:rPr>
          <w:rFonts w:ascii="Beeline Sans" w:hAnsi="Beeline Sans"/>
          <w:sz w:val="28"/>
          <w:szCs w:val="28"/>
        </w:rPr>
      </w:pPr>
      <w:r>
        <w:rPr>
          <w:rFonts w:ascii="Beeline Sans" w:hAnsi="Beeline Sans"/>
          <w:sz w:val="28"/>
          <w:szCs w:val="28"/>
        </w:rPr>
      </w:r>
      <w:r>
        <w:rPr>
          <w:rFonts w:ascii="Beeline Sans" w:hAnsi="Beeline Sans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160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spacing w:after="16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after="16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after="16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after="16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after="16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after="16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after="16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0"/>
        <w:spacing w:before="80" w:after="8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4" w:h="16834" w:orient="portrait"/>
      <w:pgMar w:top="1134" w:right="851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Beeline Sans">
    <w:panose1 w:val="02000603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37095204"/>
      <w:docPartObj>
        <w:docPartGallery w:val="Page Numbers (Top of Page)"/>
        <w:docPartUnique w:val="true"/>
      </w:docPartObj>
      <w:rPr/>
    </w:sdtPr>
    <w:sdtContent>
      <w:p>
        <w:pPr>
          <w:pStyle w:val="70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9</w:t>
        </w:r>
        <w:r>
          <w:fldChar w:fldCharType="end"/>
        </w:r>
        <w:r/>
      </w:p>
    </w:sdtContent>
  </w:sdt>
  <w:p>
    <w:pPr>
      <w:pStyle w:val="70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7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4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⁃"/>
      <w:lvlJc w:val="left"/>
      <w:pPr>
        <w:ind w:left="3169"/>
      </w:pPr>
      <w:rPr>
        <w:rFonts w:hint="default"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8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0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7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7" w:hanging="578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sz w:val="21"/>
        <w:szCs w:val="21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593" w:hanging="57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487" w:hanging="57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81" w:hanging="57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75" w:hanging="57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69" w:hanging="57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63" w:hanging="57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57" w:hanging="57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51" w:hanging="57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8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4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854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7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4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1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88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0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2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0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76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7"/>
    <w:next w:val="69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7"/>
    <w:next w:val="69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7"/>
    <w:next w:val="69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7"/>
    <w:next w:val="69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7"/>
    <w:next w:val="69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7"/>
    <w:next w:val="69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7"/>
    <w:next w:val="69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7"/>
    <w:next w:val="69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7"/>
    <w:next w:val="69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98"/>
    <w:link w:val="709"/>
    <w:uiPriority w:val="10"/>
    <w:rPr>
      <w:sz w:val="48"/>
      <w:szCs w:val="48"/>
    </w:rPr>
  </w:style>
  <w:style w:type="paragraph" w:styleId="36">
    <w:name w:val="Subtitle"/>
    <w:basedOn w:val="697"/>
    <w:next w:val="69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8"/>
    <w:link w:val="36"/>
    <w:uiPriority w:val="11"/>
    <w:rPr>
      <w:sz w:val="24"/>
      <w:szCs w:val="24"/>
    </w:rPr>
  </w:style>
  <w:style w:type="paragraph" w:styleId="38">
    <w:name w:val="Quote"/>
    <w:basedOn w:val="697"/>
    <w:next w:val="69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7"/>
    <w:next w:val="69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8"/>
    <w:link w:val="702"/>
    <w:uiPriority w:val="99"/>
  </w:style>
  <w:style w:type="character" w:styleId="45">
    <w:name w:val="Footer Char"/>
    <w:basedOn w:val="698"/>
    <w:link w:val="704"/>
    <w:uiPriority w:val="99"/>
  </w:style>
  <w:style w:type="paragraph" w:styleId="46">
    <w:name w:val="Caption"/>
    <w:basedOn w:val="697"/>
    <w:next w:val="69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9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8"/>
    <w:uiPriority w:val="99"/>
    <w:unhideWhenUsed/>
    <w:rPr>
      <w:vertAlign w:val="superscript"/>
    </w:rPr>
  </w:style>
  <w:style w:type="paragraph" w:styleId="178">
    <w:name w:val="endnote text"/>
    <w:basedOn w:val="69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8"/>
    <w:uiPriority w:val="99"/>
    <w:semiHidden/>
    <w:unhideWhenUsed/>
    <w:rPr>
      <w:vertAlign w:val="superscript"/>
    </w:rPr>
  </w:style>
  <w:style w:type="paragraph" w:styleId="181">
    <w:name w:val="toc 1"/>
    <w:basedOn w:val="697"/>
    <w:next w:val="69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7"/>
    <w:next w:val="69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7"/>
    <w:next w:val="69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7"/>
    <w:next w:val="69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7"/>
    <w:next w:val="69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7"/>
    <w:next w:val="69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7"/>
    <w:next w:val="69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7"/>
    <w:next w:val="69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7"/>
    <w:next w:val="69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7"/>
    <w:next w:val="697"/>
    <w:uiPriority w:val="99"/>
    <w:unhideWhenUsed/>
    <w:pPr>
      <w:spacing w:after="0" w:afterAutospacing="0"/>
    </w:pPr>
  </w:style>
  <w:style w:type="paragraph" w:styleId="697" w:default="1">
    <w:name w:val="Normal"/>
    <w:qFormat/>
    <w:pPr>
      <w:ind w:left="14"/>
      <w:jc w:val="both"/>
      <w:spacing w:after="4"/>
    </w:pPr>
    <w:rPr>
      <w:rFonts w:ascii="Times New Roman" w:hAnsi="Times New Roman" w:eastAsia="Times New Roman" w:cs="Times New Roman"/>
      <w:color w:val="000000"/>
      <w:sz w:val="24"/>
    </w:rPr>
  </w:style>
  <w:style w:type="character" w:styleId="698" w:default="1">
    <w:name w:val="Default Paragraph Font"/>
    <w:uiPriority w:val="1"/>
    <w:semiHidden/>
    <w:unhideWhenUsed/>
  </w:style>
  <w:style w:type="table" w:styleId="6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0" w:default="1">
    <w:name w:val="No List"/>
    <w:uiPriority w:val="99"/>
    <w:semiHidden/>
    <w:unhideWhenUsed/>
  </w:style>
  <w:style w:type="table" w:styleId="701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02">
    <w:name w:val="Header"/>
    <w:basedOn w:val="697"/>
    <w:link w:val="70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3" w:customStyle="1">
    <w:name w:val="Верхний колонтитул Знак"/>
    <w:basedOn w:val="698"/>
    <w:link w:val="702"/>
    <w:uiPriority w:val="99"/>
    <w:rPr>
      <w:rFonts w:ascii="Times New Roman" w:hAnsi="Times New Roman" w:eastAsia="Times New Roman" w:cs="Times New Roman"/>
      <w:color w:val="000000"/>
      <w:sz w:val="24"/>
    </w:rPr>
  </w:style>
  <w:style w:type="paragraph" w:styleId="704">
    <w:name w:val="Footer"/>
    <w:basedOn w:val="697"/>
    <w:link w:val="70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5" w:customStyle="1">
    <w:name w:val="Нижний колонтитул Знак"/>
    <w:basedOn w:val="698"/>
    <w:link w:val="704"/>
    <w:uiPriority w:val="99"/>
    <w:rPr>
      <w:rFonts w:ascii="Times New Roman" w:hAnsi="Times New Roman" w:eastAsia="Times New Roman" w:cs="Times New Roman"/>
      <w:color w:val="000000"/>
      <w:sz w:val="24"/>
    </w:rPr>
  </w:style>
  <w:style w:type="paragraph" w:styleId="706">
    <w:name w:val="List Paragraph"/>
    <w:basedOn w:val="697"/>
    <w:link w:val="708"/>
    <w:uiPriority w:val="1"/>
    <w:qFormat/>
    <w:pPr>
      <w:contextualSpacing/>
      <w:ind w:left="720"/>
    </w:pPr>
  </w:style>
  <w:style w:type="character" w:styleId="707">
    <w:name w:val="Hyperlink"/>
    <w:uiPriority w:val="99"/>
    <w:rPr>
      <w:rFonts w:cs="Times New Roman"/>
      <w:color w:val="0000ff"/>
      <w:u w:val="single"/>
    </w:rPr>
  </w:style>
  <w:style w:type="character" w:styleId="708" w:customStyle="1">
    <w:name w:val="Абзац списка Знак"/>
    <w:link w:val="706"/>
    <w:uiPriority w:val="1"/>
    <w:qFormat/>
    <w:rPr>
      <w:rFonts w:ascii="Times New Roman" w:hAnsi="Times New Roman" w:eastAsia="Times New Roman" w:cs="Times New Roman"/>
      <w:color w:val="000000"/>
      <w:sz w:val="24"/>
    </w:rPr>
  </w:style>
  <w:style w:type="paragraph" w:styleId="709">
    <w:name w:val="Title"/>
    <w:basedOn w:val="697"/>
    <w:link w:val="710"/>
    <w:uiPriority w:val="1"/>
    <w:qFormat/>
    <w:pPr>
      <w:ind w:left="34" w:right="61"/>
      <w:jc w:val="center"/>
      <w:spacing w:after="0" w:line="569" w:lineRule="exact"/>
      <w:widowControl w:val="off"/>
    </w:pPr>
    <w:rPr>
      <w:rFonts w:ascii="Arial" w:hAnsi="Arial" w:eastAsia="Arial" w:cs="Arial"/>
      <w:color w:val="auto"/>
      <w:sz w:val="50"/>
      <w:szCs w:val="50"/>
      <w:lang w:eastAsia="en-US"/>
    </w:rPr>
  </w:style>
  <w:style w:type="character" w:styleId="710" w:customStyle="1">
    <w:name w:val="Заголовок Знак"/>
    <w:basedOn w:val="698"/>
    <w:link w:val="709"/>
    <w:uiPriority w:val="1"/>
    <w:rPr>
      <w:rFonts w:ascii="Arial" w:hAnsi="Arial" w:eastAsia="Arial" w:cs="Arial"/>
      <w:sz w:val="50"/>
      <w:szCs w:val="50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static.beeline.ru/upload/images/business/doc/etiketka-obschie-trebovaniya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SKM_C300i25021014180</dc:title>
  <dc:subject/>
  <dc:creator>Рыбников Евгений Валентинович</dc:creator>
  <cp:keywords/>
  <cp:lastModifiedBy>a.tryapochkin</cp:lastModifiedBy>
  <cp:revision>6</cp:revision>
  <dcterms:created xsi:type="dcterms:W3CDTF">2025-11-25T07:57:00Z</dcterms:created>
  <dcterms:modified xsi:type="dcterms:W3CDTF">2026-07-29T08:13:20Z</dcterms:modified>
</cp:coreProperties>
</file>