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032"/>
        <w:gridCol w:w="139"/>
        <w:gridCol w:w="903"/>
        <w:gridCol w:w="930"/>
        <w:gridCol w:w="1049"/>
        <w:gridCol w:w="1049"/>
        <w:gridCol w:w="850"/>
        <w:gridCol w:w="559"/>
        <w:gridCol w:w="824"/>
        <w:gridCol w:w="1288"/>
        <w:gridCol w:w="1328"/>
        <w:gridCol w:w="625"/>
        <w:gridCol w:w="1313"/>
      </w:tblGrid>
      <w:tr w:rsidR="00A409D9" w:rsidTr="00106ADA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center"/>
          </w:tcPr>
          <w:p w:rsidR="00A409D9" w:rsidRDefault="00515F3A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3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A409D9" w:rsidRDefault="00A409D9">
            <w:pPr>
              <w:jc w:val="center"/>
            </w:pP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Мелфалан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106ADA">
            <w:pPr>
              <w:jc w:val="center"/>
            </w:pPr>
            <w:proofErr w:type="spellStart"/>
            <w:r w:rsidRPr="00106ADA">
              <w:rPr>
                <w:rFonts w:ascii="Times New Roman" w:hAnsi="Times New Roman"/>
                <w:sz w:val="17"/>
                <w:szCs w:val="17"/>
              </w:rPr>
              <w:t>Лиофилизат</w:t>
            </w:r>
            <w:proofErr w:type="spellEnd"/>
            <w:r w:rsidRPr="00106ADA">
              <w:rPr>
                <w:rFonts w:ascii="Times New Roman" w:hAnsi="Times New Roman"/>
                <w:sz w:val="17"/>
                <w:szCs w:val="17"/>
              </w:rPr>
              <w:t xml:space="preserve"> для приготовления раствора для внутривенного и внутриартериального введения 50 мг</w:t>
            </w:r>
          </w:p>
        </w:tc>
        <w:tc>
          <w:tcPr>
            <w:tcW w:w="10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10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16,99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57,14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32,89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20,00</w:t>
            </w:r>
          </w:p>
        </w:tc>
        <w:tc>
          <w:tcPr>
            <w:tcW w:w="13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10 000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200 000,00</w:t>
            </w: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1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409D9" w:rsidRDefault="00515F3A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200 000,00</w:t>
            </w: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A409D9" w:rsidRDefault="00A409D9"/>
        </w:tc>
        <w:tc>
          <w:tcPr>
            <w:tcW w:w="1897" w:type="dxa"/>
            <w:shd w:val="clear" w:color="auto" w:fill="auto"/>
            <w:vAlign w:val="bottom"/>
          </w:tcPr>
          <w:p w:rsidR="00A409D9" w:rsidRDefault="00A409D9"/>
        </w:tc>
        <w:tc>
          <w:tcPr>
            <w:tcW w:w="1646" w:type="dxa"/>
            <w:shd w:val="clear" w:color="auto" w:fill="auto"/>
            <w:vAlign w:val="bottom"/>
          </w:tcPr>
          <w:p w:rsidR="00A409D9" w:rsidRDefault="00A409D9"/>
        </w:tc>
        <w:tc>
          <w:tcPr>
            <w:tcW w:w="1032" w:type="dxa"/>
            <w:shd w:val="clear" w:color="auto" w:fill="auto"/>
            <w:vAlign w:val="bottom"/>
          </w:tcPr>
          <w:p w:rsidR="00A409D9" w:rsidRDefault="00A409D9"/>
        </w:tc>
        <w:tc>
          <w:tcPr>
            <w:tcW w:w="139" w:type="dxa"/>
            <w:shd w:val="clear" w:color="auto" w:fill="auto"/>
            <w:vAlign w:val="bottom"/>
          </w:tcPr>
          <w:p w:rsidR="00A409D9" w:rsidRDefault="00A409D9"/>
        </w:tc>
        <w:tc>
          <w:tcPr>
            <w:tcW w:w="903" w:type="dxa"/>
            <w:shd w:val="clear" w:color="auto" w:fill="auto"/>
            <w:vAlign w:val="bottom"/>
          </w:tcPr>
          <w:p w:rsidR="00A409D9" w:rsidRDefault="00A409D9"/>
        </w:tc>
        <w:tc>
          <w:tcPr>
            <w:tcW w:w="930" w:type="dxa"/>
            <w:shd w:val="clear" w:color="auto" w:fill="auto"/>
            <w:vAlign w:val="bottom"/>
          </w:tcPr>
          <w:p w:rsidR="00A409D9" w:rsidRDefault="00A409D9"/>
        </w:tc>
        <w:tc>
          <w:tcPr>
            <w:tcW w:w="1049" w:type="dxa"/>
            <w:shd w:val="clear" w:color="auto" w:fill="auto"/>
            <w:vAlign w:val="bottom"/>
          </w:tcPr>
          <w:p w:rsidR="00A409D9" w:rsidRDefault="00A409D9"/>
        </w:tc>
        <w:tc>
          <w:tcPr>
            <w:tcW w:w="1049" w:type="dxa"/>
            <w:shd w:val="clear" w:color="auto" w:fill="auto"/>
            <w:vAlign w:val="bottom"/>
          </w:tcPr>
          <w:p w:rsidR="00A409D9" w:rsidRDefault="00A409D9"/>
        </w:tc>
        <w:tc>
          <w:tcPr>
            <w:tcW w:w="850" w:type="dxa"/>
            <w:shd w:val="clear" w:color="auto" w:fill="auto"/>
            <w:vAlign w:val="bottom"/>
          </w:tcPr>
          <w:p w:rsidR="00A409D9" w:rsidRDefault="00A409D9"/>
        </w:tc>
        <w:tc>
          <w:tcPr>
            <w:tcW w:w="559" w:type="dxa"/>
            <w:shd w:val="clear" w:color="auto" w:fill="auto"/>
            <w:vAlign w:val="bottom"/>
          </w:tcPr>
          <w:p w:rsidR="00A409D9" w:rsidRDefault="00A409D9"/>
        </w:tc>
        <w:tc>
          <w:tcPr>
            <w:tcW w:w="824" w:type="dxa"/>
            <w:shd w:val="clear" w:color="auto" w:fill="auto"/>
            <w:vAlign w:val="bottom"/>
          </w:tcPr>
          <w:p w:rsidR="00A409D9" w:rsidRDefault="00A409D9"/>
        </w:tc>
        <w:tc>
          <w:tcPr>
            <w:tcW w:w="1288" w:type="dxa"/>
            <w:shd w:val="clear" w:color="auto" w:fill="auto"/>
            <w:vAlign w:val="bottom"/>
          </w:tcPr>
          <w:p w:rsidR="00A409D9" w:rsidRDefault="00A409D9"/>
        </w:tc>
        <w:tc>
          <w:tcPr>
            <w:tcW w:w="1328" w:type="dxa"/>
            <w:shd w:val="clear" w:color="auto" w:fill="auto"/>
            <w:vAlign w:val="bottom"/>
          </w:tcPr>
          <w:p w:rsidR="00A409D9" w:rsidRDefault="00A409D9"/>
        </w:tc>
        <w:tc>
          <w:tcPr>
            <w:tcW w:w="625" w:type="dxa"/>
            <w:shd w:val="clear" w:color="auto" w:fill="auto"/>
            <w:vAlign w:val="bottom"/>
          </w:tcPr>
          <w:p w:rsidR="00A409D9" w:rsidRDefault="00A409D9"/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A409D9" w:rsidRDefault="00515F3A">
            <w:r>
              <w:rPr>
                <w:rFonts w:ascii="Times New Roman" w:hAnsi="Times New Roman"/>
                <w:sz w:val="23"/>
                <w:szCs w:val="23"/>
              </w:rPr>
              <w:t xml:space="preserve">Проведенные исследования позволяют определить начальную </w:t>
            </w:r>
            <w:r>
              <w:rPr>
                <w:rFonts w:ascii="Times New Roman" w:hAnsi="Times New Roman"/>
                <w:sz w:val="23"/>
                <w:szCs w:val="23"/>
              </w:rPr>
              <w:t>(максимальную) цену контракта в размере: 200 000,00 (Двести тысяч рублей 00 копеек)</w:t>
            </w:r>
          </w:p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gridAfter w:val="1"/>
          <w:wAfter w:w="1313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A409D9" w:rsidRDefault="00A409D9"/>
        </w:tc>
        <w:tc>
          <w:tcPr>
            <w:tcW w:w="1897" w:type="dxa"/>
            <w:shd w:val="clear" w:color="auto" w:fill="auto"/>
            <w:vAlign w:val="bottom"/>
          </w:tcPr>
          <w:p w:rsidR="00A409D9" w:rsidRDefault="00A409D9"/>
        </w:tc>
        <w:tc>
          <w:tcPr>
            <w:tcW w:w="1646" w:type="dxa"/>
            <w:shd w:val="clear" w:color="auto" w:fill="auto"/>
            <w:vAlign w:val="bottom"/>
          </w:tcPr>
          <w:p w:rsidR="00A409D9" w:rsidRDefault="00A409D9"/>
        </w:tc>
        <w:tc>
          <w:tcPr>
            <w:tcW w:w="1032" w:type="dxa"/>
            <w:shd w:val="clear" w:color="auto" w:fill="auto"/>
            <w:vAlign w:val="bottom"/>
          </w:tcPr>
          <w:p w:rsidR="00A409D9" w:rsidRDefault="00A409D9"/>
        </w:tc>
        <w:tc>
          <w:tcPr>
            <w:tcW w:w="139" w:type="dxa"/>
            <w:shd w:val="clear" w:color="auto" w:fill="auto"/>
            <w:vAlign w:val="bottom"/>
          </w:tcPr>
          <w:p w:rsidR="00A409D9" w:rsidRDefault="00A409D9"/>
        </w:tc>
        <w:tc>
          <w:tcPr>
            <w:tcW w:w="903" w:type="dxa"/>
            <w:shd w:val="clear" w:color="auto" w:fill="auto"/>
            <w:vAlign w:val="bottom"/>
          </w:tcPr>
          <w:p w:rsidR="00A409D9" w:rsidRDefault="00A409D9"/>
        </w:tc>
        <w:tc>
          <w:tcPr>
            <w:tcW w:w="930" w:type="dxa"/>
            <w:shd w:val="clear" w:color="auto" w:fill="auto"/>
            <w:vAlign w:val="bottom"/>
          </w:tcPr>
          <w:p w:rsidR="00A409D9" w:rsidRDefault="00A409D9"/>
        </w:tc>
        <w:tc>
          <w:tcPr>
            <w:tcW w:w="1049" w:type="dxa"/>
            <w:shd w:val="clear" w:color="auto" w:fill="auto"/>
            <w:vAlign w:val="bottom"/>
          </w:tcPr>
          <w:p w:rsidR="00A409D9" w:rsidRDefault="00A409D9"/>
        </w:tc>
        <w:tc>
          <w:tcPr>
            <w:tcW w:w="1049" w:type="dxa"/>
            <w:shd w:val="clear" w:color="auto" w:fill="auto"/>
            <w:vAlign w:val="bottom"/>
          </w:tcPr>
          <w:p w:rsidR="00A409D9" w:rsidRDefault="00A409D9"/>
        </w:tc>
        <w:tc>
          <w:tcPr>
            <w:tcW w:w="850" w:type="dxa"/>
            <w:shd w:val="clear" w:color="auto" w:fill="auto"/>
            <w:vAlign w:val="bottom"/>
          </w:tcPr>
          <w:p w:rsidR="00A409D9" w:rsidRDefault="00A409D9"/>
        </w:tc>
        <w:tc>
          <w:tcPr>
            <w:tcW w:w="559" w:type="dxa"/>
            <w:shd w:val="clear" w:color="auto" w:fill="auto"/>
            <w:vAlign w:val="bottom"/>
          </w:tcPr>
          <w:p w:rsidR="00A409D9" w:rsidRDefault="00A409D9"/>
        </w:tc>
        <w:tc>
          <w:tcPr>
            <w:tcW w:w="824" w:type="dxa"/>
            <w:shd w:val="clear" w:color="auto" w:fill="auto"/>
            <w:vAlign w:val="bottom"/>
          </w:tcPr>
          <w:p w:rsidR="00A409D9" w:rsidRDefault="00A409D9"/>
        </w:tc>
        <w:tc>
          <w:tcPr>
            <w:tcW w:w="1288" w:type="dxa"/>
            <w:shd w:val="clear" w:color="auto" w:fill="auto"/>
            <w:vAlign w:val="bottom"/>
          </w:tcPr>
          <w:p w:rsidR="00A409D9" w:rsidRDefault="00A409D9"/>
        </w:tc>
        <w:tc>
          <w:tcPr>
            <w:tcW w:w="1328" w:type="dxa"/>
            <w:shd w:val="clear" w:color="auto" w:fill="auto"/>
            <w:vAlign w:val="bottom"/>
          </w:tcPr>
          <w:p w:rsidR="00A409D9" w:rsidRDefault="00A409D9"/>
        </w:tc>
        <w:tc>
          <w:tcPr>
            <w:tcW w:w="625" w:type="dxa"/>
            <w:shd w:val="clear" w:color="auto" w:fill="auto"/>
            <w:vAlign w:val="bottom"/>
          </w:tcPr>
          <w:p w:rsidR="00A409D9" w:rsidRDefault="00A409D9"/>
        </w:tc>
      </w:tr>
      <w:tr w:rsidR="00A409D9" w:rsidTr="00106A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16"/>
            <w:shd w:val="clear" w:color="auto" w:fill="auto"/>
            <w:vAlign w:val="bottom"/>
          </w:tcPr>
          <w:p w:rsidR="00A409D9" w:rsidRDefault="00A409D9"/>
        </w:tc>
      </w:tr>
    </w:tbl>
    <w:p w:rsidR="00000000" w:rsidRDefault="00515F3A"/>
    <w:p w:rsidR="00106ADA" w:rsidRDefault="00106ADA" w:rsidP="00106ADA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106ADA" w:rsidRDefault="00106ADA">
      <w:bookmarkStart w:id="0" w:name="_GoBack"/>
      <w:bookmarkEnd w:id="0"/>
    </w:p>
    <w:sectPr w:rsidR="00106ADA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D9"/>
    <w:rsid w:val="00106ADA"/>
    <w:rsid w:val="00515F3A"/>
    <w:rsid w:val="00A4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85EFD-2F15-441D-B8B4-7DCB64C0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2</cp:revision>
  <dcterms:created xsi:type="dcterms:W3CDTF">2026-06-09T14:57:00Z</dcterms:created>
  <dcterms:modified xsi:type="dcterms:W3CDTF">2026-06-09T14:57:00Z</dcterms:modified>
</cp:coreProperties>
</file>