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right" w:pos="9781"/>
        </w:tabs>
        <w:jc w:val="center"/>
        <w:outlineLvl w:val="0"/>
        <w:rPr>
          <w:caps/>
        </w:rPr>
      </w:pPr>
      <w:bookmarkStart w:id="0" w:name="_GoBack"/>
      <w:bookmarkEnd w:id="0"/>
    </w:p>
    <w:p>
      <w:pPr>
        <w:tabs>
          <w:tab w:val="right" w:pos="9781"/>
        </w:tabs>
        <w:jc w:val="center"/>
        <w:outlineLvl w:val="0"/>
        <w:rPr>
          <w:caps/>
          <w:sz w:val="23"/>
          <w:szCs w:val="23"/>
        </w:rPr>
      </w:pPr>
      <w:r>
        <w:rPr>
          <w:caps/>
          <w:sz w:val="23"/>
          <w:szCs w:val="23"/>
        </w:rPr>
        <w:t>гражданско-правовой договор бюджетного учреждения</w:t>
      </w:r>
    </w:p>
    <w:p>
      <w:pPr>
        <w:tabs>
          <w:tab w:val="right" w:pos="9781"/>
        </w:tabs>
        <w:jc w:val="center"/>
        <w:outlineLvl w:val="0"/>
        <w:rPr>
          <w:caps/>
          <w:sz w:val="23"/>
          <w:szCs w:val="23"/>
        </w:rPr>
      </w:pPr>
    </w:p>
    <w:p>
      <w:pPr>
        <w:tabs>
          <w:tab w:val="right" w:pos="9781"/>
        </w:tabs>
        <w:jc w:val="center"/>
        <w:outlineLvl w:val="0"/>
        <w:rPr>
          <w:sz w:val="23"/>
          <w:szCs w:val="23"/>
        </w:rPr>
      </w:pPr>
      <w:r>
        <w:rPr>
          <w:caps/>
          <w:sz w:val="23"/>
          <w:szCs w:val="23"/>
        </w:rPr>
        <w:t>№ ______________________</w:t>
      </w:r>
    </w:p>
    <w:p>
      <w:pPr>
        <w:jc w:val="center"/>
        <w:outlineLvl w:val="0"/>
        <w:rPr>
          <w:b/>
          <w:sz w:val="23"/>
          <w:szCs w:val="23"/>
        </w:rPr>
      </w:pPr>
    </w:p>
    <w:p>
      <w:pPr>
        <w:jc w:val="center"/>
        <w:rPr>
          <w:color w:val="383838"/>
          <w:sz w:val="23"/>
          <w:szCs w:val="23"/>
          <w:shd w:val="clear" w:color="auto" w:fill="FFFFFF"/>
        </w:rPr>
      </w:pPr>
      <w:r>
        <w:rPr>
          <w:sz w:val="23"/>
          <w:szCs w:val="23"/>
        </w:rPr>
        <w:t xml:space="preserve">Идентификационный код закупки </w:t>
      </w:r>
      <w:r>
        <w:rPr>
          <w:color w:val="383838"/>
          <w:sz w:val="23"/>
          <w:szCs w:val="23"/>
          <w:shd w:val="clear" w:color="auto" w:fill="FFFFFF"/>
        </w:rPr>
        <w:t>261434505823143450100100080000000244</w:t>
      </w:r>
    </w:p>
    <w:p>
      <w:pPr>
        <w:jc w:val="center"/>
        <w:rPr>
          <w:sz w:val="23"/>
          <w:szCs w:val="23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5127"/>
        <w:gridCol w:w="4938"/>
      </w:tblGrid>
      <w:tr>
        <w:tc>
          <w:tcPr>
            <w:tcW w:w="5127" w:type="dxa"/>
          </w:tcPr>
          <w:p>
            <w:pPr>
              <w:ind w:lef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 Киров</w:t>
            </w:r>
          </w:p>
        </w:tc>
        <w:tc>
          <w:tcPr>
            <w:tcW w:w="4938" w:type="dxa"/>
          </w:tcPr>
          <w:p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«___» _________________ 2026 года</w:t>
            </w:r>
          </w:p>
        </w:tc>
      </w:tr>
      <w:tr>
        <w:tc>
          <w:tcPr>
            <w:tcW w:w="5127" w:type="dxa"/>
          </w:tcPr>
          <w:p>
            <w:pPr>
              <w:ind w:left="-108"/>
              <w:rPr>
                <w:sz w:val="23"/>
                <w:szCs w:val="23"/>
              </w:rPr>
            </w:pPr>
          </w:p>
        </w:tc>
        <w:tc>
          <w:tcPr>
            <w:tcW w:w="4938" w:type="dxa"/>
          </w:tcPr>
          <w:p>
            <w:pPr>
              <w:jc w:val="right"/>
              <w:rPr>
                <w:sz w:val="23"/>
                <w:szCs w:val="23"/>
              </w:rPr>
            </w:pPr>
          </w:p>
        </w:tc>
      </w:tr>
    </w:tbl>
    <w:p>
      <w:pPr>
        <w:autoSpaceDE w:val="0"/>
        <w:autoSpaceDN w:val="0"/>
        <w:adjustRightInd w:val="0"/>
        <w:ind w:firstLine="708"/>
        <w:jc w:val="both"/>
        <w:rPr>
          <w:rFonts w:eastAsiaTheme="minorHAnsi"/>
          <w:sz w:val="23"/>
          <w:szCs w:val="23"/>
          <w:lang w:eastAsia="en-US"/>
        </w:rPr>
      </w:pPr>
      <w:r>
        <w:rPr>
          <w:sz w:val="23"/>
          <w:szCs w:val="23"/>
        </w:rPr>
        <w:t xml:space="preserve">      Федеральное государственное бюджетное учреждение «Российский медицинский научно-производственный центр «Росплазма» Федерального медико-биологического агентства» (сокращенное наименование – ФГБУ РМНПЦ «Росплазма» ФМБА России), именуемое в дальнейшем «Заказчик», в лице___________________, действующего на основании_______, лицензии ________________, с одной стороны, и _____________(сокращенное наименование – ), именуемое в дальнейшем «Подрядчик», в лице___________________, действующего на основании ______, лицензии ________от_______, с другой стороны, здесь и далее вместе именуемые «Стороны», </w:t>
      </w:r>
      <w:r>
        <w:rPr>
          <w:rFonts w:eastAsiaTheme="minorHAnsi"/>
          <w:sz w:val="23"/>
          <w:szCs w:val="23"/>
          <w:lang w:eastAsia="en-US"/>
        </w:rPr>
        <w:t xml:space="preserve">руководствуясь п. 4 ч. 1 ст. 93 Федерального </w:t>
      </w:r>
      <w:hyperlink r:id="rId8" w:history="1">
        <w:r>
          <w:rPr>
            <w:rFonts w:eastAsiaTheme="minorHAnsi"/>
            <w:sz w:val="23"/>
            <w:szCs w:val="23"/>
            <w:lang w:eastAsia="en-US"/>
          </w:rPr>
          <w:t>закона</w:t>
        </w:r>
      </w:hyperlink>
      <w:r>
        <w:rPr>
          <w:rFonts w:eastAsiaTheme="minorHAnsi"/>
          <w:sz w:val="23"/>
          <w:szCs w:val="23"/>
          <w:lang w:eastAsia="en-US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>
        <w:rPr>
          <w:sz w:val="23"/>
          <w:szCs w:val="23"/>
        </w:rPr>
        <w:t xml:space="preserve">– </w:t>
      </w:r>
      <w:r>
        <w:rPr>
          <w:rFonts w:eastAsiaTheme="minorHAnsi"/>
          <w:sz w:val="23"/>
          <w:szCs w:val="23"/>
          <w:lang w:eastAsia="en-US"/>
        </w:rPr>
        <w:t>Федеральный закон о контрактной системе)</w:t>
      </w:r>
      <w:hyperlink r:id="rId9" w:history="1"/>
      <w:r>
        <w:rPr>
          <w:rFonts w:eastAsiaTheme="minorHAnsi"/>
          <w:sz w:val="23"/>
          <w:szCs w:val="23"/>
          <w:lang w:eastAsia="en-US"/>
        </w:rPr>
        <w:t xml:space="preserve">, заключили настоящий гражданско-правовой договор бюджетного учреждения (далее </w:t>
      </w:r>
      <w:r>
        <w:rPr>
          <w:sz w:val="23"/>
          <w:szCs w:val="23"/>
        </w:rPr>
        <w:t xml:space="preserve">– </w:t>
      </w:r>
      <w:r>
        <w:rPr>
          <w:rFonts w:eastAsiaTheme="minorHAnsi"/>
          <w:sz w:val="23"/>
          <w:szCs w:val="23"/>
          <w:lang w:eastAsia="en-US"/>
        </w:rPr>
        <w:t>контракт) о нижеследующем:</w:t>
      </w:r>
    </w:p>
    <w:p>
      <w:pPr>
        <w:ind w:firstLine="709"/>
        <w:jc w:val="both"/>
        <w:rPr>
          <w:sz w:val="23"/>
          <w:szCs w:val="23"/>
        </w:rPr>
      </w:pPr>
    </w:p>
    <w:p>
      <w:pPr>
        <w:pStyle w:val="-"/>
        <w:numPr>
          <w:ilvl w:val="0"/>
          <w:numId w:val="3"/>
        </w:numPr>
        <w:suppressAutoHyphens w:val="0"/>
        <w:spacing w:before="0" w:after="0"/>
        <w:rPr>
          <w:sz w:val="23"/>
          <w:szCs w:val="23"/>
        </w:rPr>
      </w:pPr>
      <w:r>
        <w:rPr>
          <w:sz w:val="23"/>
          <w:szCs w:val="23"/>
        </w:rPr>
        <w:t>Предмет КОНТРАКТа</w:t>
      </w:r>
    </w:p>
    <w:p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По настоящему контракту Подрядчик обязуется по заданию Заказчика выполнить, а Заказчик принять и оплатить в соответствии с условиями контракта </w:t>
      </w:r>
      <w:r>
        <w:rPr>
          <w:b/>
          <w:sz w:val="23"/>
          <w:szCs w:val="23"/>
          <w:shd w:val="clear" w:color="auto" w:fill="FFFFFF"/>
        </w:rPr>
        <w:t>работы по текущему ремонту системы охранно-пожарной сигнализации (СПС) и системы оповещения и управления эвакуацией (СОУЭ) в помещениях Пермского филиала ФГБУ РМНПЦ «</w:t>
      </w:r>
      <w:proofErr w:type="spellStart"/>
      <w:r>
        <w:rPr>
          <w:b/>
          <w:sz w:val="23"/>
          <w:szCs w:val="23"/>
          <w:shd w:val="clear" w:color="auto" w:fill="FFFFFF"/>
        </w:rPr>
        <w:t>Росплазма</w:t>
      </w:r>
      <w:proofErr w:type="spellEnd"/>
      <w:r>
        <w:rPr>
          <w:b/>
          <w:sz w:val="23"/>
          <w:szCs w:val="23"/>
          <w:shd w:val="clear" w:color="auto" w:fill="FFFFFF"/>
        </w:rPr>
        <w:t>» ФМБА России</w:t>
      </w:r>
      <w:r>
        <w:rPr>
          <w:sz w:val="23"/>
          <w:szCs w:val="23"/>
        </w:rPr>
        <w:t xml:space="preserve"> (далее – работы).</w:t>
      </w:r>
    </w:p>
    <w:p>
      <w:pPr>
        <w:pStyle w:val="a5"/>
        <w:autoSpaceDE w:val="0"/>
        <w:autoSpaceDN w:val="0"/>
        <w:adjustRightInd w:val="0"/>
        <w:ind w:left="0" w:firstLine="709"/>
        <w:jc w:val="both"/>
        <w:rPr>
          <w:bCs/>
          <w:sz w:val="23"/>
          <w:szCs w:val="23"/>
        </w:rPr>
      </w:pPr>
      <w:r>
        <w:rPr>
          <w:sz w:val="23"/>
          <w:szCs w:val="23"/>
        </w:rPr>
        <w:t>1.2. Объем и х</w:t>
      </w:r>
      <w:r>
        <w:rPr>
          <w:color w:val="000000"/>
          <w:sz w:val="23"/>
          <w:szCs w:val="23"/>
        </w:rPr>
        <w:t xml:space="preserve">арактеристики работ: в соответствии со Спецификацией (локальной сметой) (приложение № 1 к настоящему контракту), являющейся неотъемлемой частью </w:t>
      </w:r>
      <w:r>
        <w:rPr>
          <w:sz w:val="23"/>
          <w:szCs w:val="23"/>
        </w:rPr>
        <w:t>настоящего контракта.</w:t>
      </w:r>
    </w:p>
    <w:p>
      <w:pPr>
        <w:widowControl w:val="0"/>
        <w:autoSpaceDE w:val="0"/>
        <w:ind w:firstLine="709"/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>1.3. Заказчик обязуется оплатить выполненные работы в порядке и в сроки, предусмотренные настоящим контрактом.</w:t>
      </w:r>
    </w:p>
    <w:p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1.4. Сроки выполнения работ: в течение 30 (тридцати) календарных дней с даты подписания контракта.</w:t>
      </w:r>
    </w:p>
    <w:p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1.5. Место выполнения работ: Пермский филиал ФГБУ РМНПЦ «Росплазма» ФМБА России, расположенный по адресу: г. Пермь, ул. Революции, д. 5 А.</w:t>
      </w:r>
    </w:p>
    <w:p>
      <w:pPr>
        <w:pStyle w:val="a5"/>
        <w:autoSpaceDE w:val="0"/>
        <w:autoSpaceDN w:val="0"/>
        <w:adjustRightInd w:val="0"/>
        <w:ind w:left="0" w:firstLine="709"/>
        <w:jc w:val="both"/>
        <w:rPr>
          <w:rFonts w:eastAsia="Calibri"/>
          <w:sz w:val="23"/>
          <w:szCs w:val="23"/>
        </w:rPr>
      </w:pPr>
      <w:r>
        <w:rPr>
          <w:sz w:val="23"/>
          <w:szCs w:val="23"/>
        </w:rPr>
        <w:t xml:space="preserve">1.6. </w:t>
      </w:r>
      <w:r>
        <w:rPr>
          <w:rFonts w:eastAsia="Calibri"/>
          <w:sz w:val="23"/>
          <w:szCs w:val="23"/>
        </w:rPr>
        <w:t xml:space="preserve">Подрядчик обязан выполнить работы по настоящему </w:t>
      </w:r>
      <w:r>
        <w:rPr>
          <w:sz w:val="23"/>
          <w:szCs w:val="23"/>
        </w:rPr>
        <w:t>контракт</w:t>
      </w:r>
      <w:r>
        <w:rPr>
          <w:rFonts w:eastAsia="Calibri"/>
          <w:sz w:val="23"/>
          <w:szCs w:val="23"/>
        </w:rPr>
        <w:t>у лично.</w:t>
      </w:r>
    </w:p>
    <w:p>
      <w:pPr>
        <w:pStyle w:val="a5"/>
        <w:autoSpaceDE w:val="0"/>
        <w:autoSpaceDN w:val="0"/>
        <w:adjustRightInd w:val="0"/>
        <w:ind w:left="0" w:firstLine="709"/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1.7. Для выполнения работ Подрядчик использует материалы и оборудование, стоимость которых входит в цену контракта.</w:t>
      </w:r>
    </w:p>
    <w:p>
      <w:pPr>
        <w:pStyle w:val="a5"/>
        <w:autoSpaceDE w:val="0"/>
        <w:autoSpaceDN w:val="0"/>
        <w:adjustRightInd w:val="0"/>
        <w:ind w:left="0" w:firstLine="709"/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1.8. Объем выполняемых работ – 1 условная единица.</w:t>
      </w:r>
    </w:p>
    <w:p>
      <w:pPr>
        <w:pStyle w:val="a5"/>
        <w:autoSpaceDE w:val="0"/>
        <w:autoSpaceDN w:val="0"/>
        <w:adjustRightInd w:val="0"/>
        <w:ind w:left="0" w:firstLine="709"/>
        <w:jc w:val="both"/>
        <w:rPr>
          <w:sz w:val="23"/>
          <w:szCs w:val="23"/>
        </w:rPr>
      </w:pPr>
    </w:p>
    <w:p>
      <w:pPr>
        <w:pStyle w:val="1"/>
        <w:keepNext/>
        <w:numPr>
          <w:ilvl w:val="0"/>
          <w:numId w:val="3"/>
        </w:numPr>
        <w:tabs>
          <w:tab w:val="right" w:pos="9900"/>
        </w:tabs>
        <w:jc w:val="center"/>
        <w:outlineLvl w:val="3"/>
        <w:rPr>
          <w:caps/>
          <w:sz w:val="23"/>
          <w:szCs w:val="23"/>
        </w:rPr>
      </w:pPr>
      <w:r>
        <w:rPr>
          <w:b/>
          <w:caps/>
          <w:sz w:val="23"/>
          <w:szCs w:val="23"/>
        </w:rPr>
        <w:t>Цена КОНТРАКТа и ПОРЯДОК оплаты</w:t>
      </w:r>
    </w:p>
    <w:p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Общая стоимость работ (далее — цена контракта) составляет ____________руб. (__________________), в том числе НДС </w:t>
      </w:r>
      <w:r>
        <w:rPr>
          <w:i/>
          <w:sz w:val="23"/>
          <w:szCs w:val="23"/>
        </w:rPr>
        <w:t>или</w:t>
      </w:r>
      <w:r>
        <w:rPr>
          <w:sz w:val="23"/>
          <w:szCs w:val="23"/>
        </w:rPr>
        <w:t xml:space="preserve"> без НДС.</w:t>
      </w:r>
    </w:p>
    <w:p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Цена контракта является твердой и определяется на весь срок исполнения контракта, за исключением случаев, установленных действующим законодательством Российской Федерации.</w:t>
      </w:r>
    </w:p>
    <w:p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2.2. В цену контракта включены все расходы Подрядчика, необходимые для осуществления им своих обязательств по контракту в полном объеме и надлежащего качества, в том числе стоимость выполняемых работ, являющихся объектом закупки, товаров используемых при выполнении работ, транспортные расходы, все виды установленных налогов, в т.ч. НДС (если Подрядчик является его плательщиком), сборов и других обязательных платежей, установленных действующим законодательством Российской Федерации, связанных с выполняемыми работами, выплаченные или подлежащие выплате.</w:t>
      </w:r>
    </w:p>
    <w:p>
      <w:pPr>
        <w:pStyle w:val="msolistparagraph0"/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2.3 Цена контракта может быть снижена по соглашению Сторон без изменения предусмотренных контрактом качества и объема выполняемых работ, и иных условий контракта.</w:t>
      </w:r>
    </w:p>
    <w:p>
      <w:pPr>
        <w:pStyle w:val="msolistparagraph0"/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 Заказчик по согласованию с Подрядчиком в ходе исполнения настоящего контракта вправе увеличить предусмотренный контрактом объем работ, не более чем на десять процентов или уменьшить предусмотренный контрактом объем работ, не более чем на десять процентов. При этом </w:t>
      </w:r>
      <w:r>
        <w:rPr>
          <w:sz w:val="23"/>
          <w:szCs w:val="23"/>
        </w:rPr>
        <w:lastRenderedPageBreak/>
        <w:t>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работ, исходя из установленной в контракте цены единицы работы, но не более чем на десять процентов цены контракта. При уменьшении предусмотренного контрактом объема работ, Стороны обязаны уменьшить цену контракта исходя из цены единицы работы.</w:t>
      </w:r>
    </w:p>
    <w:p>
      <w:pPr>
        <w:pStyle w:val="2"/>
        <w:spacing w:after="0" w:line="24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2.5. 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должна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a5"/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2.6. Неучтенные затраты Подрядчика, но связанные с исполнением контракта, и не включенные в предлагаемую цену контракта, не подлежат оплате Заказчиком.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2.7. Источник финансирования: средства бюджетного учреждения (Заказчика).</w:t>
      </w:r>
    </w:p>
    <w:p>
      <w:pPr>
        <w:autoSpaceDE w:val="0"/>
        <w:autoSpaceDN w:val="0"/>
        <w:adjustRightInd w:val="0"/>
        <w:ind w:firstLine="709"/>
        <w:jc w:val="both"/>
        <w:outlineLvl w:val="1"/>
        <w:rPr>
          <w:sz w:val="23"/>
          <w:szCs w:val="23"/>
        </w:rPr>
      </w:pPr>
      <w:r>
        <w:rPr>
          <w:sz w:val="23"/>
          <w:szCs w:val="23"/>
        </w:rPr>
        <w:t xml:space="preserve">2.8. Форма оплаты – безналичный расчет, путем перечисления денежных средств на расчетный счет Подрядчика. Оплата производится в течение 10 рабочих дней с даты подписания Заказчиком Акта приемки товаров, работ, услуг (ф. 0510452), </w:t>
      </w:r>
      <w:r>
        <w:rPr>
          <w:rFonts w:eastAsiaTheme="minorHAnsi"/>
          <w:bCs/>
          <w:sz w:val="23"/>
          <w:szCs w:val="23"/>
          <w:lang w:eastAsia="en-US"/>
        </w:rPr>
        <w:t xml:space="preserve">акта о приемке выполненных работ по форме № КС-2 (далее </w:t>
      </w:r>
      <w:r>
        <w:rPr>
          <w:sz w:val="23"/>
          <w:szCs w:val="23"/>
        </w:rPr>
        <w:t xml:space="preserve">– </w:t>
      </w:r>
      <w:r>
        <w:rPr>
          <w:rFonts w:eastAsiaTheme="minorHAnsi"/>
          <w:bCs/>
          <w:sz w:val="23"/>
          <w:szCs w:val="23"/>
          <w:lang w:eastAsia="en-US"/>
        </w:rPr>
        <w:t>КС-2), справки о стоимости выполненных работ и затрат по форме № КС-3 (далее - КС-3)</w:t>
      </w:r>
      <w:r>
        <w:rPr>
          <w:sz w:val="23"/>
          <w:szCs w:val="23"/>
        </w:rPr>
        <w:t>.</w:t>
      </w:r>
    </w:p>
    <w:p>
      <w:pPr>
        <w:pStyle w:val="2"/>
        <w:spacing w:after="0" w:line="24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2.9. Заказчик производит удержание суммы неисполненных Подрядчиком </w:t>
      </w:r>
      <w:r>
        <w:rPr>
          <w:rFonts w:eastAsiaTheme="minorHAnsi"/>
          <w:sz w:val="23"/>
          <w:szCs w:val="23"/>
          <w:lang w:eastAsia="en-US"/>
        </w:rPr>
        <w:t xml:space="preserve">требований об уплате неустоек (штрафов, пеней), предъявленных Заказчиком, из суммы, подлежащей оплате </w:t>
      </w:r>
      <w:r>
        <w:rPr>
          <w:sz w:val="23"/>
          <w:szCs w:val="23"/>
        </w:rPr>
        <w:t>Подрядчику</w:t>
      </w:r>
      <w:r>
        <w:rPr>
          <w:rFonts w:eastAsiaTheme="minorHAnsi"/>
          <w:sz w:val="23"/>
          <w:szCs w:val="23"/>
          <w:lang w:eastAsia="en-US"/>
        </w:rPr>
        <w:t>.</w:t>
      </w:r>
    </w:p>
    <w:p>
      <w:pPr>
        <w:pStyle w:val="2"/>
        <w:spacing w:after="0" w:line="24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2.10. Датой платежа является дата списания денежных средств со счета Заказчика.</w:t>
      </w:r>
    </w:p>
    <w:p>
      <w:pPr>
        <w:pStyle w:val="-"/>
        <w:tabs>
          <w:tab w:val="clear" w:pos="540"/>
        </w:tabs>
        <w:suppressAutoHyphens w:val="0"/>
        <w:spacing w:before="0" w:after="0"/>
        <w:rPr>
          <w:b w:val="0"/>
          <w:sz w:val="23"/>
          <w:szCs w:val="23"/>
        </w:rPr>
      </w:pPr>
    </w:p>
    <w:p>
      <w:pPr>
        <w:pStyle w:val="-"/>
        <w:numPr>
          <w:ilvl w:val="0"/>
          <w:numId w:val="20"/>
        </w:numPr>
        <w:tabs>
          <w:tab w:val="clear" w:pos="540"/>
        </w:tabs>
        <w:suppressAutoHyphens w:val="0"/>
        <w:spacing w:before="0" w:after="0"/>
        <w:rPr>
          <w:sz w:val="23"/>
          <w:szCs w:val="23"/>
        </w:rPr>
      </w:pPr>
      <w:r>
        <w:rPr>
          <w:sz w:val="23"/>
          <w:szCs w:val="23"/>
        </w:rPr>
        <w:t>ПРАВА И обязанности Сторон</w:t>
      </w:r>
    </w:p>
    <w:p>
      <w:pPr>
        <w:tabs>
          <w:tab w:val="right" w:pos="9900"/>
        </w:tabs>
        <w:ind w:firstLine="709"/>
        <w:rPr>
          <w:sz w:val="23"/>
          <w:szCs w:val="23"/>
        </w:rPr>
      </w:pPr>
      <w:r>
        <w:rPr>
          <w:sz w:val="23"/>
          <w:szCs w:val="23"/>
        </w:rPr>
        <w:t>3.1. Подрядчик обязан:</w:t>
      </w:r>
    </w:p>
    <w:p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3.1.1. Выполнять работы своевременно, надлежащего качества, в соответствии с условиями настоящего контракта, своими силами, материалами и средствами.</w:t>
      </w:r>
    </w:p>
    <w:p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3.1.2. Не допускать при выполнении работ повреждений материалов, конструкций, сетей и оборудования, а также в период устранения недостатков выполненных работ после сдачи результата выполненных работ.</w:t>
      </w:r>
    </w:p>
    <w:p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3.1.3. Выполнить работы в объеме и по характеристикам согласно условиям настоящего контракта.</w:t>
      </w:r>
    </w:p>
    <w:p>
      <w:pPr>
        <w:autoSpaceDE w:val="0"/>
        <w:autoSpaceDN w:val="0"/>
        <w:adjustRightInd w:val="0"/>
        <w:ind w:firstLine="709"/>
        <w:jc w:val="both"/>
        <w:outlineLvl w:val="1"/>
        <w:rPr>
          <w:sz w:val="23"/>
          <w:szCs w:val="23"/>
        </w:rPr>
      </w:pPr>
      <w:r>
        <w:rPr>
          <w:sz w:val="23"/>
          <w:szCs w:val="23"/>
        </w:rPr>
        <w:t>3.1.4. Устранить выявленные недостатки/дефекты работ в предусмотренный контрактом срок за свой счет</w:t>
      </w:r>
      <w:r>
        <w:rPr>
          <w:bCs/>
          <w:sz w:val="23"/>
          <w:szCs w:val="23"/>
        </w:rPr>
        <w:t xml:space="preserve">. </w:t>
      </w:r>
      <w:r>
        <w:rPr>
          <w:sz w:val="23"/>
          <w:szCs w:val="23"/>
        </w:rPr>
        <w:t>Подрядчик несет все расходы по устранению недостатков.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3.1.5. Незамедлительно уведомить Заказчика в письменной форме в случае, если по каким-либо причинам Подрядчик окажется не в состоянии приступить к исполнению своих обязанностей в обусловленные настоящим контрактом сроки.</w:t>
      </w:r>
    </w:p>
    <w:p>
      <w:pPr>
        <w:ind w:firstLine="709"/>
        <w:jc w:val="both"/>
        <w:rPr>
          <w:rFonts w:eastAsiaTheme="minorHAnsi"/>
          <w:sz w:val="23"/>
          <w:szCs w:val="23"/>
          <w:lang w:eastAsia="en-US"/>
        </w:rPr>
      </w:pPr>
      <w:r>
        <w:rPr>
          <w:sz w:val="23"/>
          <w:szCs w:val="23"/>
        </w:rPr>
        <w:t>3.1.6. При заключении настоящего контракта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Theme="minorHAnsi"/>
          <w:sz w:val="23"/>
          <w:szCs w:val="23"/>
          <w:lang w:eastAsia="en-US"/>
        </w:rPr>
        <w:t>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3.1.7. Обеспечить конфиденциальность и безопасность персональных данных при их обработке, ставших известными в процессе исполнения настоящего контракта, а также принять для этого все необходимые меры с использованием методов и способов защиты информации, установленных действующим законодательством Российской Федерации.</w:t>
      </w:r>
    </w:p>
    <w:p>
      <w:pPr>
        <w:tabs>
          <w:tab w:val="right" w:pos="9900"/>
        </w:tabs>
        <w:ind w:firstLine="709"/>
        <w:jc w:val="both"/>
        <w:rPr>
          <w:rFonts w:eastAsiaTheme="minorHAnsi"/>
          <w:sz w:val="23"/>
          <w:szCs w:val="23"/>
          <w:lang w:eastAsia="en-US"/>
        </w:rPr>
      </w:pPr>
      <w:r>
        <w:rPr>
          <w:sz w:val="23"/>
          <w:szCs w:val="23"/>
        </w:rPr>
        <w:t xml:space="preserve">3.1.8. </w:t>
      </w:r>
      <w:r>
        <w:rPr>
          <w:rFonts w:eastAsiaTheme="minorHAnsi"/>
          <w:sz w:val="23"/>
          <w:szCs w:val="23"/>
          <w:lang w:eastAsia="en-US"/>
        </w:rPr>
        <w:t>Соблюдать действующие у Заказчика правила внутреннего трудового распорядка, правила техники безопасности и пожарной безопасности, а также пропускной и санитарно-эпидемиологический режим при выполнении работ.</w:t>
      </w:r>
    </w:p>
    <w:p>
      <w:pPr>
        <w:tabs>
          <w:tab w:val="right" w:pos="9900"/>
        </w:tabs>
        <w:ind w:firstLine="709"/>
        <w:jc w:val="both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 xml:space="preserve">3.1.9. </w:t>
      </w:r>
      <w:r>
        <w:rPr>
          <w:rFonts w:eastAsia="Lucida Sans Unicode"/>
          <w:kern w:val="1"/>
          <w:sz w:val="23"/>
          <w:szCs w:val="23"/>
          <w:lang w:eastAsia="hi-IN" w:bidi="hi-IN"/>
        </w:rPr>
        <w:t xml:space="preserve">Незамедлительно известить Заказчика и до его указаний приостановить </w:t>
      </w:r>
      <w:r>
        <w:rPr>
          <w:rFonts w:eastAsiaTheme="minorHAnsi"/>
          <w:sz w:val="23"/>
          <w:szCs w:val="23"/>
          <w:lang w:eastAsia="en-US"/>
        </w:rPr>
        <w:t>выполнение работ</w:t>
      </w:r>
      <w:r>
        <w:rPr>
          <w:rFonts w:eastAsia="Lucida Sans Unicode"/>
          <w:kern w:val="1"/>
          <w:sz w:val="23"/>
          <w:szCs w:val="23"/>
          <w:lang w:eastAsia="hi-IN" w:bidi="hi-IN"/>
        </w:rPr>
        <w:t xml:space="preserve"> при обнаружении возможных неблагоприятных для Заказчика последствий, иных, не зависящих от Подрядчика обстоятельств, которые могут оказать негативное влияние на качество </w:t>
      </w:r>
      <w:r>
        <w:rPr>
          <w:rFonts w:eastAsiaTheme="minorHAnsi"/>
          <w:sz w:val="23"/>
          <w:szCs w:val="23"/>
          <w:lang w:eastAsia="en-US"/>
        </w:rPr>
        <w:t>выполненных работ</w:t>
      </w:r>
      <w:r>
        <w:rPr>
          <w:rFonts w:eastAsia="Lucida Sans Unicode"/>
          <w:kern w:val="1"/>
          <w:sz w:val="23"/>
          <w:szCs w:val="23"/>
          <w:lang w:eastAsia="hi-IN" w:bidi="hi-IN"/>
        </w:rPr>
        <w:t>, либо создающих невозможность исполнения их в срок</w:t>
      </w:r>
      <w:r>
        <w:rPr>
          <w:rFonts w:eastAsiaTheme="minorHAnsi"/>
          <w:sz w:val="23"/>
          <w:szCs w:val="23"/>
          <w:lang w:eastAsia="en-US"/>
        </w:rPr>
        <w:t>.</w:t>
      </w:r>
    </w:p>
    <w:p>
      <w:pPr>
        <w:tabs>
          <w:tab w:val="right" w:pos="9900"/>
        </w:tabs>
        <w:ind w:firstLine="709"/>
        <w:jc w:val="both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 xml:space="preserve">3.1.10. Произвести ремонтные и пуско-наладочные мероприятия по адресу Заказчика в соответствии со </w:t>
      </w:r>
      <w:r>
        <w:rPr>
          <w:color w:val="000000"/>
          <w:sz w:val="23"/>
          <w:szCs w:val="23"/>
        </w:rPr>
        <w:t>Спецификацией (локальной сметой)</w:t>
      </w:r>
      <w:r>
        <w:rPr>
          <w:rFonts w:eastAsiaTheme="minorHAnsi"/>
          <w:sz w:val="23"/>
          <w:szCs w:val="23"/>
          <w:lang w:eastAsia="en-US"/>
        </w:rPr>
        <w:t>.</w:t>
      </w:r>
    </w:p>
    <w:p>
      <w:pPr>
        <w:tabs>
          <w:tab w:val="right" w:pos="9900"/>
        </w:tabs>
        <w:ind w:firstLine="709"/>
        <w:jc w:val="both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 xml:space="preserve">3.1.11 По окончании выполненных работ и не позднее </w:t>
      </w:r>
      <w:r>
        <w:rPr>
          <w:sz w:val="23"/>
          <w:szCs w:val="23"/>
        </w:rPr>
        <w:t xml:space="preserve">направления Заказчику </w:t>
      </w:r>
      <w:r>
        <w:rPr>
          <w:rFonts w:eastAsiaTheme="minorHAnsi"/>
          <w:bCs/>
          <w:sz w:val="23"/>
          <w:szCs w:val="23"/>
          <w:lang w:eastAsia="en-US"/>
        </w:rPr>
        <w:t xml:space="preserve">КС-2, КС-3, </w:t>
      </w:r>
      <w:r>
        <w:rPr>
          <w:rFonts w:eastAsiaTheme="minorHAnsi"/>
          <w:sz w:val="23"/>
          <w:szCs w:val="23"/>
          <w:lang w:eastAsia="en-US"/>
        </w:rPr>
        <w:t>вывезти весь мусор, образовавшийся при выполнении работ.</w:t>
      </w:r>
    </w:p>
    <w:p>
      <w:pPr>
        <w:tabs>
          <w:tab w:val="right" w:pos="9900"/>
        </w:tabs>
        <w:ind w:firstLine="709"/>
        <w:jc w:val="both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lastRenderedPageBreak/>
        <w:t>3.1.12. Участвовать в приемке-передаче выполненных работ в соответствии с разделом 4 настоящего контракта.</w:t>
      </w:r>
    </w:p>
    <w:p>
      <w:pPr>
        <w:tabs>
          <w:tab w:val="right" w:pos="9900"/>
        </w:tabs>
        <w:ind w:firstLine="709"/>
        <w:jc w:val="both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 xml:space="preserve">3.1.13. </w:t>
      </w:r>
      <w:r>
        <w:rPr>
          <w:sz w:val="23"/>
          <w:szCs w:val="23"/>
        </w:rPr>
        <w:t xml:space="preserve">Подписать </w:t>
      </w:r>
      <w:hyperlink r:id="rId10" w:history="1">
        <w:r>
          <w:rPr>
            <w:sz w:val="23"/>
            <w:szCs w:val="23"/>
          </w:rPr>
          <w:t>Акт</w:t>
        </w:r>
      </w:hyperlink>
      <w:r>
        <w:rPr>
          <w:sz w:val="23"/>
          <w:szCs w:val="23"/>
        </w:rPr>
        <w:t xml:space="preserve"> приемки товаров, работ, услуг (ф. 0510452) со своей стороны и направить в адрес Заказчика в срок не более 10 рабочих дней с даты получения, по истечении указанного срока замечания по Акту не принимаются</w:t>
      </w:r>
      <w:r>
        <w:rPr>
          <w:rFonts w:eastAsiaTheme="minorHAnsi"/>
          <w:sz w:val="23"/>
          <w:szCs w:val="23"/>
          <w:lang w:eastAsia="en-US"/>
        </w:rPr>
        <w:t>.</w:t>
      </w:r>
    </w:p>
    <w:p>
      <w:pPr>
        <w:tabs>
          <w:tab w:val="right" w:pos="9900"/>
        </w:tabs>
        <w:ind w:firstLine="709"/>
        <w:jc w:val="both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>3.1.14. В случае фиксации задолженности: при предъявлении исковых требований, урегулировании задолженности по контракту подписать Акт сверки расчетов (форма 0510477) с обязательным заполнением раздела 2 «По данным контрагента» (подготавливается Заказчиком).</w:t>
      </w:r>
    </w:p>
    <w:p>
      <w:pPr>
        <w:shd w:val="clear" w:color="auto" w:fill="FFFFFF"/>
        <w:tabs>
          <w:tab w:val="left" w:pos="1276"/>
        </w:tabs>
        <w:ind w:firstLine="709"/>
        <w:jc w:val="both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 xml:space="preserve">3.1.15. </w:t>
      </w:r>
      <w:r>
        <w:rPr>
          <w:sz w:val="23"/>
          <w:szCs w:val="23"/>
        </w:rPr>
        <w:t xml:space="preserve">Подписать Акт приема-сдачи отремонтированных, реконструированных и модернизированных объектов основных средств </w:t>
      </w:r>
      <w:hyperlink r:id="rId11" w:history="1">
        <w:r>
          <w:rPr>
            <w:sz w:val="23"/>
            <w:szCs w:val="23"/>
          </w:rPr>
          <w:t>(ф. 0504103)</w:t>
        </w:r>
      </w:hyperlink>
      <w:r>
        <w:rPr>
          <w:sz w:val="23"/>
          <w:szCs w:val="23"/>
        </w:rPr>
        <w:t xml:space="preserve"> (подготавливается Заказчиком).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3.2. Заказчик обязан:</w:t>
      </w:r>
    </w:p>
    <w:p>
      <w:pPr>
        <w:pStyle w:val="a5"/>
        <w:numPr>
          <w:ilvl w:val="0"/>
          <w:numId w:val="19"/>
        </w:numPr>
        <w:shd w:val="clear" w:color="auto" w:fill="FFFFFF"/>
        <w:tabs>
          <w:tab w:val="left" w:pos="1276"/>
        </w:tabs>
        <w:ind w:left="0" w:firstLine="709"/>
        <w:jc w:val="both"/>
        <w:rPr>
          <w:spacing w:val="-6"/>
          <w:sz w:val="23"/>
          <w:szCs w:val="23"/>
        </w:rPr>
      </w:pPr>
      <w:r>
        <w:rPr>
          <w:sz w:val="23"/>
          <w:szCs w:val="23"/>
        </w:rPr>
        <w:t>Принять выполненные работы в соответствии с настоящим контрактом.</w:t>
      </w:r>
    </w:p>
    <w:p>
      <w:pPr>
        <w:pStyle w:val="a5"/>
        <w:numPr>
          <w:ilvl w:val="0"/>
          <w:numId w:val="19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Оплатить выполненные работы в порядке и сроки, предусмотренные настоящим контрактом.</w:t>
      </w:r>
    </w:p>
    <w:p>
      <w:pPr>
        <w:pStyle w:val="a5"/>
        <w:numPr>
          <w:ilvl w:val="0"/>
          <w:numId w:val="19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Предоставить уполномоченным лицам Подрядчика доступ в помещения Заказчика для выполнения обязательств по контракту.</w:t>
      </w:r>
    </w:p>
    <w:p>
      <w:pPr>
        <w:pStyle w:val="a5"/>
        <w:numPr>
          <w:ilvl w:val="0"/>
          <w:numId w:val="19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Оформить Акт приема-сдачи отремонтированных, реконструированных и модернизированных объектов основных средств </w:t>
      </w:r>
      <w:hyperlink r:id="rId12" w:history="1">
        <w:r>
          <w:rPr>
            <w:sz w:val="23"/>
            <w:szCs w:val="23"/>
          </w:rPr>
          <w:t>(ф. 0504103)</w:t>
        </w:r>
      </w:hyperlink>
      <w:r>
        <w:rPr>
          <w:sz w:val="23"/>
          <w:szCs w:val="23"/>
        </w:rPr>
        <w:t xml:space="preserve"> и передать Подрядчику на подписание.</w:t>
      </w:r>
    </w:p>
    <w:p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3.3. Заказчик имеет право:</w:t>
      </w:r>
    </w:p>
    <w:p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3.3.1. В судебном порядке требовать расторжения настоящего контракта и возмещения причиненных убытков, если Подрядчик своевременно и/или неоднократно не выполняет условия настоящего контракта.</w:t>
      </w:r>
    </w:p>
    <w:p>
      <w:pPr>
        <w:pStyle w:val="a5"/>
        <w:autoSpaceDE w:val="0"/>
        <w:autoSpaceDN w:val="0"/>
        <w:adjustRightInd w:val="0"/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3.4. Заказчик имеет право в ходе </w:t>
      </w:r>
      <w:r>
        <w:rPr>
          <w:rFonts w:eastAsiaTheme="minorHAnsi"/>
          <w:sz w:val="23"/>
          <w:szCs w:val="23"/>
          <w:lang w:eastAsia="en-US"/>
        </w:rPr>
        <w:t>выполнения работ</w:t>
      </w:r>
      <w:r>
        <w:rPr>
          <w:sz w:val="23"/>
          <w:szCs w:val="23"/>
        </w:rPr>
        <w:t xml:space="preserve"> проверять объем и качество выполняемых Подрядчиком работ, вносить замечания и предложения по качеству работ.</w:t>
      </w:r>
    </w:p>
    <w:p>
      <w:pPr>
        <w:ind w:firstLine="708"/>
        <w:jc w:val="both"/>
        <w:rPr>
          <w:sz w:val="23"/>
          <w:szCs w:val="23"/>
        </w:rPr>
      </w:pPr>
      <w:r>
        <w:rPr>
          <w:bCs/>
          <w:sz w:val="23"/>
          <w:szCs w:val="23"/>
        </w:rPr>
        <w:tab/>
      </w:r>
    </w:p>
    <w:p>
      <w:pPr>
        <w:pStyle w:val="-"/>
        <w:numPr>
          <w:ilvl w:val="0"/>
          <w:numId w:val="20"/>
        </w:numPr>
        <w:suppressAutoHyphens w:val="0"/>
        <w:spacing w:before="0" w:after="0"/>
        <w:rPr>
          <w:sz w:val="23"/>
          <w:szCs w:val="23"/>
        </w:rPr>
      </w:pPr>
      <w:r>
        <w:rPr>
          <w:sz w:val="23"/>
          <w:szCs w:val="23"/>
        </w:rPr>
        <w:t>Порядок СДАЧИ - приемки РАБОТ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Стороны определили, что документом о приёмке выполненных работ является Акт приемки товаров, работ, услуг (ф. 0510452) (далее – Акт приёмки).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Датой надлежащего исполнения обязательств Подрядчиком является дата подписания Заказчиком Акта приёмки.</w:t>
      </w:r>
    </w:p>
    <w:p>
      <w:pPr>
        <w:autoSpaceDE w:val="0"/>
        <w:autoSpaceDN w:val="0"/>
        <w:adjustRightInd w:val="0"/>
        <w:ind w:firstLine="709"/>
        <w:jc w:val="both"/>
        <w:rPr>
          <w:rFonts w:eastAsiaTheme="minorHAnsi"/>
          <w:sz w:val="23"/>
          <w:szCs w:val="23"/>
          <w:lang w:eastAsia="en-US"/>
        </w:rPr>
      </w:pPr>
      <w:r>
        <w:rPr>
          <w:sz w:val="23"/>
          <w:szCs w:val="23"/>
        </w:rPr>
        <w:t xml:space="preserve">4.3. Подрядчик в срок не позднее 5 (Пять) рабочих дней после окончания выполнения работ направляет Заказчику </w:t>
      </w:r>
      <w:r>
        <w:rPr>
          <w:rFonts w:eastAsiaTheme="minorHAnsi"/>
          <w:bCs/>
          <w:sz w:val="23"/>
          <w:szCs w:val="23"/>
          <w:lang w:eastAsia="en-US"/>
        </w:rPr>
        <w:t>КС-2, КС-3.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Сдача-приемка результата выполненных работ осуществляется Сторонами в удобное для Заказчика время и включает в себя следующие этапы: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а) проверка объема выполненных работ на соответствие условиям контракта;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б) проверка полноты и правильности оформления комплекта документов, предусмотренных в соответствии с условиями контракта.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4.4.</w:t>
      </w:r>
      <w:r>
        <w:rPr>
          <w:sz w:val="23"/>
          <w:szCs w:val="23"/>
        </w:rPr>
        <w:tab/>
        <w:t xml:space="preserve">Заказчик проводит приемку результата выполненных работ с обязательным участием Подрядчика в течение 20 рабочих дней с даты получения от Подрядчика </w:t>
      </w:r>
      <w:r>
        <w:rPr>
          <w:rFonts w:eastAsiaTheme="minorHAnsi"/>
          <w:bCs/>
          <w:sz w:val="23"/>
          <w:szCs w:val="23"/>
          <w:lang w:eastAsia="en-US"/>
        </w:rPr>
        <w:t>КС-2, КС-3</w:t>
      </w:r>
      <w:r>
        <w:rPr>
          <w:sz w:val="23"/>
          <w:szCs w:val="23"/>
        </w:rPr>
        <w:t xml:space="preserve">. Заказчик проводит осмотр результата выполненных работ с участием представителя Подрядчика с обязательным оформлением Акта приемки. В день осмотра результата выполненных работ представитель Подрядчика обязан ознакомиться с оформленным Актом приемки, и при отсутствии замечаний подписать на бумажном носителе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Заказчиком и Подрядчиком). При невозможности подписания и передачи Акта приемки Заказчику в день осмотра результата выполненных работ Подрядчик направляет Акт приемки в срок установленный </w:t>
      </w:r>
      <w:proofErr w:type="spellStart"/>
      <w:r>
        <w:rPr>
          <w:sz w:val="23"/>
          <w:szCs w:val="23"/>
        </w:rPr>
        <w:t>п.п</w:t>
      </w:r>
      <w:proofErr w:type="spellEnd"/>
      <w:r>
        <w:rPr>
          <w:sz w:val="23"/>
          <w:szCs w:val="23"/>
        </w:rPr>
        <w:t>. 3.1.13. контракта.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4.5. В случае выявления при приемке результата выполненных работ ненадлежащего качества, несоответствия его условиям контракта, Заказчик обязан оформить результаты приемки в Акте приемки.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Подрядчик в данном случае обязан устранить выявленные недостатки в течение 5 рабочих дней с момента подписания Сторонами Акта приемки.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4.6. В случае наличия замечаний / разногласий по Акту приемки Исполнитель вправе представить мотивированное несогласие в срок, установленный </w:t>
      </w:r>
      <w:proofErr w:type="spellStart"/>
      <w:r>
        <w:rPr>
          <w:sz w:val="23"/>
          <w:szCs w:val="23"/>
        </w:rPr>
        <w:t>п.п</w:t>
      </w:r>
      <w:proofErr w:type="spellEnd"/>
      <w:r>
        <w:rPr>
          <w:sz w:val="23"/>
          <w:szCs w:val="23"/>
        </w:rPr>
        <w:t>. 3.1.13 контракта. По истечении указанного срока замечания (разногласия) по Акту приемки не принимаются.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4.7.</w:t>
      </w:r>
      <w:r>
        <w:rPr>
          <w:sz w:val="23"/>
          <w:szCs w:val="23"/>
        </w:rPr>
        <w:tab/>
        <w:t xml:space="preserve"> При отсутствии претензий к объему, характеристикам и качеству (за исключением скрытых недостатков) работ Заказчик подписывает Акт приемки, а также подписывает КС-2, КС-3 и направляет указанные документы Подрядчику.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4.8. Для проверки предоставленных Подрядчиком результатов, предусмотренных </w:t>
      </w:r>
      <w:r>
        <w:rPr>
          <w:rFonts w:eastAsiaTheme="minorHAnsi"/>
          <w:sz w:val="23"/>
          <w:szCs w:val="23"/>
          <w:lang w:eastAsia="en-US"/>
        </w:rPr>
        <w:t>контрактом</w:t>
      </w:r>
      <w:r>
        <w:rPr>
          <w:sz w:val="23"/>
          <w:szCs w:val="23"/>
        </w:rPr>
        <w:t xml:space="preserve">, в части их соответствия условиям контракта Заказчик обязан провести экспертизу. Экспертиза результатов, предусмотренных </w:t>
      </w:r>
      <w:r>
        <w:rPr>
          <w:rFonts w:eastAsiaTheme="minorHAnsi"/>
          <w:sz w:val="23"/>
          <w:szCs w:val="23"/>
          <w:lang w:eastAsia="en-US"/>
        </w:rPr>
        <w:t>контрактом</w:t>
      </w:r>
      <w:r>
        <w:rPr>
          <w:sz w:val="23"/>
          <w:szCs w:val="23"/>
        </w:rPr>
        <w:t>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Подрядчиком.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</w:p>
    <w:p>
      <w:pPr>
        <w:pStyle w:val="a5"/>
        <w:numPr>
          <w:ilvl w:val="0"/>
          <w:numId w:val="20"/>
        </w:numPr>
        <w:tabs>
          <w:tab w:val="right" w:pos="9900"/>
        </w:tabs>
        <w:jc w:val="center"/>
        <w:rPr>
          <w:sz w:val="23"/>
          <w:szCs w:val="23"/>
        </w:rPr>
      </w:pPr>
      <w:r>
        <w:rPr>
          <w:b/>
          <w:sz w:val="23"/>
          <w:szCs w:val="23"/>
        </w:rPr>
        <w:t>КАЧЕСТВО И ГАРАНТИИ</w:t>
      </w:r>
    </w:p>
    <w:p>
      <w:pPr>
        <w:tabs>
          <w:tab w:val="left" w:pos="993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</w:t>
      </w:r>
      <w:r>
        <w:rPr>
          <w:sz w:val="23"/>
          <w:szCs w:val="23"/>
          <w:lang w:eastAsia="ar-SA"/>
        </w:rPr>
        <w:t xml:space="preserve">Подрядчик гарантирует качество и безопасность выполненных работ, а также их соответствие </w:t>
      </w:r>
      <w:r>
        <w:rPr>
          <w:i/>
          <w:sz w:val="23"/>
          <w:szCs w:val="23"/>
        </w:rPr>
        <w:t xml:space="preserve">требованиями </w:t>
      </w:r>
      <w:r>
        <w:rPr>
          <w:bCs/>
          <w:i/>
          <w:sz w:val="23"/>
          <w:szCs w:val="23"/>
        </w:rPr>
        <w:t xml:space="preserve">действующего законодательства, национальных стандартов </w:t>
      </w:r>
      <w:r>
        <w:rPr>
          <w:i/>
          <w:sz w:val="23"/>
          <w:szCs w:val="23"/>
        </w:rPr>
        <w:t>и иных правовых актов Российской Федерации</w:t>
      </w:r>
      <w:r>
        <w:rPr>
          <w:sz w:val="23"/>
          <w:szCs w:val="23"/>
          <w:lang w:eastAsia="ar-SA"/>
        </w:rPr>
        <w:t>, предъявляемым к данному виду работ.</w:t>
      </w:r>
    </w:p>
    <w:p>
      <w:pPr>
        <w:widowControl w:val="0"/>
        <w:ind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>5.2. Подрядчик предоставляет гарантию на работы. Гарантийный срок на выполненные работы и установленное оборудование – 12 месяцев с момента подписания Заказчиком документа о приемке</w:t>
      </w:r>
      <w:r>
        <w:rPr>
          <w:i/>
          <w:sz w:val="23"/>
          <w:szCs w:val="23"/>
        </w:rPr>
        <w:t>.</w:t>
      </w:r>
    </w:p>
    <w:p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>5.3. В случае обнаружения скрытых недостатков работ в гарантийный период, Заказчик в течение 10 дней со дня обнаружения недостатков направляет Подрядчику Акт о скрытых недостатках. В этом случае Подрядчик обязан заменить/устранить выявленные недостатки в течение 10 рабочих дней с момента предъявления Заказчиком письменного требования об этом.</w:t>
      </w:r>
    </w:p>
    <w:p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5.4. В случае невыполнения требования, предусмотренного п. 5.3. контракта, Подрядчик обязан оплатить Заказчику понесенные им расходы на устранение выявленных недостатков.</w:t>
      </w:r>
    </w:p>
    <w:p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5.5. Подрядчик обязан использовать для </w:t>
      </w:r>
      <w:r>
        <w:rPr>
          <w:sz w:val="23"/>
          <w:szCs w:val="23"/>
          <w:lang w:eastAsia="ar-SA"/>
        </w:rPr>
        <w:t>выполнения работ</w:t>
      </w:r>
      <w:r>
        <w:rPr>
          <w:sz w:val="23"/>
          <w:szCs w:val="23"/>
        </w:rPr>
        <w:t xml:space="preserve"> качественные товары (инструменты (оборудование), расходные материалы, контрольно-измерительные приборы и т.д.), соответствующие требованиям действующего законодательства Российской Федерации, национальных стандартов и иных правовых актов Российской Федерации.</w:t>
      </w:r>
    </w:p>
    <w:p>
      <w:pPr>
        <w:pStyle w:val="a5"/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>5.6. Датой возникновения гарантийного случая является дата получения Подрядчиком письменного уведомления от Заказчика.</w:t>
      </w:r>
    </w:p>
    <w:p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>
      <w:pPr>
        <w:pStyle w:val="-"/>
        <w:numPr>
          <w:ilvl w:val="0"/>
          <w:numId w:val="20"/>
        </w:numPr>
        <w:tabs>
          <w:tab w:val="clear" w:pos="540"/>
        </w:tabs>
        <w:suppressAutoHyphens w:val="0"/>
        <w:spacing w:before="0" w:after="0"/>
        <w:outlineLvl w:val="9"/>
        <w:rPr>
          <w:sz w:val="23"/>
          <w:szCs w:val="23"/>
        </w:rPr>
      </w:pPr>
      <w:r>
        <w:rPr>
          <w:sz w:val="23"/>
          <w:szCs w:val="23"/>
        </w:rPr>
        <w:t>Ответственность Сторон, расторжение КОНТРАКТа</w:t>
      </w:r>
    </w:p>
    <w:p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Федерации.</w:t>
      </w:r>
    </w:p>
    <w:p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6.4.</w:t>
      </w:r>
      <w:r>
        <w:rPr>
          <w:sz w:val="23"/>
          <w:szCs w:val="23"/>
        </w:rPr>
        <w:tab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Подрядчик вправе взыскать с Заказчика штраф. Размер штрафа определяется в размере 1000 рублей.</w:t>
      </w:r>
    </w:p>
    <w:p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6.5.</w:t>
      </w:r>
      <w:r>
        <w:rPr>
          <w:sz w:val="23"/>
          <w:szCs w:val="23"/>
        </w:rPr>
        <w:tab/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6.6.</w:t>
      </w:r>
      <w:r>
        <w:rPr>
          <w:sz w:val="23"/>
          <w:szCs w:val="23"/>
        </w:rPr>
        <w:tab/>
        <w:t>В случае просрочки исполнения Подрядчиком обязательств,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6.7.</w:t>
      </w:r>
      <w:r>
        <w:rPr>
          <w:sz w:val="23"/>
          <w:szCs w:val="23"/>
        </w:rPr>
        <w:tab/>
        <w:t>Пеня начисляется за каждый день просрочки исполнения Подрядчиком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6.8.</w:t>
      </w:r>
      <w:r>
        <w:rPr>
          <w:sz w:val="23"/>
          <w:szCs w:val="23"/>
        </w:rPr>
        <w:tab/>
        <w:t>Штрафы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 обязательств (в том числе,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6.9. За каждый факт неисполнения или ненадлежащего исполнения Подрядчиком обязательств, </w:t>
      </w:r>
      <w:r>
        <w:rPr>
          <w:sz w:val="23"/>
          <w:szCs w:val="23"/>
        </w:rPr>
        <w:lastRenderedPageBreak/>
        <w:t>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Подрядчик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выплачивает Заказчику штраф.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Штраф устанавливается в размере 1 тыс. рублей.</w:t>
      </w:r>
    </w:p>
    <w:p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6.10.</w:t>
      </w:r>
      <w:r>
        <w:rPr>
          <w:sz w:val="23"/>
          <w:szCs w:val="23"/>
        </w:rPr>
        <w:tab/>
        <w:t>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Подрядчик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выплачивает Заказчику штраф. Размер штрафа устанавливается в размере 1000 рублей.</w:t>
      </w:r>
    </w:p>
    <w:p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6.11.</w:t>
      </w:r>
      <w:r>
        <w:rPr>
          <w:sz w:val="23"/>
          <w:szCs w:val="23"/>
        </w:rPr>
        <w:tab/>
        <w:t>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6.12.</w:t>
      </w:r>
      <w:r>
        <w:rPr>
          <w:sz w:val="23"/>
          <w:szCs w:val="23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6.13.</w:t>
      </w:r>
      <w:r>
        <w:rPr>
          <w:sz w:val="23"/>
          <w:szCs w:val="23"/>
        </w:rPr>
        <w:tab/>
        <w:t>Контракт</w:t>
      </w:r>
      <w:r>
        <w:rPr>
          <w:bCs/>
          <w:iCs/>
          <w:sz w:val="23"/>
          <w:szCs w:val="23"/>
          <w:lang w:eastAsia="en-US"/>
        </w:rPr>
        <w:t xml:space="preserve"> может быть расторгнут по соглашению Сторон или решению суда по основаниям, предусмотренным гражданским законодательством Российской Федерации</w:t>
      </w:r>
      <w:r>
        <w:rPr>
          <w:sz w:val="23"/>
          <w:szCs w:val="23"/>
        </w:rPr>
        <w:t>.</w:t>
      </w:r>
    </w:p>
    <w:p>
      <w:pPr>
        <w:ind w:firstLine="567"/>
        <w:jc w:val="both"/>
        <w:rPr>
          <w:sz w:val="23"/>
          <w:szCs w:val="23"/>
        </w:rPr>
      </w:pPr>
    </w:p>
    <w:p>
      <w:pPr>
        <w:pStyle w:val="-"/>
        <w:numPr>
          <w:ilvl w:val="0"/>
          <w:numId w:val="20"/>
        </w:numPr>
        <w:suppressAutoHyphens w:val="0"/>
        <w:spacing w:before="0" w:after="0"/>
        <w:outlineLvl w:val="9"/>
        <w:rPr>
          <w:sz w:val="23"/>
          <w:szCs w:val="23"/>
        </w:rPr>
      </w:pPr>
      <w:r>
        <w:rPr>
          <w:sz w:val="23"/>
          <w:szCs w:val="23"/>
        </w:rPr>
        <w:t>Срок действия КОНТРАКТа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7.1. Настоящий контракт действует с момента его подписания Сторонами по 01 ноября 2026 года включительно, а в части оплаты – до полного исполнения Сторонами взятых на себя обязательств.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7.2. Окончание срока действия контракта или его расторжение не освобождает Стороны от ответственности за его нарушение.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7.3. Обязательства Подрядчика (за исключением гарантийных) считаются исполненными с даты подписания Заказчиком документа о приемке.</w:t>
      </w:r>
    </w:p>
    <w:p>
      <w:pPr>
        <w:pStyle w:val="-"/>
        <w:tabs>
          <w:tab w:val="num" w:pos="432"/>
          <w:tab w:val="num" w:pos="1134"/>
        </w:tabs>
        <w:suppressAutoHyphens w:val="0"/>
        <w:spacing w:before="0" w:after="0"/>
        <w:outlineLvl w:val="9"/>
        <w:rPr>
          <w:sz w:val="23"/>
          <w:szCs w:val="23"/>
        </w:rPr>
      </w:pPr>
    </w:p>
    <w:p>
      <w:pPr>
        <w:pStyle w:val="a5"/>
        <w:ind w:left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8. ОБСТОЯТЕЛЬСТВА НЕПРЕОДОЛИМОЙ СИЛЫ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законодательства, препятствующие надлежащему исполнению обязательств по настоящему контракту, а также другие чрезвычайные обстоятельства,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контракта. Возникновение таких обстоятельств должно быть подтверждено соответствующими уполномоченными органами.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8.2.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-"/>
        <w:tabs>
          <w:tab w:val="num" w:pos="432"/>
          <w:tab w:val="num" w:pos="1134"/>
        </w:tabs>
        <w:suppressAutoHyphens w:val="0"/>
        <w:spacing w:before="0" w:after="0"/>
        <w:outlineLvl w:val="9"/>
        <w:rPr>
          <w:b w:val="0"/>
          <w:sz w:val="23"/>
          <w:szCs w:val="23"/>
        </w:rPr>
      </w:pPr>
    </w:p>
    <w:p>
      <w:pPr>
        <w:pStyle w:val="-"/>
        <w:tabs>
          <w:tab w:val="num" w:pos="432"/>
          <w:tab w:val="num" w:pos="1134"/>
        </w:tabs>
        <w:suppressAutoHyphens w:val="0"/>
        <w:spacing w:before="0" w:after="0"/>
        <w:outlineLvl w:val="9"/>
        <w:rPr>
          <w:sz w:val="23"/>
          <w:szCs w:val="23"/>
        </w:rPr>
      </w:pPr>
      <w:r>
        <w:rPr>
          <w:sz w:val="23"/>
          <w:szCs w:val="23"/>
        </w:rPr>
        <w:t>9. переписка Сторон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9.1. Любое уведомление, которое одна Сторона направляет другой Стороне в соответствии с контрактом, высылается посредством электронной почты на электронный адрес, указанный в разделе 12 контракта,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ответ в единой информационной системе по существу претензии в срок не позднее 10 (десяти) календарных дней с даты ее получения.</w:t>
      </w:r>
    </w:p>
    <w:p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9.4. Подрядчик представляет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>
      <w:pPr>
        <w:tabs>
          <w:tab w:val="right" w:pos="9900"/>
        </w:tabs>
        <w:ind w:firstLine="709"/>
        <w:jc w:val="both"/>
        <w:rPr>
          <w:sz w:val="23"/>
          <w:szCs w:val="23"/>
        </w:rPr>
      </w:pPr>
    </w:p>
    <w:p>
      <w:pPr>
        <w:jc w:val="center"/>
        <w:rPr>
          <w:b/>
          <w:bCs/>
          <w:color w:val="000000"/>
          <w:spacing w:val="5"/>
          <w:sz w:val="23"/>
          <w:szCs w:val="23"/>
        </w:rPr>
      </w:pPr>
      <w:r>
        <w:rPr>
          <w:b/>
          <w:bCs/>
          <w:iCs/>
          <w:sz w:val="23"/>
          <w:szCs w:val="23"/>
        </w:rPr>
        <w:t xml:space="preserve">10. </w:t>
      </w:r>
      <w:r>
        <w:rPr>
          <w:b/>
          <w:bCs/>
          <w:color w:val="000000"/>
          <w:spacing w:val="5"/>
          <w:sz w:val="23"/>
          <w:szCs w:val="23"/>
        </w:rPr>
        <w:t>ОБЕСПЕЧЕНИЕ ИСПОЛНЕНИЯ КОНТРАКТА</w:t>
      </w:r>
    </w:p>
    <w:p>
      <w:pPr>
        <w:autoSpaceDE w:val="0"/>
        <w:autoSpaceDN w:val="0"/>
        <w:adjustRightInd w:val="0"/>
        <w:ind w:firstLine="709"/>
        <w:jc w:val="both"/>
        <w:rPr>
          <w:spacing w:val="5"/>
          <w:sz w:val="23"/>
          <w:szCs w:val="23"/>
        </w:rPr>
      </w:pPr>
      <w:r>
        <w:rPr>
          <w:spacing w:val="5"/>
          <w:sz w:val="23"/>
          <w:szCs w:val="23"/>
        </w:rPr>
        <w:t>10.1. Не предусмотрено в соответствии с ч. 2 ст. 96 Федерального закона от 05.04.2013 №</w:t>
      </w:r>
      <w:r>
        <w:rPr>
          <w:sz w:val="23"/>
          <w:szCs w:val="23"/>
        </w:rPr>
        <w:t> </w:t>
      </w:r>
      <w:r>
        <w:rPr>
          <w:spacing w:val="5"/>
          <w:sz w:val="23"/>
          <w:szCs w:val="23"/>
        </w:rPr>
        <w:t xml:space="preserve">44-ФЗ </w:t>
      </w:r>
      <w:r>
        <w:rPr>
          <w:sz w:val="23"/>
          <w:szCs w:val="23"/>
        </w:rPr>
        <w:t>«О контрактной системе в сфере закупок товаров, работ, услуг, для обеспечения государственных и муниципальных нужд»</w:t>
      </w:r>
      <w:r>
        <w:rPr>
          <w:spacing w:val="5"/>
          <w:sz w:val="23"/>
          <w:szCs w:val="23"/>
        </w:rPr>
        <w:t>.</w:t>
      </w:r>
    </w:p>
    <w:p>
      <w:pPr>
        <w:rPr>
          <w:b/>
          <w:sz w:val="23"/>
          <w:szCs w:val="23"/>
        </w:rPr>
      </w:pPr>
    </w:p>
    <w:p>
      <w:pPr>
        <w:pStyle w:val="a5"/>
        <w:ind w:left="90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11. ПРОЧИЕ ПОЛОЖЕНИЯ</w:t>
      </w:r>
    </w:p>
    <w:p>
      <w:pPr>
        <w:tabs>
          <w:tab w:val="left" w:pos="7371"/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11.1.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</w:t>
      </w:r>
      <w:hyperlink r:id="rId13" w:history="1">
        <w:r>
          <w:rPr>
            <w:sz w:val="23"/>
            <w:szCs w:val="23"/>
          </w:rPr>
          <w:t>05.04.2013 № 44-ФЗ</w:t>
        </w:r>
      </w:hyperlink>
      <w:r>
        <w:rPr>
          <w:sz w:val="23"/>
          <w:szCs w:val="23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tabs>
          <w:tab w:val="left" w:pos="7371"/>
          <w:tab w:val="right" w:pos="9900"/>
        </w:tabs>
        <w:ind w:firstLine="709"/>
        <w:jc w:val="both"/>
        <w:rPr>
          <w:i/>
          <w:sz w:val="23"/>
          <w:szCs w:val="23"/>
        </w:rPr>
      </w:pPr>
      <w:r>
        <w:rPr>
          <w:sz w:val="23"/>
          <w:szCs w:val="23"/>
        </w:rPr>
        <w:t>11.2. Если Сторона благодаря исполнению своего обязательства по контракту получила от другой Стороны информацию о новых решениях и технических знаниях, в том числе не защищаемых законом, а также сведения, которые могут рассматриваться как коммерческая тайна или персональные данные, Сторона, получившая такую информацию, не вправе сообщать ее третьим лицам без согласия другой Стороны.</w:t>
      </w:r>
    </w:p>
    <w:p>
      <w:pPr>
        <w:tabs>
          <w:tab w:val="left" w:pos="7371"/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11.3. Во всем, что не предусмотрено контрактом, Стороны руководствуются законодательством Российской Федерации.</w:t>
      </w:r>
    </w:p>
    <w:p>
      <w:pPr>
        <w:tabs>
          <w:tab w:val="left" w:pos="7371"/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11.4. Все споры и разногласия в связи с исполнением контракта,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области, с соблюдением обязательного претензионного порядка.</w:t>
      </w:r>
    </w:p>
    <w:p>
      <w:pPr>
        <w:tabs>
          <w:tab w:val="left" w:pos="7371"/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11.5. </w:t>
      </w:r>
      <w:r>
        <w:rPr>
          <w:rFonts w:eastAsiaTheme="minorHAnsi"/>
          <w:sz w:val="23"/>
          <w:szCs w:val="23"/>
          <w:lang w:eastAsia="en-US"/>
        </w:rPr>
        <w:t xml:space="preserve">Контракт </w:t>
      </w:r>
      <w:r>
        <w:rPr>
          <w:bCs/>
          <w:sz w:val="23"/>
          <w:szCs w:val="23"/>
        </w:rPr>
        <w:t>составлен в форме электронного документа, подписанного усиленными электронными подписями Сторон</w:t>
      </w:r>
      <w:r>
        <w:rPr>
          <w:sz w:val="23"/>
          <w:szCs w:val="23"/>
        </w:rPr>
        <w:t>.</w:t>
      </w:r>
    </w:p>
    <w:p>
      <w:pPr>
        <w:tabs>
          <w:tab w:val="left" w:pos="7371"/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11.6. Все приложения к настоящему контракту являются его неотъемлемой частью, при условии подписания их обеими Сторонами.</w:t>
      </w:r>
    </w:p>
    <w:p>
      <w:pPr>
        <w:tabs>
          <w:tab w:val="left" w:pos="7371"/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К настоящему контракту прилагается:</w:t>
      </w:r>
    </w:p>
    <w:p>
      <w:pPr>
        <w:tabs>
          <w:tab w:val="left" w:pos="7371"/>
          <w:tab w:val="right" w:pos="9900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Приложение № 1 – Спецификация (локальная смета).</w:t>
      </w:r>
    </w:p>
    <w:p>
      <w:pPr>
        <w:tabs>
          <w:tab w:val="left" w:pos="1320"/>
        </w:tabs>
        <w:ind w:firstLine="600"/>
        <w:jc w:val="center"/>
        <w:rPr>
          <w:b/>
          <w:sz w:val="23"/>
          <w:szCs w:val="23"/>
        </w:rPr>
      </w:pPr>
    </w:p>
    <w:p>
      <w:pPr>
        <w:ind w:left="5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12. РЕКВИЗИТЫ И ПОДПИСИ СТОРОН</w:t>
      </w:r>
    </w:p>
    <w:p>
      <w:pPr>
        <w:ind w:left="540"/>
        <w:jc w:val="center"/>
        <w:rPr>
          <w:b/>
          <w:sz w:val="23"/>
          <w:szCs w:val="23"/>
        </w:rPr>
      </w:pPr>
    </w:p>
    <w:tbl>
      <w:tblPr>
        <w:tblStyle w:val="a8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528"/>
      </w:tblGrid>
      <w:tr>
        <w:tc>
          <w:tcPr>
            <w:tcW w:w="5103" w:type="dxa"/>
          </w:tcPr>
          <w:p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Подрядчик:</w:t>
            </w: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</w:p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_______________/______________/</w:t>
            </w:r>
          </w:p>
          <w:p>
            <w:pPr>
              <w:rPr>
                <w:sz w:val="23"/>
                <w:szCs w:val="23"/>
              </w:rPr>
            </w:pPr>
          </w:p>
        </w:tc>
        <w:tc>
          <w:tcPr>
            <w:tcW w:w="5528" w:type="dxa"/>
          </w:tcPr>
          <w:tbl>
            <w:tblPr>
              <w:tblW w:w="5245" w:type="dxa"/>
              <w:tblLayout w:type="fixed"/>
              <w:tblLook w:val="0000" w:firstRow="0" w:lastRow="0" w:firstColumn="0" w:lastColumn="0" w:noHBand="0" w:noVBand="0"/>
            </w:tblPr>
            <w:tblGrid>
              <w:gridCol w:w="5245"/>
            </w:tblGrid>
            <w:tr>
              <w:tc>
                <w:tcPr>
                  <w:tcW w:w="5245" w:type="dxa"/>
                </w:tcPr>
                <w:tbl>
                  <w:tblPr>
                    <w:tblW w:w="513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37"/>
                  </w:tblGrid>
                  <w:tr>
                    <w:trPr>
                      <w:trHeight w:val="5773"/>
                    </w:trPr>
                    <w:tc>
                      <w:tcPr>
                        <w:tcW w:w="5137" w:type="dxa"/>
                        <w:hideMark/>
                      </w:tcPr>
                      <w:p>
                        <w:pPr>
                          <w:jc w:val="both"/>
                          <w:rPr>
                            <w:b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  <w:lang w:eastAsia="en-US"/>
                          </w:rPr>
                          <w:t>Заказчик:</w:t>
                        </w:r>
                      </w:p>
                      <w:p>
                        <w:pPr>
                          <w:jc w:val="both"/>
                          <w:rPr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b/>
                            <w:sz w:val="23"/>
                            <w:szCs w:val="23"/>
                            <w:lang w:eastAsia="en-US"/>
                          </w:rPr>
                          <w:t>ФГБУ РМНПЦ «Росплазма» ФМБА России</w:t>
                        </w:r>
                      </w:p>
                      <w:p>
                        <w:pPr>
                          <w:jc w:val="both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>Адрес: 610002, г. Киров, ул. Ленина, д. 104.</w:t>
                        </w:r>
                      </w:p>
                      <w:p>
                        <w:pPr>
                          <w:jc w:val="both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>Получатель: УФК по Нижегородской области (ФГБУ РМНПЦ «Росплазма» ФМБА России, л/с 20406Х93710, л/с 21406Х93710)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eastAsia="Calibri"/>
                            <w:sz w:val="23"/>
                            <w:szCs w:val="23"/>
                          </w:rPr>
                          <w:t>ИНН 4345058231/КПП 434501001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eastAsia="Calibri"/>
                            <w:sz w:val="23"/>
                            <w:szCs w:val="23"/>
                          </w:rPr>
                          <w:t xml:space="preserve">Номер </w:t>
                        </w:r>
                        <w:r>
                          <w:rPr>
                            <w:sz w:val="23"/>
                            <w:szCs w:val="23"/>
                          </w:rPr>
                          <w:t>казначейского счета: 03214643000000013246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eastAsia="Calibri"/>
                            <w:sz w:val="23"/>
                            <w:szCs w:val="23"/>
                          </w:rPr>
                          <w:t>ОКЦ № 1 ВВГУ Банка России//УФК по Нижегородской области, г. Нижний Новгород</w:t>
                        </w:r>
                      </w:p>
                      <w:p>
                        <w:pPr>
                          <w:autoSpaceDE w:val="0"/>
                          <w:autoSpaceDN w:val="0"/>
                          <w:adjustRightInd w:val="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rFonts w:eastAsia="Calibri"/>
                            <w:sz w:val="23"/>
                            <w:szCs w:val="23"/>
                          </w:rPr>
                          <w:t>БИК: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eastAsia="Calibri"/>
                            <w:sz w:val="23"/>
                            <w:szCs w:val="23"/>
                          </w:rPr>
                          <w:t>012202102</w:t>
                        </w:r>
                      </w:p>
                      <w:p>
                        <w:pPr>
                          <w:rPr>
                            <w:rFonts w:eastAsia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eastAsia="Calibri"/>
                            <w:sz w:val="23"/>
                            <w:szCs w:val="23"/>
                          </w:rPr>
                          <w:t>Номер банковского счета: 40102810745370000024</w:t>
                        </w:r>
                      </w:p>
                      <w:p>
                        <w:pPr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>тел./факс (8332) 36 80 00, 36 80 01</w:t>
                        </w:r>
                      </w:p>
                      <w:p>
                        <w:pPr>
                          <w:rPr>
                            <w:rStyle w:val="a9"/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Электронная почта: </w:t>
                        </w:r>
                        <w:hyperlink r:id="rId14" w:history="1">
                          <w:r>
                            <w:rPr>
                              <w:rStyle w:val="a9"/>
                              <w:sz w:val="23"/>
                              <w:szCs w:val="23"/>
                            </w:rPr>
                            <w:t>сenter@rosplasma.ru</w:t>
                          </w:r>
                        </w:hyperlink>
                      </w:p>
                      <w:p>
                        <w:pPr>
                          <w:rPr>
                            <w:rStyle w:val="a9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shd w:val="clear" w:color="auto" w:fill="FFFFFF"/>
                          <w:rPr>
                            <w:sz w:val="23"/>
                            <w:szCs w:val="23"/>
                            <w:lang w:eastAsia="en-US"/>
                          </w:rPr>
                        </w:pPr>
                      </w:p>
                      <w:p>
                        <w:pPr>
                          <w:shd w:val="clear" w:color="auto" w:fill="FFFFFF"/>
                          <w:rPr>
                            <w:sz w:val="23"/>
                            <w:szCs w:val="23"/>
                            <w:lang w:eastAsia="en-US"/>
                          </w:rPr>
                        </w:pPr>
                      </w:p>
                      <w:p>
                        <w:pPr>
                          <w:shd w:val="clear" w:color="auto" w:fill="FFFFFF"/>
                          <w:rPr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sz w:val="23"/>
                            <w:szCs w:val="23"/>
                            <w:lang w:eastAsia="en-US"/>
                          </w:rPr>
                          <w:t>_________________/___________________/</w:t>
                        </w:r>
                      </w:p>
                    </w:tc>
                  </w:tr>
                </w:tbl>
                <w:p>
                  <w:pPr>
                    <w:rPr>
                      <w:sz w:val="23"/>
                      <w:szCs w:val="23"/>
                    </w:rPr>
                  </w:pPr>
                </w:p>
              </w:tc>
            </w:tr>
          </w:tbl>
          <w:p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>
      <w:pPr>
        <w:pStyle w:val="a5"/>
        <w:ind w:left="709"/>
        <w:rPr>
          <w:b/>
        </w:rPr>
        <w:sectPr>
          <w:headerReference w:type="first" r:id="rId15"/>
          <w:pgSz w:w="11906" w:h="16838"/>
          <w:pgMar w:top="680" w:right="680" w:bottom="680" w:left="1191" w:header="709" w:footer="709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>
      <w:pPr>
        <w:pageBreakBefore/>
        <w:ind w:firstLine="708"/>
        <w:jc w:val="right"/>
      </w:pPr>
      <w:r>
        <w:lastRenderedPageBreak/>
        <w:t>Приложение № 1</w:t>
      </w:r>
    </w:p>
    <w:p>
      <w:pPr>
        <w:autoSpaceDE w:val="0"/>
        <w:autoSpaceDN w:val="0"/>
        <w:adjustRightInd w:val="0"/>
        <w:jc w:val="right"/>
      </w:pPr>
      <w:r>
        <w:t>к контракту № __________________</w:t>
      </w:r>
    </w:p>
    <w:p>
      <w:pPr>
        <w:autoSpaceDE w:val="0"/>
        <w:autoSpaceDN w:val="0"/>
        <w:adjustRightInd w:val="0"/>
        <w:jc w:val="right"/>
      </w:pPr>
      <w:r>
        <w:t>от «___» ________________ 2026 г.</w:t>
      </w:r>
    </w:p>
    <w:p>
      <w:pPr>
        <w:autoSpaceDE w:val="0"/>
        <w:autoSpaceDN w:val="0"/>
        <w:adjustRightInd w:val="0"/>
        <w:jc w:val="right"/>
      </w:pPr>
    </w:p>
    <w:p>
      <w:pPr>
        <w:autoSpaceDE w:val="0"/>
        <w:autoSpaceDN w:val="0"/>
        <w:adjustRightInd w:val="0"/>
        <w:jc w:val="right"/>
      </w:pPr>
    </w:p>
    <w:p>
      <w:pPr>
        <w:pStyle w:val="-"/>
        <w:spacing w:before="0" w:after="0"/>
      </w:pPr>
      <w:r>
        <w:t>СПЕЦИФИКАЦИЯ</w:t>
      </w:r>
    </w:p>
    <w:p>
      <w:r>
        <w:t xml:space="preserve">                                                                       (локальная смета)</w:t>
      </w:r>
    </w:p>
    <w:p/>
    <w:tbl>
      <w:tblPr>
        <w:tblW w:w="12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4"/>
        <w:gridCol w:w="339"/>
        <w:gridCol w:w="137"/>
        <w:gridCol w:w="922"/>
        <w:gridCol w:w="28"/>
        <w:gridCol w:w="271"/>
        <w:gridCol w:w="970"/>
        <w:gridCol w:w="106"/>
        <w:gridCol w:w="236"/>
        <w:gridCol w:w="93"/>
        <w:gridCol w:w="20"/>
        <w:gridCol w:w="128"/>
        <w:gridCol w:w="236"/>
        <w:gridCol w:w="106"/>
        <w:gridCol w:w="97"/>
        <w:gridCol w:w="33"/>
        <w:gridCol w:w="199"/>
        <w:gridCol w:w="257"/>
        <w:gridCol w:w="191"/>
        <w:gridCol w:w="45"/>
        <w:gridCol w:w="46"/>
        <w:gridCol w:w="145"/>
        <w:gridCol w:w="236"/>
        <w:gridCol w:w="180"/>
        <w:gridCol w:w="227"/>
        <w:gridCol w:w="189"/>
        <w:gridCol w:w="168"/>
        <w:gridCol w:w="236"/>
        <w:gridCol w:w="39"/>
        <w:gridCol w:w="223"/>
        <w:gridCol w:w="13"/>
        <w:gridCol w:w="576"/>
        <w:gridCol w:w="324"/>
        <w:gridCol w:w="120"/>
        <w:gridCol w:w="492"/>
        <w:gridCol w:w="63"/>
        <w:gridCol w:w="34"/>
        <w:gridCol w:w="12"/>
        <w:gridCol w:w="68"/>
        <w:gridCol w:w="256"/>
        <w:gridCol w:w="332"/>
        <w:gridCol w:w="109"/>
        <w:gridCol w:w="230"/>
        <w:gridCol w:w="6"/>
        <w:gridCol w:w="21"/>
        <w:gridCol w:w="45"/>
        <w:gridCol w:w="6"/>
        <w:gridCol w:w="164"/>
        <w:gridCol w:w="418"/>
        <w:gridCol w:w="134"/>
        <w:gridCol w:w="122"/>
        <w:gridCol w:w="122"/>
        <w:gridCol w:w="236"/>
        <w:gridCol w:w="32"/>
        <w:gridCol w:w="51"/>
        <w:gridCol w:w="153"/>
        <w:gridCol w:w="336"/>
        <w:gridCol w:w="169"/>
        <w:gridCol w:w="236"/>
        <w:gridCol w:w="236"/>
        <w:gridCol w:w="236"/>
        <w:gridCol w:w="257"/>
        <w:gridCol w:w="468"/>
        <w:gridCol w:w="138"/>
      </w:tblGrid>
      <w:tr>
        <w:trPr>
          <w:gridBefore w:val="1"/>
          <w:gridAfter w:val="1"/>
          <w:wBefore w:w="134" w:type="dxa"/>
          <w:wAfter w:w="138" w:type="dxa"/>
          <w:trHeight w:val="398"/>
        </w:trPr>
        <w:tc>
          <w:tcPr>
            <w:tcW w:w="476" w:type="dxa"/>
            <w:gridSpan w:val="2"/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74" w:type="dxa"/>
            <w:gridSpan w:val="9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Сметная стоимость</w:t>
            </w:r>
          </w:p>
        </w:tc>
        <w:tc>
          <w:tcPr>
            <w:tcW w:w="1119" w:type="dxa"/>
            <w:gridSpan w:val="7"/>
            <w:shd w:val="clear" w:color="auto" w:fill="auto"/>
            <w:vAlign w:val="center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</w:t>
            </w:r>
          </w:p>
        </w:tc>
        <w:tc>
          <w:tcPr>
            <w:tcW w:w="7811" w:type="dxa"/>
            <w:gridSpan w:val="44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руб.</w:t>
            </w:r>
          </w:p>
        </w:tc>
      </w:tr>
      <w:tr>
        <w:trPr>
          <w:gridBefore w:val="1"/>
          <w:gridAfter w:val="2"/>
          <w:wBefore w:w="134" w:type="dxa"/>
          <w:wAfter w:w="606" w:type="dxa"/>
          <w:trHeight w:val="398"/>
        </w:trPr>
        <w:tc>
          <w:tcPr>
            <w:tcW w:w="3921" w:type="dxa"/>
            <w:gridSpan w:val="16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707" w:type="dxa"/>
            <w:gridSpan w:val="18"/>
            <w:shd w:val="clear" w:color="auto" w:fill="auto"/>
            <w:vAlign w:val="bottom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Средства на оплату труда рабочих</w:t>
            </w:r>
          </w:p>
        </w:tc>
        <w:tc>
          <w:tcPr>
            <w:tcW w:w="874" w:type="dxa"/>
            <w:gridSpan w:val="7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6"/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</w:t>
            </w:r>
          </w:p>
        </w:tc>
        <w:tc>
          <w:tcPr>
            <w:tcW w:w="1674" w:type="dxa"/>
            <w:gridSpan w:val="8"/>
            <w:shd w:val="clear" w:color="auto" w:fill="auto"/>
            <w:vAlign w:val="bottom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руб.</w:t>
            </w:r>
          </w:p>
        </w:tc>
      </w:tr>
      <w:tr>
        <w:trPr>
          <w:gridBefore w:val="1"/>
          <w:gridAfter w:val="2"/>
          <w:wBefore w:w="134" w:type="dxa"/>
          <w:wAfter w:w="606" w:type="dxa"/>
          <w:trHeight w:val="458"/>
        </w:trPr>
        <w:tc>
          <w:tcPr>
            <w:tcW w:w="1398" w:type="dxa"/>
            <w:gridSpan w:val="3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строительных работ</w:t>
            </w: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10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3707" w:type="dxa"/>
            <w:gridSpan w:val="18"/>
            <w:shd w:val="clear" w:color="auto" w:fill="auto"/>
            <w:vAlign w:val="bottom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Средства на оплату труда машинистов</w:t>
            </w:r>
          </w:p>
        </w:tc>
        <w:tc>
          <w:tcPr>
            <w:tcW w:w="874" w:type="dxa"/>
            <w:gridSpan w:val="7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gridSpan w:val="6"/>
            <w:shd w:val="clear" w:color="auto" w:fill="auto"/>
            <w:vAlign w:val="bottom"/>
          </w:tcPr>
          <w:p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74" w:type="dxa"/>
            <w:gridSpan w:val="8"/>
            <w:shd w:val="clear" w:color="auto" w:fill="auto"/>
            <w:vAlign w:val="bottom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руб.</w:t>
            </w:r>
          </w:p>
        </w:tc>
      </w:tr>
      <w:tr>
        <w:trPr>
          <w:gridBefore w:val="1"/>
          <w:gridAfter w:val="6"/>
          <w:wBefore w:w="134" w:type="dxa"/>
          <w:wAfter w:w="1571" w:type="dxa"/>
          <w:trHeight w:val="398"/>
        </w:trPr>
        <w:tc>
          <w:tcPr>
            <w:tcW w:w="1398" w:type="dxa"/>
            <w:gridSpan w:val="3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монтажных работ</w:t>
            </w: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</w:t>
            </w:r>
          </w:p>
        </w:tc>
        <w:tc>
          <w:tcPr>
            <w:tcW w:w="1254" w:type="dxa"/>
            <w:gridSpan w:val="10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3770" w:type="dxa"/>
            <w:gridSpan w:val="19"/>
            <w:shd w:val="clear" w:color="auto" w:fill="auto"/>
            <w:vAlign w:val="bottom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Нормативные затраты труда рабочих</w:t>
            </w:r>
          </w:p>
        </w:tc>
        <w:tc>
          <w:tcPr>
            <w:tcW w:w="1835" w:type="dxa"/>
            <w:gridSpan w:val="14"/>
            <w:shd w:val="clear" w:color="auto" w:fill="auto"/>
            <w:vAlign w:val="bottom"/>
          </w:tcPr>
          <w:p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</w:t>
            </w:r>
          </w:p>
        </w:tc>
        <w:tc>
          <w:tcPr>
            <w:tcW w:w="1221" w:type="dxa"/>
            <w:gridSpan w:val="8"/>
            <w:shd w:val="clear" w:color="auto" w:fill="auto"/>
            <w:vAlign w:val="bottom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чел. час.</w:t>
            </w:r>
          </w:p>
        </w:tc>
      </w:tr>
      <w:tr>
        <w:trPr>
          <w:gridBefore w:val="1"/>
          <w:gridAfter w:val="6"/>
          <w:wBefore w:w="134" w:type="dxa"/>
          <w:wAfter w:w="1571" w:type="dxa"/>
          <w:trHeight w:val="398"/>
        </w:trPr>
        <w:tc>
          <w:tcPr>
            <w:tcW w:w="1398" w:type="dxa"/>
            <w:gridSpan w:val="3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оборудования</w:t>
            </w: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</w:t>
            </w:r>
          </w:p>
        </w:tc>
        <w:tc>
          <w:tcPr>
            <w:tcW w:w="1254" w:type="dxa"/>
            <w:gridSpan w:val="10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3770" w:type="dxa"/>
            <w:gridSpan w:val="19"/>
            <w:shd w:val="clear" w:color="auto" w:fill="auto"/>
            <w:vAlign w:val="bottom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Нормативные затраты труда машинистов</w:t>
            </w:r>
          </w:p>
        </w:tc>
        <w:tc>
          <w:tcPr>
            <w:tcW w:w="1835" w:type="dxa"/>
            <w:gridSpan w:val="14"/>
            <w:shd w:val="clear" w:color="auto" w:fill="auto"/>
            <w:vAlign w:val="bottom"/>
          </w:tcPr>
          <w:p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1" w:type="dxa"/>
            <w:gridSpan w:val="8"/>
            <w:shd w:val="clear" w:color="auto" w:fill="auto"/>
            <w:vAlign w:val="bottom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чел. час.</w:t>
            </w:r>
          </w:p>
        </w:tc>
      </w:tr>
      <w:tr>
        <w:trPr>
          <w:gridBefore w:val="1"/>
          <w:gridAfter w:val="6"/>
          <w:wBefore w:w="134" w:type="dxa"/>
          <w:wAfter w:w="1571" w:type="dxa"/>
          <w:trHeight w:val="398"/>
        </w:trPr>
        <w:tc>
          <w:tcPr>
            <w:tcW w:w="1398" w:type="dxa"/>
            <w:gridSpan w:val="3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прочих затрат</w:t>
            </w: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</w:t>
            </w:r>
          </w:p>
        </w:tc>
        <w:tc>
          <w:tcPr>
            <w:tcW w:w="8080" w:type="dxa"/>
            <w:gridSpan w:val="51"/>
            <w:shd w:val="clear" w:color="auto" w:fill="auto"/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руб.</w:t>
            </w:r>
          </w:p>
        </w:tc>
      </w:tr>
      <w:tr>
        <w:trPr>
          <w:gridBefore w:val="1"/>
          <w:wBefore w:w="134" w:type="dxa"/>
          <w:trHeight w:val="285"/>
        </w:trPr>
        <w:tc>
          <w:tcPr>
            <w:tcW w:w="476" w:type="dxa"/>
            <w:gridSpan w:val="2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1" w:type="dxa"/>
            <w:gridSpan w:val="3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3" w:type="dxa"/>
            <w:gridSpan w:val="6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7" w:type="dxa"/>
            <w:gridSpan w:val="3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3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6" w:type="dxa"/>
            <w:gridSpan w:val="3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1" w:type="dxa"/>
            <w:gridSpan w:val="7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8" w:type="dxa"/>
            <w:gridSpan w:val="5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gridSpan w:val="10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8" w:type="dxa"/>
            <w:gridSpan w:val="3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3" w:type="dxa"/>
            <w:gridSpan w:val="3"/>
            <w:shd w:val="clear" w:color="auto" w:fill="auto"/>
            <w:vAlign w:val="bottom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</w:tr>
      <w:tr>
        <w:trPr>
          <w:gridAfter w:val="7"/>
          <w:wAfter w:w="1740" w:type="dxa"/>
          <w:trHeight w:val="345"/>
        </w:trPr>
        <w:tc>
          <w:tcPr>
            <w:tcW w:w="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№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п/п</w:t>
            </w:r>
          </w:p>
        </w:tc>
        <w:tc>
          <w:tcPr>
            <w:tcW w:w="10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Обоснование</w:t>
            </w:r>
          </w:p>
        </w:tc>
        <w:tc>
          <w:tcPr>
            <w:tcW w:w="16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Наименование работ и затрат</w:t>
            </w:r>
          </w:p>
        </w:tc>
        <w:tc>
          <w:tcPr>
            <w:tcW w:w="5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Единица измерения</w:t>
            </w:r>
          </w:p>
        </w:tc>
        <w:tc>
          <w:tcPr>
            <w:tcW w:w="241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Количество</w:t>
            </w:r>
          </w:p>
        </w:tc>
        <w:tc>
          <w:tcPr>
            <w:tcW w:w="447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Сметная стоимость, руб.</w:t>
            </w:r>
          </w:p>
        </w:tc>
      </w:tr>
      <w:tr>
        <w:trPr>
          <w:gridAfter w:val="7"/>
          <w:wAfter w:w="1740" w:type="dxa"/>
          <w:trHeight w:val="803"/>
        </w:trPr>
        <w:tc>
          <w:tcPr>
            <w:tcW w:w="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 единицу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всего с учетом коэффициентов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на единицу измерения в базисном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уровне цен</w:t>
            </w: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индекс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 единицу измерения в текущем уровне цен</w:t>
            </w: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всего в текущем уровне цен, руб.</w:t>
            </w: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>
        <w:trPr>
          <w:gridAfter w:val="7"/>
          <w:wAfter w:w="1740" w:type="dxa"/>
          <w:trHeight w:val="660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ГЭСНм-10-08-002-04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ДЕМОНТАЖ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Извещатель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ОС автоматический: контактный,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магнитоконтактный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на открывание окон, дверей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>
        <w:trPr>
          <w:gridAfter w:val="7"/>
          <w:wAfter w:w="1740" w:type="dxa"/>
          <w:trHeight w:val="449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421/пр_2020_п.75_пп.а</w:t>
            </w:r>
          </w:p>
        </w:tc>
        <w:tc>
          <w:tcPr>
            <w:tcW w:w="8222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от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571/пр_2022_п.84_т.3_стр.4_стб.3</w:t>
            </w:r>
          </w:p>
        </w:tc>
        <w:tc>
          <w:tcPr>
            <w:tcW w:w="8222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Козп=0,3; Кэм=0,3; Кзтм=0,3; Кмат=0_Демонтаж оборудования, не пригодного для дальнейшего использования (предназначено в лом), без разборки и резки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ОТ(ЗТ)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0.756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1-100-40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работы 4,0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0.756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8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14.1.04.02-0002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Клей, марка 88-СА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01.3.05.17-0002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Канифоль сосновая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0.0002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61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812/пр_2020_прил._т._п.51.1_гр.3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(051.1 прокладка и монтаж сетей связи)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774/пр_2020_прил._т._п.51.1_гр.3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(051.1 прокладка и монтаж сетей связи)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17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2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ГЭСНм-10-08-002-03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ДЕМОНТАЖ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Извещатель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ПС автоматический: тепловой, дымовой, световой во взрывозащищенном исполнении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29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421/пр_2020_п.75_пп.а</w:t>
            </w:r>
          </w:p>
        </w:tc>
        <w:tc>
          <w:tcPr>
            <w:tcW w:w="8222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от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571/пр_2022_п.84_т.3_стр.4_стб.3</w:t>
            </w:r>
          </w:p>
        </w:tc>
        <w:tc>
          <w:tcPr>
            <w:tcW w:w="8222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Козп=0,3; Кэм=0,3; Кзтм=0,3; Кмат=0_Демонтаж оборудования, не пригодного для дальнейшего использования (предназначено в лом), без разборки и резки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ОТ(ЗТ)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2.016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1-100-54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работы 5,4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1.68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2.016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8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03.1.01.01-0002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Гипс строительный Г-3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0.00002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10.3.02.03-0012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Припои оловянно-свинцовые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бессурьмянистые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, марка ПОС40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01.3.05.17-0002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Канифоль сосновая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0.0004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37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01.7.03.04-0001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Электроэнергия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кВт-ч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0.0988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48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01.7.15.07-0012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Дюбели пластмассовые с шурупами, диаметр 12 мм, длина 70 мм, диаметр шурупа 8 мм, длина шурупа 70 мм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67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812/пр_2020_прил._т._п.51.1_гр.3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(051.1 прокладка и монтаж сетей связи)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774/пр_2020_прил._т._п.51.1_гр.3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(051.1 прокладка и монтаж сетей связи)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1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17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77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ГЭСНм-10-08-002-04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Извещатель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ОС автоматический: контактный,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магнитоконтактный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на открывание окон, дверей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87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421/пр_2020_п.75_пп.а</w:t>
            </w:r>
          </w:p>
        </w:tc>
        <w:tc>
          <w:tcPr>
            <w:tcW w:w="8222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от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ОТ(ЗТ)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2.52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1-100-40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работы 4,0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2.52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17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14.1.04.02-0002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Клей, марка 88-СА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24.3.01.01-0004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Трубка ПВХ-305 электроизоляционная, диаметр 6-10 мм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0.00142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0.00426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10.3.02.03-0012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Припои оловянно-свинцовые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бессурьмянистые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, марка ПОС40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01.3.05.17-0002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Канифоль сосновая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0.0002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01.7.15.14-0168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Шурупы самонарезающие стальные с полукруглой головкой и прямым шлицем, остроконечные, диаметр 5 мм, длина 70 мм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0.0001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0.0003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5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706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4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ФСБЦ-421_пр-2020-п.75а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Вспомогательные ненормируемые материальные ресурсы 2% от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spellEnd"/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57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77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812/пр_2020_прил._т._п.51.1_гр.3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(051.1 прокладка и монтаж сетей связи)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77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774/пр_2020_прил._т._п.51.1_гр.3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(051.1 прокладка и монтаж сетей связи)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17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77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lastRenderedPageBreak/>
              <w:t>5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ГЭСНм-10-08-002-03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Извещатель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ПС автоматический: тепловой, дымовой, световой во взрывозащищенном исполнении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19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421/пр_2020_п.75_пп.а</w:t>
            </w:r>
          </w:p>
        </w:tc>
        <w:tc>
          <w:tcPr>
            <w:tcW w:w="8222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от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ОТ(ЗТ)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6.72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1-100-54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работы 5,4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1.68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6.72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03.1.01.01-0002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Гипс строительный Г-3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0.00002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0.00008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10.3.02.03-0012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Припои оловянно-свинцовые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бессурьмянистые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, марка ПОС40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01.3.05.17-0002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Канифоль сосновая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0.0004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01.7.03.04-0001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Электроэнергия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кВт-ч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0.0988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0.3952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01.7.15.07-0012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Дюбели пластмассовые с шурупами, диаметр 12 мм, длина 70 мм, диаметр шурупа 8 мм, длина шурупа 70 мм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94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ФСБЦ-421_пр-2020-п.75а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Вспомогательные ненормируемые материальные ресурсы 2% от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spellEnd"/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17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812/пр_2020_прил._т._п.51.1_гр.3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(051.1 прокладка и монтаж сетей связи)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774/пр_2020_прил._т._п.51.1_гр.3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(051.1 прокладка и монтаж сетей связи)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17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77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61.2.01.01-0057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Извещатель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охранный звуковой поверхностный адресный, дальность действия не менее 9 м, в системе занимает один адрес, IP41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127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17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0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61.2.01.07-0025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Извещатель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охранный оптико-электронный поверхностный адресный, дальность действия не более 8 м, в системе занимает один адрес, IP41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4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17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61.2.01.05-0057</w:t>
            </w:r>
          </w:p>
        </w:tc>
        <w:tc>
          <w:tcPr>
            <w:tcW w:w="1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Извещатель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охранный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магнитоконтактный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адресный, контакты размыкаются при тревоге, 10 мм (контакты замкнуты), 25 мм (контакты разомкнуты), в системе занимает один адрес, IP41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61.2.02.01-0105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Извещатель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пожарный дымовой оптико-электронный адресно-аналоговый без базового основания и с настраиваемой чувствительностью в диапазоне от 0,05 до 0,2 дБ/м, в системе занимает один адрес, IP40, диаметр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извещателя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без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 xml:space="preserve">базового основания 96 мм, высота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извещателя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без базового основания 35 мм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шт</w:t>
            </w:r>
            <w:proofErr w:type="spellEnd"/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48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ГЭСНп-02-02-004-01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Автономная наладка АС: I категории сложности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система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ОТ(ЗТ)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5.25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3-200-01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Инженер I категории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1.59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1.59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3-200-02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Инженер II категории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1.48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1.48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8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3-300-01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Ведущий инженер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2.18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2.18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34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чел.-ч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01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71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812/пр_2020_прил._т._п.83_гр.3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(083_2 Пусконаладочные работы. Автоматизированные системы управления)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563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774/пр_2020_прил._т._п.83_гр.3</w:t>
            </w:r>
          </w:p>
        </w:tc>
        <w:tc>
          <w:tcPr>
            <w:tcW w:w="1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(083_2 Пусконаладочные работы. Автоматизированные системы управления)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17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>
        <w:trPr>
          <w:trHeight w:val="285"/>
        </w:trPr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rPr>
                <w:rFonts w:ascii="Calibri" w:hAnsi="Calibri"/>
                <w:color w:val="000000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по смете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прямые затраты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в том числе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оплата труда (ОТ)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эксплуатация машин и механизмов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оплата труда машинистов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материальные ресурсы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перевозка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ФОТ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накладные расходы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сметная прибыль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СМР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оборудование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Сметная стоимость в текущих ценах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Справочно</w:t>
            </w:r>
            <w:proofErr w:type="spellEnd"/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материальные ресурсы, отсутствующие в ФРСН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оборудование, отсутствующее в ФРСН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затраты труда рабочих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затраты труда машинистов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ВЗиС_Строительство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п.50.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Временные здания и сооружения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Итого с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ВЗиС</w:t>
            </w:r>
            <w:proofErr w:type="spellEnd"/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ЗУ_III_Строительство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п.85.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Зимнее удорожание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с зимним удорожанием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с оборудованием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МС РФ от 04.08.2020 №421/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Непредвиденные расходы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без НДС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НК РФ ч.2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Глава 21 от 05.08.2000 №117-ФЗ</w:t>
            </w: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НДС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>
        <w:trPr>
          <w:gridAfter w:val="7"/>
          <w:wAfter w:w="1740" w:type="dxa"/>
          <w:trHeight w:val="285"/>
        </w:trPr>
        <w:tc>
          <w:tcPr>
            <w:tcW w:w="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>
      <w:pPr>
        <w:autoSpaceDE w:val="0"/>
        <w:autoSpaceDN w:val="0"/>
        <w:adjustRightInd w:val="0"/>
        <w:jc w:val="right"/>
      </w:pPr>
    </w:p>
    <w:p/>
    <w:p/>
    <w:p/>
    <w:tbl>
      <w:tblPr>
        <w:tblStyle w:val="a8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528"/>
      </w:tblGrid>
      <w:tr>
        <w:trPr>
          <w:trHeight w:val="1653"/>
        </w:trPr>
        <w:tc>
          <w:tcPr>
            <w:tcW w:w="5103" w:type="dxa"/>
          </w:tcPr>
          <w:p>
            <w:pPr>
              <w:rPr>
                <w:b/>
              </w:rPr>
            </w:pPr>
            <w:r>
              <w:rPr>
                <w:b/>
              </w:rPr>
              <w:t>Подрядчик:</w:t>
            </w:r>
          </w:p>
          <w:p/>
          <w:p/>
          <w:p/>
          <w:p>
            <w:r>
              <w:t>_______________/_______________/</w:t>
            </w:r>
          </w:p>
          <w:p>
            <w:r>
              <w:t>МП</w:t>
            </w:r>
          </w:p>
        </w:tc>
        <w:tc>
          <w:tcPr>
            <w:tcW w:w="5528" w:type="dxa"/>
          </w:tcPr>
          <w:tbl>
            <w:tblPr>
              <w:tblW w:w="5245" w:type="dxa"/>
              <w:tblLayout w:type="fixed"/>
              <w:tblLook w:val="0000" w:firstRow="0" w:lastRow="0" w:firstColumn="0" w:lastColumn="0" w:noHBand="0" w:noVBand="0"/>
            </w:tblPr>
            <w:tblGrid>
              <w:gridCol w:w="5245"/>
            </w:tblGrid>
            <w:tr>
              <w:tc>
                <w:tcPr>
                  <w:tcW w:w="5245" w:type="dxa"/>
                </w:tcPr>
                <w:tbl>
                  <w:tblPr>
                    <w:tblW w:w="511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17"/>
                  </w:tblGrid>
                  <w:tr>
                    <w:trPr>
                      <w:trHeight w:val="2078"/>
                    </w:trPr>
                    <w:tc>
                      <w:tcPr>
                        <w:tcW w:w="5117" w:type="dxa"/>
                        <w:hideMark/>
                      </w:tcPr>
                      <w:p>
                        <w:pPr>
                          <w:jc w:val="both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Заказчик:</w:t>
                        </w:r>
                      </w:p>
                      <w:p>
                        <w:pPr>
                          <w:jc w:val="both"/>
                          <w:rPr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ФГБУ РМНПЦ «Росплазма» ФМБА России</w:t>
                        </w:r>
                      </w:p>
                      <w:p>
                        <w:pPr>
                          <w:shd w:val="clear" w:color="auto" w:fill="FFFFFF"/>
                          <w:rPr>
                            <w:lang w:eastAsia="en-US"/>
                          </w:rPr>
                        </w:pPr>
                      </w:p>
                      <w:p>
                        <w:pPr>
                          <w:shd w:val="clear" w:color="auto" w:fill="FFFFFF"/>
                          <w:rPr>
                            <w:lang w:eastAsia="en-US"/>
                          </w:rPr>
                        </w:pPr>
                      </w:p>
                      <w:p>
                        <w:pPr>
                          <w:shd w:val="clear" w:color="auto" w:fill="FFFFFF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_________________/_______________/</w:t>
                        </w:r>
                      </w:p>
                      <w:p>
                        <w:pPr>
                          <w:shd w:val="clear" w:color="auto" w:fill="FFFFFF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МП</w:t>
                        </w:r>
                      </w:p>
                    </w:tc>
                  </w:tr>
                </w:tbl>
                <w:p/>
              </w:tc>
            </w:tr>
          </w:tbl>
          <w:p>
            <w:pPr>
              <w:jc w:val="center"/>
              <w:rPr>
                <w:b/>
              </w:rPr>
            </w:pPr>
          </w:p>
        </w:tc>
      </w:tr>
    </w:tbl>
    <w:p/>
    <w:sectPr>
      <w:pgSz w:w="11906" w:h="16838"/>
      <w:pgMar w:top="851" w:right="424" w:bottom="567" w:left="1134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809422"/>
    </w:sdtPr>
    <w:sdtContent>
      <w:p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5.%1"/>
      <w:lvlJc w:val="left"/>
      <w:pPr>
        <w:tabs>
          <w:tab w:val="num" w:pos="-785"/>
        </w:tabs>
        <w:ind w:left="644" w:hanging="360"/>
      </w:pPr>
      <w:rPr>
        <w:rFonts w:hint="default"/>
        <w:sz w:val="24"/>
        <w:szCs w:val="24"/>
      </w:rPr>
    </w:lvl>
  </w:abstractNum>
  <w:abstractNum w:abstractNumId="1">
    <w:nsid w:val="0809676B"/>
    <w:multiLevelType w:val="hybridMultilevel"/>
    <w:tmpl w:val="83D89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C701E"/>
    <w:multiLevelType w:val="hybridMultilevel"/>
    <w:tmpl w:val="893EB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52806"/>
    <w:multiLevelType w:val="hybridMultilevel"/>
    <w:tmpl w:val="5428F6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5DD680C"/>
    <w:multiLevelType w:val="hybridMultilevel"/>
    <w:tmpl w:val="EEE6B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E221F9"/>
    <w:multiLevelType w:val="multilevel"/>
    <w:tmpl w:val="C414EDA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885" w:hanging="11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4" w:hanging="117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17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2" w:hanging="117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17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7">
    <w:nsid w:val="248F4150"/>
    <w:multiLevelType w:val="hybridMultilevel"/>
    <w:tmpl w:val="D59E8F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97478DA"/>
    <w:multiLevelType w:val="hybridMultilevel"/>
    <w:tmpl w:val="3224F2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16154"/>
    <w:multiLevelType w:val="hybridMultilevel"/>
    <w:tmpl w:val="878C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B34A9"/>
    <w:multiLevelType w:val="multilevel"/>
    <w:tmpl w:val="D90646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4E943950"/>
    <w:multiLevelType w:val="hybridMultilevel"/>
    <w:tmpl w:val="893EB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6B0E07"/>
    <w:multiLevelType w:val="hybridMultilevel"/>
    <w:tmpl w:val="B1521D64"/>
    <w:lvl w:ilvl="0" w:tplc="F0CC4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F5CED"/>
    <w:multiLevelType w:val="hybridMultilevel"/>
    <w:tmpl w:val="893EB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3E58C7"/>
    <w:multiLevelType w:val="hybridMultilevel"/>
    <w:tmpl w:val="893EB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B35D09"/>
    <w:multiLevelType w:val="hybridMultilevel"/>
    <w:tmpl w:val="EEE6B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349BA"/>
    <w:multiLevelType w:val="hybridMultilevel"/>
    <w:tmpl w:val="EEE6B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BB416C"/>
    <w:multiLevelType w:val="hybridMultilevel"/>
    <w:tmpl w:val="56FC7346"/>
    <w:lvl w:ilvl="0" w:tplc="85D23D92">
      <w:start w:val="1"/>
      <w:numFmt w:val="decimal"/>
      <w:lvlText w:val="3.2.%1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E210B76"/>
    <w:multiLevelType w:val="hybridMultilevel"/>
    <w:tmpl w:val="28D846F8"/>
    <w:lvl w:ilvl="0" w:tplc="283028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930FE6"/>
    <w:multiLevelType w:val="hybridMultilevel"/>
    <w:tmpl w:val="40DCB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6"/>
  </w:num>
  <w:num w:numId="4">
    <w:abstractNumId w:val="13"/>
  </w:num>
  <w:num w:numId="5">
    <w:abstractNumId w:val="11"/>
  </w:num>
  <w:num w:numId="6">
    <w:abstractNumId w:val="14"/>
  </w:num>
  <w:num w:numId="7">
    <w:abstractNumId w:val="2"/>
  </w:num>
  <w:num w:numId="8">
    <w:abstractNumId w:val="12"/>
  </w:num>
  <w:num w:numId="9">
    <w:abstractNumId w:val="1"/>
  </w:num>
  <w:num w:numId="10">
    <w:abstractNumId w:val="16"/>
  </w:num>
  <w:num w:numId="11">
    <w:abstractNumId w:val="9"/>
  </w:num>
  <w:num w:numId="12">
    <w:abstractNumId w:val="4"/>
  </w:num>
  <w:num w:numId="13">
    <w:abstractNumId w:val="15"/>
  </w:num>
  <w:num w:numId="14">
    <w:abstractNumId w:val="7"/>
  </w:num>
  <w:num w:numId="15">
    <w:abstractNumId w:val="19"/>
  </w:num>
  <w:num w:numId="16">
    <w:abstractNumId w:val="3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a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paragraph" w:styleId="2">
    <w:name w:val="Body Text 2"/>
    <w:basedOn w:val="a"/>
    <w:link w:val="20"/>
    <w:uiPriority w:val="9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qFormat/>
    <w:locked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pPr>
      <w:ind w:left="720"/>
      <w:contextualSpacing/>
    </w:pPr>
  </w:style>
  <w:style w:type="paragraph" w:customStyle="1" w:styleId="msolistparagraph0">
    <w:name w:val="msolistparagraph"/>
    <w:basedOn w:val="a"/>
    <w:pPr>
      <w:ind w:left="720"/>
    </w:pPr>
  </w:style>
  <w:style w:type="paragraph" w:customStyle="1" w:styleId="a7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link w:val="21"/>
    <w:uiPriority w:val="9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  <w:suppressAutoHyphens/>
      <w:overflowPunct w:val="0"/>
    </w:pPr>
    <w:rPr>
      <w:rFonts w:ascii="Liberation Serif" w:eastAsia="Droid Sans Fallback" w:hAnsi="Liberation Serif" w:cs="FreeSans"/>
      <w:kern w:val="2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text1">
    <w:name w:val="itemtext1"/>
    <w:basedOn w:val="a0"/>
    <w:rPr>
      <w:rFonts w:ascii="Segoe UI" w:hAnsi="Segoe UI" w:cs="Segoe UI" w:hint="default"/>
      <w:color w:val="000000"/>
      <w:sz w:val="20"/>
      <w:szCs w:val="2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Standard">
    <w:name w:val="Standard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af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itemtext">
    <w:name w:val="itemtext"/>
    <w:basedOn w:val="a0"/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subject"/>
    <w:basedOn w:val="af0"/>
    <w:next w:val="af0"/>
    <w:link w:val="af4"/>
    <w:uiPriority w:val="99"/>
    <w:semiHidden/>
    <w:unhideWhenUsed/>
    <w:rPr>
      <w:b/>
      <w:bCs/>
    </w:rPr>
  </w:style>
  <w:style w:type="character" w:customStyle="1" w:styleId="af4">
    <w:name w:val="Тема примечания Знак"/>
    <w:basedOn w:val="af1"/>
    <w:link w:val="af3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0">
    <w:name w:val="Цитата1"/>
    <w:basedOn w:val="a"/>
    <w:qFormat/>
    <w:pPr>
      <w:ind w:left="-709" w:right="-766" w:firstLine="709"/>
      <w:jc w:val="both"/>
    </w:pPr>
  </w:style>
  <w:style w:type="paragraph" w:customStyle="1" w:styleId="21">
    <w:name w:val="Гиперссылка2"/>
    <w:link w:val="a9"/>
    <w:pPr>
      <w:spacing w:after="160" w:line="264" w:lineRule="auto"/>
    </w:pPr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locked/>
    <w:rPr>
      <w:rFonts w:ascii="Calibri" w:eastAsia="Times New Roman" w:hAnsi="Calibri" w:cs="Calibri"/>
      <w:szCs w:val="20"/>
      <w:lang w:eastAsia="zh-CN"/>
    </w:rPr>
  </w:style>
  <w:style w:type="character" w:styleId="af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xl92">
    <w:name w:val="xl92"/>
    <w:basedOn w:val="a"/>
    <w:pPr>
      <w:spacing w:before="100" w:beforeAutospacing="1" w:after="100" w:afterAutospacing="1"/>
    </w:pPr>
  </w:style>
  <w:style w:type="paragraph" w:customStyle="1" w:styleId="xl93">
    <w:name w:val="xl93"/>
    <w:basedOn w:val="a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a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5">
    <w:name w:val="xl11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7">
    <w:name w:val="xl11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8">
    <w:name w:val="xl11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9">
    <w:name w:val="xl119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20">
    <w:name w:val="xl12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21">
    <w:name w:val="xl121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3">
    <w:name w:val="xl123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4">
    <w:name w:val="xl12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5">
    <w:name w:val="xl12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6">
    <w:name w:val="xl12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8">
    <w:name w:val="xl12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9">
    <w:name w:val="xl129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30">
    <w:name w:val="xl13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131">
    <w:name w:val="xl13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133">
    <w:name w:val="xl13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135">
    <w:name w:val="xl13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136">
    <w:name w:val="xl13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137">
    <w:name w:val="xl137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138">
    <w:name w:val="xl13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44">
    <w:name w:val="xl14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7">
    <w:name w:val="xl14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48">
    <w:name w:val="xl14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50">
    <w:name w:val="xl15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a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paragraph" w:styleId="2">
    <w:name w:val="Body Text 2"/>
    <w:basedOn w:val="a"/>
    <w:link w:val="20"/>
    <w:uiPriority w:val="9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qFormat/>
    <w:locked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pPr>
      <w:ind w:left="720"/>
      <w:contextualSpacing/>
    </w:pPr>
  </w:style>
  <w:style w:type="paragraph" w:customStyle="1" w:styleId="msolistparagraph0">
    <w:name w:val="msolistparagraph"/>
    <w:basedOn w:val="a"/>
    <w:pPr>
      <w:ind w:left="720"/>
    </w:pPr>
  </w:style>
  <w:style w:type="paragraph" w:customStyle="1" w:styleId="a7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link w:val="21"/>
    <w:uiPriority w:val="9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  <w:suppressAutoHyphens/>
      <w:overflowPunct w:val="0"/>
    </w:pPr>
    <w:rPr>
      <w:rFonts w:ascii="Liberation Serif" w:eastAsia="Droid Sans Fallback" w:hAnsi="Liberation Serif" w:cs="FreeSans"/>
      <w:kern w:val="2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text1">
    <w:name w:val="itemtext1"/>
    <w:basedOn w:val="a0"/>
    <w:rPr>
      <w:rFonts w:ascii="Segoe UI" w:hAnsi="Segoe UI" w:cs="Segoe UI" w:hint="default"/>
      <w:color w:val="000000"/>
      <w:sz w:val="20"/>
      <w:szCs w:val="2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Standard">
    <w:name w:val="Standard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af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itemtext">
    <w:name w:val="itemtext"/>
    <w:basedOn w:val="a0"/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subject"/>
    <w:basedOn w:val="af0"/>
    <w:next w:val="af0"/>
    <w:link w:val="af4"/>
    <w:uiPriority w:val="99"/>
    <w:semiHidden/>
    <w:unhideWhenUsed/>
    <w:rPr>
      <w:b/>
      <w:bCs/>
    </w:rPr>
  </w:style>
  <w:style w:type="character" w:customStyle="1" w:styleId="af4">
    <w:name w:val="Тема примечания Знак"/>
    <w:basedOn w:val="af1"/>
    <w:link w:val="af3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0">
    <w:name w:val="Цитата1"/>
    <w:basedOn w:val="a"/>
    <w:qFormat/>
    <w:pPr>
      <w:ind w:left="-709" w:right="-766" w:firstLine="709"/>
      <w:jc w:val="both"/>
    </w:pPr>
  </w:style>
  <w:style w:type="paragraph" w:customStyle="1" w:styleId="21">
    <w:name w:val="Гиперссылка2"/>
    <w:link w:val="a9"/>
    <w:pPr>
      <w:spacing w:after="160" w:line="264" w:lineRule="auto"/>
    </w:pPr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locked/>
    <w:rPr>
      <w:rFonts w:ascii="Calibri" w:eastAsia="Times New Roman" w:hAnsi="Calibri" w:cs="Calibri"/>
      <w:szCs w:val="20"/>
      <w:lang w:eastAsia="zh-CN"/>
    </w:rPr>
  </w:style>
  <w:style w:type="character" w:styleId="af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xl92">
    <w:name w:val="xl92"/>
    <w:basedOn w:val="a"/>
    <w:pPr>
      <w:spacing w:before="100" w:beforeAutospacing="1" w:after="100" w:afterAutospacing="1"/>
    </w:pPr>
  </w:style>
  <w:style w:type="paragraph" w:customStyle="1" w:styleId="xl93">
    <w:name w:val="xl93"/>
    <w:basedOn w:val="a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a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5">
    <w:name w:val="xl11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7">
    <w:name w:val="xl11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8">
    <w:name w:val="xl11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9">
    <w:name w:val="xl119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20">
    <w:name w:val="xl12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21">
    <w:name w:val="xl121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3">
    <w:name w:val="xl123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4">
    <w:name w:val="xl12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5">
    <w:name w:val="xl12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6">
    <w:name w:val="xl12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8">
    <w:name w:val="xl12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29">
    <w:name w:val="xl129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30">
    <w:name w:val="xl13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131">
    <w:name w:val="xl13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133">
    <w:name w:val="xl13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135">
    <w:name w:val="xl13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136">
    <w:name w:val="xl13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137">
    <w:name w:val="xl137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138">
    <w:name w:val="xl13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44">
    <w:name w:val="xl14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47">
    <w:name w:val="xl14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48">
    <w:name w:val="xl14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50">
    <w:name w:val="xl15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9B50F974B232F83B3A5EC9282640B3013C9EBD9B333AA585CA7461B4F14127002E1B13704268D17B4B89156FL2JEL" TargetMode="External"/><Relationship Id="rId13" Type="http://schemas.openxmlformats.org/officeDocument/2006/relationships/hyperlink" Target="http://www.gov-zakupki.ru/zakon/44-fz-id1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1A37DC8C30217B61AEB2CE201AAC652D35DE577DC72EF15D0463A265C8D4FD0E03959A555D896vAx3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1A37DC8C30217B61AEB2CE201AAC652D35DE577DC72EF15D0463A265C8D4FD0E03959A555D896vAx3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65243&amp;dst=1668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BD97E93379ACA4D9C10A837EDB7ED3D9E13648339161A4B038EE1AD0962691F99AA68F3D1C05E572EFA23F62924F424ECCDE13E5CA0E4Dq9JBL" TargetMode="External"/><Relationship Id="rId14" Type="http://schemas.openxmlformats.org/officeDocument/2006/relationships/hyperlink" Target="mailto:&#1089;enter@rosplas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30971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mardanova-ms</dc:creator>
  <cp:lastModifiedBy>Казанцев Павел Валериевич</cp:lastModifiedBy>
  <cp:revision>2</cp:revision>
  <cp:lastPrinted>2025-07-02T14:09:00Z</cp:lastPrinted>
  <dcterms:created xsi:type="dcterms:W3CDTF">2026-08-13T11:45:00Z</dcterms:created>
  <dcterms:modified xsi:type="dcterms:W3CDTF">2026-08-13T11:45:00Z</dcterms:modified>
</cp:coreProperties>
</file>