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A9" w:rsidRPr="00A65935" w:rsidRDefault="00E304BF">
      <w:pPr>
        <w:pStyle w:val="Firstlineindent"/>
        <w:jc w:val="center"/>
        <w:rPr>
          <w:sz w:val="44"/>
          <w:szCs w:val="44"/>
        </w:rPr>
      </w:pPr>
      <w:r w:rsidRPr="00A65935">
        <w:rPr>
          <w:sz w:val="44"/>
          <w:szCs w:val="44"/>
        </w:rPr>
        <w:t>Спецификация</w:t>
      </w:r>
    </w:p>
    <w:p w:rsidR="008F23A9" w:rsidRDefault="008F23A9">
      <w:pPr>
        <w:pStyle w:val="Firstlineindent"/>
        <w:jc w:val="center"/>
      </w:pPr>
    </w:p>
    <w:tbl>
      <w:tblPr>
        <w:tblW w:w="10235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7935"/>
        <w:gridCol w:w="1225"/>
      </w:tblGrid>
      <w:tr w:rsidR="008F23A9">
        <w:tc>
          <w:tcPr>
            <w:tcW w:w="1075" w:type="dxa"/>
            <w:shd w:val="clear" w:color="auto" w:fill="DDDDDD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3A9" w:rsidRDefault="00E304BF">
            <w:pPr>
              <w:pStyle w:val="Standard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 п/п</w:t>
            </w:r>
          </w:p>
        </w:tc>
        <w:tc>
          <w:tcPr>
            <w:tcW w:w="7935" w:type="dxa"/>
            <w:shd w:val="clear" w:color="auto" w:fill="DDDDDD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3A9" w:rsidRDefault="00E304BF">
            <w:pPr>
              <w:pStyle w:val="Standard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Наименование ПО</w:t>
            </w:r>
          </w:p>
        </w:tc>
        <w:tc>
          <w:tcPr>
            <w:tcW w:w="1225" w:type="dxa"/>
            <w:shd w:val="clear" w:color="auto" w:fill="DDDDDD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3A9" w:rsidRDefault="00E304BF">
            <w:pPr>
              <w:pStyle w:val="Standard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Кол-во, шт.</w:t>
            </w:r>
          </w:p>
        </w:tc>
      </w:tr>
      <w:tr w:rsidR="008F23A9">
        <w:tc>
          <w:tcPr>
            <w:tcW w:w="10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3A9" w:rsidRDefault="00A65935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2F0C" w:rsidRPr="00572F0C" w:rsidRDefault="00572F0C">
            <w:pPr>
              <w:pStyle w:val="Standard"/>
              <w:jc w:val="both"/>
              <w:rPr>
                <w:b/>
                <w:i/>
                <w:sz w:val="24"/>
              </w:rPr>
            </w:pPr>
            <w:r w:rsidRPr="00572F0C">
              <w:rPr>
                <w:b/>
                <w:i/>
                <w:sz w:val="24"/>
              </w:rPr>
              <w:t xml:space="preserve">Лицензия на СУБД </w:t>
            </w:r>
            <w:proofErr w:type="spellStart"/>
            <w:r w:rsidRPr="00572F0C">
              <w:rPr>
                <w:b/>
                <w:i/>
                <w:sz w:val="24"/>
              </w:rPr>
              <w:t>Tantor</w:t>
            </w:r>
            <w:proofErr w:type="spellEnd"/>
            <w:r w:rsidRPr="00572F0C">
              <w:rPr>
                <w:b/>
                <w:i/>
                <w:sz w:val="24"/>
              </w:rPr>
              <w:t xml:space="preserve"> в редакции </w:t>
            </w:r>
            <w:proofErr w:type="spellStart"/>
            <w:r w:rsidRPr="00572F0C">
              <w:rPr>
                <w:b/>
                <w:i/>
                <w:sz w:val="24"/>
              </w:rPr>
              <w:t>Special</w:t>
            </w:r>
            <w:proofErr w:type="spellEnd"/>
            <w:r w:rsidRPr="00572F0C">
              <w:rPr>
                <w:b/>
                <w:i/>
                <w:sz w:val="24"/>
              </w:rPr>
              <w:t xml:space="preserve"> </w:t>
            </w:r>
            <w:proofErr w:type="spellStart"/>
            <w:r w:rsidRPr="00572F0C">
              <w:rPr>
                <w:b/>
                <w:i/>
                <w:sz w:val="24"/>
              </w:rPr>
              <w:t>Edition</w:t>
            </w:r>
            <w:proofErr w:type="spellEnd"/>
            <w:r w:rsidRPr="00572F0C">
              <w:rPr>
                <w:b/>
                <w:i/>
                <w:sz w:val="24"/>
              </w:rPr>
              <w:t xml:space="preserve"> 1C, со встроенной полнофункциональной модульной платформой администрирования и мониторинга кластеров </w:t>
            </w:r>
            <w:proofErr w:type="spellStart"/>
            <w:r w:rsidRPr="00572F0C">
              <w:rPr>
                <w:b/>
                <w:i/>
                <w:sz w:val="24"/>
              </w:rPr>
              <w:t>PostgreSQL</w:t>
            </w:r>
            <w:proofErr w:type="spellEnd"/>
            <w:r w:rsidRPr="00572F0C">
              <w:rPr>
                <w:b/>
                <w:i/>
                <w:sz w:val="24"/>
              </w:rPr>
              <w:t xml:space="preserve"> «</w:t>
            </w:r>
            <w:proofErr w:type="spellStart"/>
            <w:r w:rsidRPr="00572F0C">
              <w:rPr>
                <w:b/>
                <w:i/>
                <w:sz w:val="24"/>
              </w:rPr>
              <w:t>Тантор</w:t>
            </w:r>
            <w:proofErr w:type="spellEnd"/>
            <w:r w:rsidRPr="00572F0C">
              <w:rPr>
                <w:b/>
                <w:i/>
                <w:sz w:val="24"/>
              </w:rPr>
              <w:t>», на базе процессорной архитектуры х86-64, для сервера на 1 физическое или виртуальное ядро, способ передачи электронный, на срок действия исключительного права, с включенными обновлениями Тип 1 на 12 мес. (для образовательных организаций и библиотек)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3A9" w:rsidRDefault="00E304BF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72F0C" w:rsidRDefault="00572F0C">
            <w:pPr>
              <w:pStyle w:val="Standard"/>
              <w:rPr>
                <w:sz w:val="24"/>
              </w:rPr>
            </w:pPr>
          </w:p>
          <w:p w:rsidR="00572F0C" w:rsidRDefault="00572F0C">
            <w:pPr>
              <w:pStyle w:val="Standard"/>
              <w:rPr>
                <w:sz w:val="24"/>
              </w:rPr>
            </w:pPr>
          </w:p>
          <w:p w:rsidR="00572F0C" w:rsidRDefault="00572F0C">
            <w:pPr>
              <w:pStyle w:val="Standard"/>
              <w:rPr>
                <w:sz w:val="24"/>
              </w:rPr>
            </w:pPr>
          </w:p>
          <w:p w:rsidR="00572F0C" w:rsidRDefault="00572F0C">
            <w:pPr>
              <w:pStyle w:val="Standard"/>
              <w:rPr>
                <w:sz w:val="24"/>
              </w:rPr>
            </w:pPr>
          </w:p>
          <w:p w:rsidR="00572F0C" w:rsidRDefault="00572F0C">
            <w:pPr>
              <w:pStyle w:val="Standard"/>
              <w:rPr>
                <w:sz w:val="24"/>
              </w:rPr>
            </w:pPr>
          </w:p>
          <w:p w:rsidR="00572F0C" w:rsidRDefault="00572F0C">
            <w:pPr>
              <w:pStyle w:val="Standard"/>
              <w:rPr>
                <w:sz w:val="24"/>
              </w:rPr>
            </w:pPr>
          </w:p>
        </w:tc>
      </w:tr>
    </w:tbl>
    <w:p w:rsidR="008F23A9" w:rsidRDefault="008F23A9">
      <w:pPr>
        <w:pStyle w:val="Standard"/>
        <w:jc w:val="left"/>
        <w:rPr>
          <w:sz w:val="24"/>
        </w:rPr>
      </w:pPr>
    </w:p>
    <w:p w:rsidR="008F23A9" w:rsidRPr="00A65935" w:rsidRDefault="00E304BF" w:rsidP="00A65935">
      <w:pPr>
        <w:pStyle w:val="Firstlineindent"/>
        <w:jc w:val="center"/>
        <w:rPr>
          <w:sz w:val="44"/>
          <w:szCs w:val="44"/>
        </w:rPr>
      </w:pPr>
      <w:bookmarkStart w:id="0" w:name="_GoBack"/>
      <w:bookmarkEnd w:id="0"/>
      <w:r w:rsidRPr="00A65935">
        <w:rPr>
          <w:sz w:val="44"/>
          <w:szCs w:val="44"/>
        </w:rPr>
        <w:t>Требования к характеристикам ПО</w:t>
      </w:r>
    </w:p>
    <w:p w:rsidR="008F23A9" w:rsidRDefault="008F23A9">
      <w:pPr>
        <w:pStyle w:val="Standard"/>
        <w:jc w:val="both"/>
        <w:rPr>
          <w:i/>
          <w:iCs/>
          <w:sz w:val="24"/>
        </w:rPr>
      </w:pPr>
    </w:p>
    <w:p w:rsidR="008F23A9" w:rsidRDefault="00E304BF">
      <w:pPr>
        <w:pStyle w:val="Standard"/>
        <w:jc w:val="both"/>
        <w:rPr>
          <w:i/>
          <w:iCs/>
          <w:sz w:val="24"/>
        </w:rPr>
      </w:pPr>
      <w:r>
        <w:rPr>
          <w:i/>
          <w:iCs/>
          <w:sz w:val="24"/>
        </w:rPr>
        <w:t>В соответствии с пунктом 5 Правил использования каталога товаров, работ, услуг для обеспечения государственных и муниципальных нужд Заказчиком принято решении о расширении предъявляемых дополнительной информации, дополнительных потребительских свойствах, в том числе функциональных, технических, качественных, эксплуатационных характеристик товара, работы, услуги в соответствии с положениями статьи 33 ФЗ от 05.04.2013 N 44-ФЗ, которые не предусмотрены в позиции каталога, в связи с тем, что характеристики, указанные в КТРУ не являются исчерпывающими и не позволяют точно определить качественные, функциональные и технические характеристики закупаемых товаров, заказчиком установлены дополнительные характеристики, значимые для осуществления своей деятельности и в наибольшей степени удовлетворяющие потребность заказчика в качестве и функциональности закупаемых товаров. Дополнительные характеристики установлены в связи с потребностью заказчика, дополняют характеристики КТРУ, не изменяя и не противореча характеристикам, указанным в КТРУ.</w:t>
      </w:r>
    </w:p>
    <w:p w:rsidR="008F23A9" w:rsidRDefault="008F23A9">
      <w:pPr>
        <w:pStyle w:val="Standard"/>
        <w:jc w:val="left"/>
      </w:pPr>
    </w:p>
    <w:p w:rsidR="00F818FF" w:rsidRDefault="00F818FF">
      <w:pPr>
        <w:pStyle w:val="Standard"/>
        <w:jc w:val="both"/>
        <w:rPr>
          <w:sz w:val="24"/>
        </w:rPr>
      </w:pPr>
    </w:p>
    <w:p w:rsidR="008F23A9" w:rsidRDefault="00E304BF">
      <w:pPr>
        <w:pStyle w:val="Standard"/>
        <w:numPr>
          <w:ilvl w:val="0"/>
          <w:numId w:val="57"/>
        </w:numPr>
        <w:jc w:val="both"/>
        <w:rPr>
          <w:sz w:val="24"/>
        </w:rPr>
      </w:pPr>
      <w:r>
        <w:rPr>
          <w:sz w:val="24"/>
        </w:rPr>
        <w:t xml:space="preserve">Лицензия на СУБД для 1C, со встроенной платформой администрирования и мониторинга кластеров </w:t>
      </w:r>
      <w:proofErr w:type="spellStart"/>
      <w:r>
        <w:rPr>
          <w:sz w:val="24"/>
        </w:rPr>
        <w:t>PostgreSQL</w:t>
      </w:r>
      <w:proofErr w:type="spellEnd"/>
      <w:r>
        <w:rPr>
          <w:sz w:val="24"/>
        </w:rPr>
        <w:t>, на базе процессорной архитектуры х86-64, для сервера на 1 физическое или виртуальное ядро, способ передачи электронный, на срок действия исключительного права, с включенными обновлениями Тип 1 или технической поддержкой на 12 мес. (для образовательных организаций и библиотек)</w:t>
      </w:r>
    </w:p>
    <w:p w:rsidR="008F23A9" w:rsidRDefault="008F23A9">
      <w:pPr>
        <w:pStyle w:val="Standard"/>
        <w:jc w:val="both"/>
        <w:rPr>
          <w:sz w:val="24"/>
        </w:rPr>
      </w:pP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4"/>
        <w:gridCol w:w="4422"/>
        <w:gridCol w:w="2719"/>
      </w:tblGrid>
      <w:tr w:rsidR="008F23A9">
        <w:trPr>
          <w:tblHeader/>
        </w:trPr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rPr>
                <w:rFonts w:eastAsia="Tahoma" w:cs="Noto Sans Devanagari"/>
                <w:b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b/>
                <w:color w:val="000000"/>
                <w:sz w:val="24"/>
                <w:lang w:eastAsia="zh-CN" w:bidi="hi-IN"/>
              </w:rPr>
              <w:t>Наименование характеристики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rPr>
                <w:rFonts w:eastAsia="Tahoma" w:cs="Noto Sans Devanagari"/>
                <w:b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b/>
                <w:color w:val="000000"/>
                <w:sz w:val="24"/>
                <w:lang w:eastAsia="zh-CN" w:bidi="hi-IN"/>
              </w:rPr>
              <w:t>Значение характеристики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rPr>
                <w:rFonts w:eastAsia="Tahoma" w:cs="Noto Sans Devanagari"/>
                <w:b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b/>
                <w:color w:val="000000"/>
                <w:sz w:val="24"/>
                <w:lang w:eastAsia="zh-CN" w:bidi="hi-IN"/>
              </w:rPr>
              <w:t>Обоснование применения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Вид лицензии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Простая (неисключительная)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Предусмотрено КТРУ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02.07 Средства управления базами данных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Предусмотрено КТРУ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Способ предоставления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Копия электронного экземпляра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Предусмотрено КТРУ</w:t>
            </w:r>
          </w:p>
        </w:tc>
      </w:tr>
      <w:tr w:rsidR="008F23A9">
        <w:tc>
          <w:tcPr>
            <w:tcW w:w="3057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1. Требования к программному обеспечению СУБД</w:t>
            </w:r>
          </w:p>
        </w:tc>
        <w:tc>
          <w:tcPr>
            <w:tcW w:w="4426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Требования к ПО СУБД сгруппированы в категории: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Общие требования описаны в 2-м разделе;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 xml:space="preserve">Требования к функциям </w:t>
            </w:r>
            <w:r w:rsidRPr="00572F0C">
              <w:rPr>
                <w:color w:val="000000"/>
                <w:sz w:val="24"/>
              </w:rPr>
              <w:lastRenderedPageBreak/>
              <w:t>управления базами данных описаны в 3-м разделе;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Требования к совместимости описаны в 4-м разделе;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Требования к защите информации от несанкционированного доступа описаны в 5-м разделе;</w:t>
            </w:r>
          </w:p>
          <w:p w:rsidR="008F23A9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</w:pPr>
            <w:r w:rsidRPr="00572F0C">
              <w:rPr>
                <w:color w:val="000000"/>
                <w:sz w:val="24"/>
              </w:rPr>
              <w:t>Требования к высоконагруженным БД описаны в 6-м разделе.</w:t>
            </w:r>
          </w:p>
        </w:tc>
        <w:tc>
          <w:tcPr>
            <w:tcW w:w="2722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-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2. Общие требования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2.1. Поддержка процессорных архитектур x86_64, arm64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2.2. Срок действия лицензии программного обеспечения – на срок действия исключительных прав правообладателя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2.3. Программное обеспечение должно соответствовать требованиям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Требования установлены в связи с необходимостью обеспечения совместимости с современным оборудованием, соблюдения законодательства о национальном режиме при закупках, а также гарантии легитимности и долгосрочной поддержки программного обеспечения в условиях государственной эксплуатации.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3. Требования к функциям управления базами данных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 w:rsidP="00F818F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3.1. Поддерживаемый стандарт SQL от ISO/IEC 9075:2023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3.2. Поддерживаемые символьные кодировки UTF8, WIN1251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3.3. Возможность фонового конвертирования данных в различных кодировках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3.4. Поддержка функций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3.5. Поддержка триггеров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3.6. Поддержка представлений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3.7. Поддержка курсоров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3.8. Поддержка механизмов соблюдения ссылочной целостности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3.9. Поддержка внутреннего хранения больших типов данных (BLOB/CLOB)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3.10. Поддержка механизмов прямой и обратной сортировки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3.11. Поддержка механизмов обработки данных в формате XML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3.12. Поддержка JSON/JSONB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3.13. Наличие технологий вертикального масштабирования (секционирования)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3.14. Поддержка зеркальной копии БД посредством пересылки непосредственно блоков данных ("зеркальная" копия, при создании и поддержке которой используются "сырые" блоки данных основной БД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Physical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standby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3.15. Поддержка технологий расширенного индексирования (поддержка частичных и функциональных индексов, инвертированные индексы, индексирование XML, JSON)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3.16. Поддержка индексов типа «битовая карта» или аналогичных механизмов для эффективной обработки данных с низкой кардинальностью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3.17. Поддержка неблокируемых операций с индексами (создание/удаление индексов без существенного влияния на другие протекающие с данной таблицей операции)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3.18. Поддержка технологий фонового резервного копирования (возможность создания консистентной резервной копии без остановки функционирования основой БД)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3.19. Поддержка восстановления на точку во времени (поддержка в СУБД технологии восстановления на произвольно выбранную точку во времени вне зависимости от момента создания резервной копии)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3.20. Поддержка шифрования при передаче данных по сети, включая защиту консольных подключений, защиту передачи данных между инсталляциями СУБД, а также между СУБД и приложениями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3.21. Наличие механизма, позволяющего восстанавливать испорченные (битые) блоки данных в БД с резервного сервера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Physical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standby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3.22. Поддержка командной строки для администрирования CLI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3.23. Поддержка параллельного экспорта/импорта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3.24. Поддерживаемая гранулярность экспорта/импорта (при выполнении экспорта/импорта существует возможность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экспортировать/импортировать как всю БД, так и отдельные схемы, таблицы, данные, метаданные)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3.25. Поддержка аутентификации службой каталогов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Microsoft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Active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Directory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3.26. Поддержка функционала OLAP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3.27. Поддержка параллельного выполнения запроса несколькими процессами/ядрами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3.28. Поддержка интеграции по протоколу LDAPS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3.29. Поддержка протокола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Kerberos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3.30. Поддержка ведения журналов транзакций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3.31. Поддержка асинхронной репликации данных между несколькими БД одного и того же типа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3.32. Поддержка шифрования паролей учетных записей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3.33.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Высокогранулярный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контроль доступа к объектам БД до поля в таблице или видимость строки по условию на поле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3.34. Поддержка дискреционной (DAC) модели управления доступом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3.35. Поддержка ролевой (RBAC) модели управления доступом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3.36. Поддержка управления ролевой моделью доступа (возможность создания, изменения, удаления собственных ролей)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3.37. Поддержка детального аудита действий пользователей (включая администраторов)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3.38. Сбор журналов аудита всех операций СУБД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3.39. Поддержка сбора выборочной статистики событий ожидания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3.40. Сбор и хранение статистики планов выполнения запросов, с возможностью выбора их гранулярности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sampling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3.41. Наличие встроенного стоимостного оптимизатора планов выполнения запросов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3.42. Поддерживать современные стандарты реляционных баз данных (БД) по требования ACID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3.43. Обеспечивать уровни изоляции транзакций SERIALIZABLE, REPEATABLE READ, READ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COMMITTED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3.44. Поддерживать управление доступом с помощью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многоверсионности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(MVCC -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MultiVersion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Concurrency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Control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3.45. Обеспечивать поддержку блокировок на уровне записей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3.46. Обеспечивать журнал упреждающей записи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Write-Ahead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Logging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- WAL), механизм протоколирования транзакций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3.47. Обеспечивать возможность добавления новых типов данных, функций, операторов, методов доступа, языков программирования без перекомпилирования ядра СУБД и остановки экземпляра 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3.48. Обеспечивать возможность доступа к сторонним данным для работы с СУБД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Microsoft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SQL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Server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MySQL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PostgreSQL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3.49. Поддерживать программные интерфейсы для работы с C/C++,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Java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/JDBC, .NET, ODBC,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Perl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Python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Ruby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Tcl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3.50. Наличие встроенных средства аутентификации пользователей, поддерживающих GSSAPI, SSPI, LDAP, RADIUS, PAM, BSD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3.51. Поддерживать встроенные средства «горячего» резервного копирования и восстановления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3.52. Наличие возможности отслеживания изменений страниц БД для инкрементальных копий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3.53. Наличие возможности полного и инкрементального (на уровне страниц) резервного копирования и восстановления данных с сохранением журналов транзакций, контролем целостности данных и проверки резервных копий без восстановления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3.54. Наличие возможности управления архивами WAL и резервными копиями в соответствии с установленными правилами их хранения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3.55. Наличие возможности выполнения операций резервного копирования и восстановления в несколько параллельных потоков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3.56. Наличие готового сценария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 xml:space="preserve">развертывания отказоустойчивого кластера на базе решения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Patroni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3.57. Поддержка табличных пространств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3.58. Поддержка табличных триггеров БД и триггеров событий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3.59. Поддержка процедурных языков, в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т.ч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. PL/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, PL/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Perl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, PL/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Python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, PL/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Tcl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3.60. Поддержка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NoSQL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3.61. Поддержка параллельного выполнения запросов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3.62. Поддержка параллельного создания индексов и параллельного доступа к индексам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3.63. Поддержка сканирования только индекса (покрывающие индексы)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3.64. Поддержка работы с временными объектами в рамках одной сессии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3.65. Наличие встроенной системы полнотекстового поиска и поиска фраз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3.66. Поддержка отложенного выполнения задач по заранее установленному времени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3.67. Наличие полной переведенной на русский язык документаций на все редакции программного обеспечения СУБД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3.68. Обеспечение возможности корректировки планов запросов с помощью подсказок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hints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Наличие инструмента с графическим интерфейсом для управления СУБД: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3.69. Наличие средств и единого пользовательского интерфейса для задач мониторинга, эксплуатации и администрирования корпоративного уровня (наличие единой среды мониторинга и управления несколькими серверами и экземплярами БД)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3.70. Возможность разбиения серверов БД на логические группы с реализацией общепринятых методов разграничения прав доступа пользователей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3.71. Представление пользователю текущего состояния БД на основе собираемых метрик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3.72. Отображение собираемых метрик через пользовательский интерфейс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3.73. Возможность отображения исторических данных за выбранный период времени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3.74. Экспорт собираемых метрик через API для интеграции с внешними системами, например корпоративной системой мониторинга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3.75. Отображение и подробное описание параметров конфигурации 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3.76. Возможность управления конфигурациями БД из пользовательского интерфейса, с возможностью их применения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3.77. Наличие автоматизированной адаптивной настройки конфигурации экземпляра СУБД на основе мониторинга и других параметров функционирования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3.78. Наличие профайлера SQL-запросов, статистики работы и средств диагностики запросов, визуализации планов со статистикой выполнения каждого плана, представления частоты выполнения планов в виде гистограммы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3.79. Наличие пользовательского интерфейса средств аудита БД по предопределенным параметрам: анализ схемы данных, статистика использования объектов, статистика БД с возможностью скачивать отчет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3.80. Возможность формирования рекомендаций на основе работы экземпляра СУБД с возможностью их применения в пользовательском интерфейсе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3.81. Наличие пополняемой базы проверок схемы данных БД на основании предустановленных проверок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3.82. Наличие онлайн визуализации сессий и блокировок по каждой БД кластера, с возможностью остановки выполнения запросов из пользовательского интерфейса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3.83. Наличие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логирования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пользовательских действий, произведенных из интерфейса управления, с возможностью просмотра истории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3.84. Наличие визуализации табличных пространств БД с сопоставлением их расположения и точек монтирования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3.85. Наличие механизма разбора логов БД на предмет неоптимальных запросов,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контрольных точек, ошибок, служебных процессов, блокировок и взаимоблокировок с визуализацией в графическом интерфейсе в режиме реального времени. При этом должна быть обеспечена гранулярность до каждого типа события или шаблона запроса, с возможность просмотра каждого такого события в логах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3.86. Возможность загрузки лога БД через графический интерфейс с последующим его разбором и визуализацией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offline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режим)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3.87. Визуализация в виде тепловых карт и гистограмм времени и частоты выполнения проблемных запросов, проанализированных на основе информации из логов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3.88. Группировка проблемных запросов из логов по: шаблонам, моделям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3.89. Построение тепловых карт по объему возвращенных данных с возможностью проанализировать разницу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diff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3.90. Построение гистограммы распределения ошибок в логе БД по приложениям, по классам и по времени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3.91. Возможность просмотра истории снимков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pg_stat_activity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с гранулярностью до 1 секунды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3.92. Построение гистограммы распределения метрик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checkpoint-ов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по времени на основе логов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3.93. Анализ объектов БД с помощью графического пользовательского интерфейса на предмет необходимости их обслуживания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3.94. Построение гистограммы распределения метрик VACUUM и ANALYZE по времени на основе логов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3.95. Возможность выполнения задач регламентного обслуживания БД через графический интерфейс: исправление раздувания таблиц, исправление раздувания индексов, исправление переполнения счетчика транзакций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3.96. Ведение истории обслуживания и изменения параметров экземпляра СУБД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3.97. Наличие онлайн и исторической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визуализации запросов 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3.98. Наличие средств мониторинга производительности запросов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3.99. Наличие системы оповещения пользователей об проблемах, сбоях и потенциально опасных ситуациях в работе БД и серверов 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3.100. Возможность интеграции системы оповещения с электронной почтой и мессенджерами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3.101. Возможность интеграции, управления, конфигурирования кластеров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Patroni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3.102. Интеграция с ALD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Pro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Active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Directory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FreeIPA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3.103. Наличие встроенного планировщика задач с возможностью запуска исполняемых скриптов, программ и SQL-команд, который отображает информацию о текущем статусе задачи, позволяет менять его вручную и имеет</w:t>
            </w:r>
            <w:r w:rsidR="00F818FF"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жу</w:t>
            </w:r>
            <w:r w:rsidR="00F818FF"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р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нал событий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3.104. Наличие встроенного планировщика задач с возможностью запуска исполняемых скриптов, программ и SQL-команд, который отображает информацию о текущем статусе задачи, позволяет менять его вручную и имеет жу</w:t>
            </w:r>
            <w:r w:rsidR="00F818FF"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р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нал событий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3.105. Наличие визуального отображения истории изменений статуса экземпляров кластера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3.106. Возможность изолировать группы рабочих пространств с помощью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тенантов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3.107. Возможность получения метрик для кластеров и экземпляров с помощью API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3.108. Возможность управления пользовательскими группами,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тенантами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и рабочими пространствами с помощью API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3.109. Возможность проверки работы API через визуальный интерфейс(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SwaggerUI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3.110. Наличие встроенного в графический интерфейс SQL-редактора, с помощью которого можно писать запросы к базам данных и запускать их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3.111. Возможность отобразить в графическом интерфейсе схему базы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данных (все таблицы БД с подробной информацией о её элементах, представления БД, хранимые функции и процедуры БД, последовательности)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3.112. Возможность создавать собственную группу параметров для применения к экземплярам, с возможностью не изменяя группу параметров применить исключения для параметров с помощью модификаторов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3.113. Наличие AI-ассистента, отвечающего на вопросы по функциональности Платформы и на вопросы, связанные с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PostgreSQL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3.114. Наличие интеграции с системой резервного копирования, в которой отображаются успешно выполненные, запланированные, завершившиеся ошибкой или находящиеся в процессе выполнения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бэкапы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3.115. Возможность настроить подключение к почтовому серверу (SMTP) из интерфейса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Наличие встроенного в инструмент по управлению СУБД модуля для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анонимизации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данных с графическим интерфейсом и следующими возможностями: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3.116. подключение к базе данных, которую требуется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анонимизировать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3.117. возможность создания словарей, описывающих в какой части базы данных хранятся наиболее конфиденциальные данные, в какой части базы данных не находятся конфиденциальные данные и мета словарей, описывающих предустановленные и/или пользовательские правила для поиска конфиденциальных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3.118. возможностью проведения сканирования баз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3.119. возможность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предпросмотра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данных в части сравнения области базы данных с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анонимизированными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данными и области исходной базы данных; возможность поиска персональных данных в базе данных на основе мета-словаря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3.120. возможность создания словаря на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основе результатов поиска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3.121. возможность сохранения и восстановления данных с использованием словаря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3.122. возможность создания отдельных словарей для разных баз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3.123. возможность создания дампа исходной базы данных с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анонимизированными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данными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Требования установлены в связи с необходимостью обеспечения полного жизненного цикла управления данными в условиях высокой нагрузки, строгих требований к безопасности, отказоустойчивости и совместимости с российскими операционными системами и инфраструктурными решениями.  Включены требования к поддержке современных стандартов SQL:2023, OLAP/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NoSQL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расширенному резервному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 xml:space="preserve">копированию, детальному аудиту, гибким моделям доступа (DAC/RBAC), а также наличию корпоративного графического инструмента управления с возможностями профилирования, мониторинга, анализа производительности 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анонимизации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персональных данных.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4. Требования к совместимости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 w:rsidP="00F818F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4.1. Поддержка операционных систем: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Altlinux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c9f2 (P8),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Altlinux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p10,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AstraLinux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1.7,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AstraLinux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1.8,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AstraLinux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2.12,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AstraLinux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4.7 (arm64),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Centos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7,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Debian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10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Buster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Debian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11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Bullseye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Debian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12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Bookworm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MSVSphere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Redos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7.3,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Redos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8,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Ubuntu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18,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Ubuntu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20,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Ubuntu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22. Данные пакеты должны быть доступны в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репозитории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для всех редакций СУБД и тестироваться на постоянной основе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4.2. Наличие совместимости с российскими операционными системами Astra Linux, РЕД ОС, ALT Linux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4.3. Поддержка совместимости СУБД с ПО «1С:Предприятие», подтвержденная на официальном сайте производителя. СУБД должна иметь версию, основанную на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PostgreSQL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не ниже 15.6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Требования установлены в связи с необходимостью обеспечения совместимости с российскими операционных систем, включая сертифицированные ОС (Astra Linux, РЕД ОС, ALT Linux), для бесперебойной эксплуатации в системах Заказчика.</w:t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5. Требования к защите информации от несанкционированного доступа и безопасности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5.1. Идентификация и проверка подлинности (аутентификация) субъектов при доступе к ПО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5.2. Контроль количества неуспешных попыток аутентификации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5.3. Регистрация удачных попыток подключения к СУБД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5.4. Регистрация неудачных попыток подключения к СУБД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5.5. Регистрация действий с учетными записями (событий блокировки и разблокировки УЗ пользователей общесистемного ПО, добавление, удаление УЗ, изменение полномочий)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5.6. Управление локальными учетными записями пользователей СУБД (создание, изменение, сброс пароля, блокировка, разблокировка, удаление)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5.7. Реализация общепринятых методов разграничения доступа (дискреционный, мандатный, ролевой или иной метод),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типов (чтение, запись, выполнение или иной тип) и правил разграничения доступа)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5.8. Разделение полномочий (ролей) пользователей, администраторов и лиц, обеспечивающих функционирование информационной систем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5.9. Назначение минимально необходимых прав и привилегий пользователям, администраторам и лицам, обеспечивающим функционирование информационной системы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5.10. Поддержка механизма разведки данных, для поиска персональных или других данных(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sensitive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), на основе словаря с правилами поиска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5.11. Возможность разведки данных по всей БД или ее части: таблицам или части таблиц (ограничение по количеству строк)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5.12. Возможность формирования словаря (таблицы сопоставления) для динамического маскирования данных, на основе результатов работы механизма разведки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5.13. Поддержка распараллеливания поиска для механизма разведки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5.14. Поддержка распараллеливания механизма динамического маскирования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5.15. Поддержка механизмов проверки словарей (таблиц соответствия) для механизма маскирования данных: частичная, полная проверки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5.16. Наличие пополняемой библиотеки функций маскирования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5.17. Возможность исправления поврежденных данных WAL из буферов в оперативной памяти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5.18. Поддержка прозрачной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анонимизации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данных в БД для маскировки или замены конфиденциальных персональных, коммерчески чувствительных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5.19. Наличие прозрачного шифрования данных для обеспечения надежной защиты информации при хранении на диске и в резервных копиях. Предоставление возможности выборочного шифрования отдельных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таблиц, позволяющей гибко настраивать уровень безопасности для различных категорий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5.20.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Возможость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регулярно проводить комплексный аудит системы на наличие уязвимостей, выявление потенциальных угроз и формирование детального отчета с конкретными рекомендациями по повышению уровня защиты СУБД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5.21. Наличие утилиты для настройки диагностических расширений</w:t>
            </w:r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 w:rsidP="00F818F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 xml:space="preserve">Требования направлены на выполнение обязательных мер по защите информации в соответствии с ФЗ-152, ФЗ-187, а также рекомендациями ФСТЭК и ФСБ. Включены механизмы идентификации и аутентификации, контроля попыток входа, разграничения доступа, детального аудита, маскирования 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анонимизации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персональных данных, прозрачного шифрования на диске, а также регулярного аудита уязвимостей. Реализация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данных мер необходима для обеспечения соответствия требованиям к защите конфиденциальной информации, включая персональные данные и коммерческую тайну.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</w:r>
          </w:p>
        </w:tc>
      </w:tr>
      <w:tr w:rsidR="008F23A9">
        <w:tc>
          <w:tcPr>
            <w:tcW w:w="3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6. Расширенные требования к СУБД (для работы в высоконагруженных средах)</w:t>
            </w:r>
          </w:p>
        </w:tc>
        <w:tc>
          <w:tcPr>
            <w:tcW w:w="4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6.1. Наличие разрядности идентификатора транзакций не менее 64-бит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6.2. Поддержка механизмов двунаправленной логической репликации (копирования) данных между двумя серверами БД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6.3. Возможность проверки использования индекса планировщиком без необходимости его реального создания (гипотетические индексы)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6.4. Наличие функционала парольных политик, возможности установить минимальную длину пароля, минимальный и максимальный срок жизни пароля, требования к сложности (алфавиту) пароля, запрет на установку ранее использованных паролей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6.5. Возможность добавлять зарезервированные соединения для пользователей, не являющихся супер-пользователями. Слоты, зарезервированные таким образом доступны только пользователям, которые имеют предопределенную роль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6.6. Возможность автоматического удаления планировщиком соединений, при соединении таблицы с самой собой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6.7. Наличие увеличенного количества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партиций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в общем буфере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6.8. Обеспечение отсутствия ограничения на размер БД, максимальное количество записей (строк) и количество индексов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6.9. Отсутствие ограничений по количеству ядер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6.10. Отсутствие ограничений по количеству пользователей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6.11. Поддержка оптимизированного алгоритма сжатия данных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pglz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, для более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эффективного ввода/вывода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6.12. Реализация сокращенного количества блокировок страниц данных в общем буфере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6.13. Иметь сжатие WAL-файлов с помощью алгоритмов lz4 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zstd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6.14. Наличие сжатия в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libpq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6.15. Поддержка оптимизации и ускорения процесса восстановления каскадной репликации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fadvise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на резервном сервере)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6.16. Поддержка возможности завершения транзакции на основе заданного времени ожидания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transaction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timeout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)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6.17. Поддержка улучшения SIMD для архитектур x86 (SSE2) и ARM (NEON), оптимизации операций с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jsontext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6.18. Поддержка оптимизации линейного поиска для процессоров архитектуры ARM64 SIMD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6.19. Поддержка оптимизации планировщика запросов для IN VALUES конструкций при работе с ПО «1С:Предприятие»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6.20. Поддержка улучшения оценки селективности при соединениях таблиц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6.21. Поддержка таблиц размером не менее 32 ТБ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6.22. Поддержка записей (строк) размером не менее 1600 ГБ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6.23. Поддержка не менее 1600 полей (столбцов) в одной таблице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6.24. Поддержка полей (столбцов) BLOB размером не менее 1 ГБ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6.25. Наличие прецизионного сбора статистики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6.26. Расширено использование SIMD-инструкций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6.27. Возможность фиксации реальных физических операций чтения и записи, позволяющая выявлять узкие места производительности, недоступные для обнаружения другими инструментами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6.28. Предоставление возможности для глубокого анализа и профилирования SQL-запросов, особенно актуального для пользователей платформы 1С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6.29. Обеспечение поддержки работы с типом данных UUIDv7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6.30. Использование включённых по умолчанию "покрывающих" индексов с учетом их селективности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6.31. Наличие дополнительных типов данных для совместимости с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Microsoft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SQL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Server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6.32. Наличие оператора ==, который возвращает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true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, когда операнды равны или оба имеют значение NULL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6.33. Вызов анализа сразу после INSERT/UPDATE/DELETE/SELECT INTO для затронутых таблиц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6.34. Оптимизированы запросы с группировками, характерные для операций "Закрытия месяца" в 1С ERP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6.35. Наличие усечения временной таблицы без увеличения размера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pg_class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6.36. Поддерживать оптимизацию работы оператора LIKE для типа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mchar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mvarchar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6.37. Наличие отложенного размещения временных таблиц на диске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6.38. Поддерживать трансформацию EXISTS-подзапросов в LATERAL SEMI JOIN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6.39. Наличие продвинутого функционала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pg_stat_statements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: интеллектуальная агрегация данных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6.40. Наличие продвинутого функционала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pg_stat_statements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: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семплирование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6.41. Поддерживать оптимизацию работы команды ANALYZE для широких таблиц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6.42. Наличие оптимизации для запросов с дизъюнкцией подзапросов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6.43. Наличие параметра, позволяющего ускорять выполнение запросов с различными типами сканирования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6.44. Наличие параметра для управления точностью статистики временных таблиц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>6.45. Наличие поддержки параллельного выполнения запросов, с помощью которой параллелизм доступен при записи результатов во временные таблицы, а также в запросах, читающих данные из временных таблиц в секции SELECT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6.46. Возможность отключать сбор статистики по временным таблицам в глобальную хэш-таблицу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pg_stat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6.47. Наличие увеличенной длины очереди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инвалидационных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сообщений 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MAXNUMMESSAGES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br/>
              <w:t xml:space="preserve">6.48. Наличие улучшенного алгоритма вычисления селективности для полей в условиях JOIN, позволяющего не приводить к росту накладных расходов при увеличении значения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default_statistics_target</w:t>
            </w:r>
            <w:proofErr w:type="spellEnd"/>
          </w:p>
        </w:tc>
        <w:tc>
          <w:tcPr>
            <w:tcW w:w="27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widowControl/>
              <w:spacing w:after="120"/>
              <w:jc w:val="left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Требования установлены в связи с необходимостью обеспечения работы СУБД в высоконагруженных средах с поддержкой двунаправленной логической репликации, парольных политик, неограниченного масштаба (TB/PB-таблицы, &gt;1600 столбцов/BLOB), оптимизированного сжатия (lz4/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zstd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/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pglz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), SIMD,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transaction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timeout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, DDL-репликации и продвинутого мониторинга (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pg_stat_statements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с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семплированием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) для минимизации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latency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и максимизации </w:t>
            </w:r>
            <w:proofErr w:type="spellStart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throughput</w:t>
            </w:r>
            <w:proofErr w:type="spellEnd"/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 xml:space="preserve"> в OLTP/OLAP-кластерах.</w:t>
            </w:r>
          </w:p>
        </w:tc>
      </w:tr>
      <w:tr w:rsidR="008F23A9">
        <w:tc>
          <w:tcPr>
            <w:tcW w:w="3057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spacing w:after="120"/>
              <w:jc w:val="left"/>
              <w:rPr>
                <w:sz w:val="24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7. Требования к обновлениям Тип 1 или технической поддержке</w:t>
            </w:r>
          </w:p>
        </w:tc>
        <w:tc>
          <w:tcPr>
            <w:tcW w:w="4426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>Срок предоставления обновлений или технической поддержки составляет 12 месяцев.</w:t>
            </w:r>
          </w:p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Порядок выпуска и предоставления обновлений или технической поддержки Продукта регламентируется в соответствии с настоящей Политикой (Положением), размещённой на сайте </w:t>
            </w:r>
            <w:proofErr w:type="spellStart"/>
            <w:r>
              <w:rPr>
                <w:sz w:val="24"/>
              </w:rPr>
              <w:t>Вендора</w:t>
            </w:r>
            <w:proofErr w:type="spellEnd"/>
            <w:r>
              <w:rPr>
                <w:sz w:val="24"/>
              </w:rPr>
              <w:t xml:space="preserve"> и в личном кабинете Пользователя.</w:t>
            </w:r>
          </w:p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>Обновления предоставляются в соответствии с настоящей Политикой, требованиями регуляторов в области безопасности информации и лицензионным (</w:t>
            </w:r>
            <w:proofErr w:type="spellStart"/>
            <w:r>
              <w:rPr>
                <w:sz w:val="24"/>
              </w:rPr>
              <w:t>сублицензионным</w:t>
            </w:r>
            <w:proofErr w:type="spellEnd"/>
            <w:r>
              <w:rPr>
                <w:sz w:val="24"/>
              </w:rPr>
              <w:t xml:space="preserve">) договором, заключенным между Пользователем и </w:t>
            </w:r>
            <w:proofErr w:type="spellStart"/>
            <w:r>
              <w:rPr>
                <w:sz w:val="24"/>
              </w:rPr>
              <w:t>Вендором</w:t>
            </w:r>
            <w:proofErr w:type="spellEnd"/>
            <w:r>
              <w:rPr>
                <w:sz w:val="24"/>
              </w:rPr>
              <w:t xml:space="preserve"> или партнером </w:t>
            </w:r>
            <w:proofErr w:type="spellStart"/>
            <w:r>
              <w:rPr>
                <w:sz w:val="24"/>
              </w:rPr>
              <w:t>Вендора</w:t>
            </w:r>
            <w:proofErr w:type="spellEnd"/>
            <w:r>
              <w:rPr>
                <w:sz w:val="24"/>
              </w:rPr>
              <w:t>. В случае расхождений условий предоставления обновлений по настоящей Политике и договору, применяются положения договора.</w:t>
            </w:r>
          </w:p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Информационно-справочная поддержка функционирования Продукта обеспечивается посредством использования телефонной связи, программных средств обмена сообщениями с Пользователями.</w:t>
            </w:r>
          </w:p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Прием обращений (далее - Запрос) осуществляется </w:t>
            </w:r>
            <w:proofErr w:type="spellStart"/>
            <w:r>
              <w:rPr>
                <w:sz w:val="24"/>
              </w:rPr>
              <w:t>Вендором</w:t>
            </w:r>
            <w:proofErr w:type="spellEnd"/>
            <w:r>
              <w:rPr>
                <w:sz w:val="24"/>
              </w:rPr>
              <w:t xml:space="preserve"> круглосуточно через Личный кабинет. Прием Запросов по телефону осуществляется по рабочим дням с 09:00 до 18:00.</w:t>
            </w:r>
          </w:p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Обновления (методические указания, пакеты и </w:t>
            </w:r>
            <w:proofErr w:type="spellStart"/>
            <w:r>
              <w:rPr>
                <w:sz w:val="24"/>
              </w:rPr>
              <w:t>iso</w:t>
            </w:r>
            <w:proofErr w:type="spellEnd"/>
            <w:r>
              <w:rPr>
                <w:sz w:val="24"/>
              </w:rPr>
              <w:t>-образы с пакетами) выпускаются в целях улучшения функциональных возможностей, соответствия требованиям по безопасности информации, предотвращения и устранения недостатков Продукта.</w:t>
            </w:r>
          </w:p>
          <w:p w:rsidR="008F23A9" w:rsidRDefault="00E304BF">
            <w:pPr>
              <w:pStyle w:val="Standard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Обновление или техническая поддержка </w:t>
            </w:r>
            <w:r>
              <w:rPr>
                <w:sz w:val="24"/>
              </w:rPr>
              <w:lastRenderedPageBreak/>
              <w:t>включает: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Доступ к минорным обновлениям Продукта;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Доступ к мажорным обновлениям Продукта;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 xml:space="preserve">Возможность перехода на актуальное обновление Продукта (при наличии активного </w:t>
            </w:r>
            <w:proofErr w:type="gramStart"/>
            <w:r w:rsidRPr="00572F0C">
              <w:rPr>
                <w:color w:val="000000"/>
                <w:sz w:val="24"/>
              </w:rPr>
              <w:t>Сертификата)¹</w:t>
            </w:r>
            <w:proofErr w:type="gramEnd"/>
            <w:r w:rsidRPr="00572F0C">
              <w:rPr>
                <w:color w:val="000000"/>
                <w:sz w:val="24"/>
              </w:rPr>
              <w:t>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Регистрация ошибок, Предложений и отслеживание их статуса через Вендора²;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Информационная поддержка по установке Продукта;</w:t>
            </w:r>
          </w:p>
          <w:p w:rsidR="008F23A9" w:rsidRPr="00572F0C" w:rsidRDefault="00E304BF" w:rsidP="00572F0C">
            <w:pPr>
              <w:pStyle w:val="Standard"/>
              <w:numPr>
                <w:ilvl w:val="0"/>
                <w:numId w:val="14"/>
              </w:numPr>
              <w:jc w:val="left"/>
              <w:rPr>
                <w:color w:val="000000"/>
                <w:sz w:val="24"/>
              </w:rPr>
            </w:pPr>
            <w:r w:rsidRPr="00572F0C">
              <w:rPr>
                <w:color w:val="000000"/>
                <w:sz w:val="24"/>
              </w:rPr>
              <w:t>Информационная поддержка по настройке Продукта.</w:t>
            </w:r>
          </w:p>
          <w:p w:rsidR="008F23A9" w:rsidRDefault="00E304BF">
            <w:pPr>
              <w:pStyle w:val="Standard"/>
              <w:jc w:val="lef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¹Переход на актуальное обновление Продукта (без перехода на новый Продукт, если иное не предусмотрено в отдельном договоре между Пользователем и </w:t>
            </w:r>
            <w:proofErr w:type="spellStart"/>
            <w:r>
              <w:rPr>
                <w:i/>
                <w:iCs/>
                <w:sz w:val="24"/>
              </w:rPr>
              <w:t>Вендором</w:t>
            </w:r>
            <w:proofErr w:type="spellEnd"/>
            <w:r>
              <w:rPr>
                <w:i/>
                <w:iCs/>
                <w:sz w:val="24"/>
              </w:rPr>
              <w:t xml:space="preserve"> или партнером </w:t>
            </w:r>
            <w:proofErr w:type="spellStart"/>
            <w:r>
              <w:rPr>
                <w:i/>
                <w:iCs/>
                <w:sz w:val="24"/>
              </w:rPr>
              <w:t>Вендора</w:t>
            </w:r>
            <w:proofErr w:type="spellEnd"/>
            <w:r>
              <w:rPr>
                <w:i/>
                <w:iCs/>
                <w:sz w:val="24"/>
              </w:rPr>
              <w:t>) доступен при наличии активного сертификата на обновление.</w:t>
            </w:r>
          </w:p>
          <w:p w:rsidR="008F23A9" w:rsidRDefault="00E304BF">
            <w:pPr>
              <w:pStyle w:val="Standard"/>
              <w:jc w:val="lef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²Регистрация ошибок и Предложений производится через Запрос в Личном кабинете.</w:t>
            </w:r>
          </w:p>
        </w:tc>
        <w:tc>
          <w:tcPr>
            <w:tcW w:w="2722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:rsidR="008F23A9" w:rsidRDefault="00E304BF">
            <w:pPr>
              <w:pStyle w:val="Standard"/>
              <w:spacing w:after="120"/>
              <w:jc w:val="left"/>
              <w:rPr>
                <w:sz w:val="24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lastRenderedPageBreak/>
              <w:t>Дополнительные характеристики установлены в связи с необходимостью обеспечения эффективного использования программного об</w:t>
            </w:r>
            <w:r w:rsidR="002F3389"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спечения, в том числе оперативного реагирования на инциденты и устранение технических неполадок.</w:t>
            </w:r>
          </w:p>
          <w:p w:rsidR="008F23A9" w:rsidRDefault="00E304BF" w:rsidP="002F3389">
            <w:pPr>
              <w:pStyle w:val="Standard"/>
              <w:spacing w:after="120"/>
              <w:jc w:val="left"/>
              <w:rPr>
                <w:sz w:val="24"/>
              </w:rPr>
            </w:pP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Данные требования не противоречат позиции КТРУ, а дополняют её в части обеспечения качества обслуживания и безопасности эксплуатации программного об</w:t>
            </w:r>
            <w:r w:rsidR="002F3389">
              <w:rPr>
                <w:rFonts w:eastAsia="Tahoma" w:cs="Noto Sans Devanagari"/>
                <w:color w:val="000000"/>
                <w:sz w:val="24"/>
                <w:lang w:eastAsia="zh-CN" w:bidi="hi-IN"/>
              </w:rPr>
              <w:t>е</w:t>
            </w:r>
            <w:r>
              <w:rPr>
                <w:rFonts w:eastAsia="Tahoma" w:cs="Noto Sans Devanagari"/>
                <w:color w:val="000000"/>
                <w:sz w:val="24"/>
                <w:lang w:eastAsia="zh-CN" w:bidi="hi-IN"/>
              </w:rPr>
              <w:t>спечения, что является критически важным для стабильной работы информационной инфраструктуры заказчика.</w:t>
            </w:r>
          </w:p>
        </w:tc>
      </w:tr>
    </w:tbl>
    <w:p w:rsidR="008F23A9" w:rsidRDefault="008F23A9">
      <w:pPr>
        <w:pStyle w:val="Standard"/>
        <w:jc w:val="both"/>
        <w:rPr>
          <w:sz w:val="24"/>
        </w:rPr>
      </w:pPr>
    </w:p>
    <w:p w:rsidR="008F23A9" w:rsidRDefault="008F23A9">
      <w:pPr>
        <w:pStyle w:val="Standard"/>
      </w:pPr>
    </w:p>
    <w:sectPr w:rsidR="008F23A9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D43" w:rsidRDefault="00540D43">
      <w:r>
        <w:separator/>
      </w:r>
    </w:p>
  </w:endnote>
  <w:endnote w:type="continuationSeparator" w:id="0">
    <w:p w:rsidR="00540D43" w:rsidRDefault="0054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BBE" w:rsidRDefault="00540D4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D43" w:rsidRDefault="00540D43">
      <w:r>
        <w:rPr>
          <w:color w:val="000000"/>
        </w:rPr>
        <w:separator/>
      </w:r>
    </w:p>
  </w:footnote>
  <w:footnote w:type="continuationSeparator" w:id="0">
    <w:p w:rsidR="00540D43" w:rsidRDefault="00540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BBE" w:rsidRDefault="00E304BF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4D6FEB">
      <w:rPr>
        <w:noProof/>
      </w:rPr>
      <w:t>17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412"/>
    <w:multiLevelType w:val="multilevel"/>
    <w:tmpl w:val="9FC4C0CA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 w15:restartNumberingAfterBreak="0">
    <w:nsid w:val="05357207"/>
    <w:multiLevelType w:val="multilevel"/>
    <w:tmpl w:val="6F66F7FE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2" w15:restartNumberingAfterBreak="0">
    <w:nsid w:val="078E1573"/>
    <w:multiLevelType w:val="multilevel"/>
    <w:tmpl w:val="0930B1D8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92D3652"/>
    <w:multiLevelType w:val="multilevel"/>
    <w:tmpl w:val="4D3A0726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9540E17"/>
    <w:multiLevelType w:val="multilevel"/>
    <w:tmpl w:val="729A1876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AB15CCF"/>
    <w:multiLevelType w:val="multilevel"/>
    <w:tmpl w:val="51E654F8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 w15:restartNumberingAfterBreak="0">
    <w:nsid w:val="0AC150F0"/>
    <w:multiLevelType w:val="multilevel"/>
    <w:tmpl w:val="ACFCA9A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FAC6551"/>
    <w:multiLevelType w:val="multilevel"/>
    <w:tmpl w:val="5C00DF64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04B50EB"/>
    <w:multiLevelType w:val="multilevel"/>
    <w:tmpl w:val="3DF0ADA0"/>
    <w:styleLink w:val="WWNum3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0571811"/>
    <w:multiLevelType w:val="multilevel"/>
    <w:tmpl w:val="E3F4CD52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0" w15:restartNumberingAfterBreak="0">
    <w:nsid w:val="12A03057"/>
    <w:multiLevelType w:val="multilevel"/>
    <w:tmpl w:val="835A91D2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5CC7478"/>
    <w:multiLevelType w:val="multilevel"/>
    <w:tmpl w:val="ECD2BDD6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AB7116C"/>
    <w:multiLevelType w:val="multilevel"/>
    <w:tmpl w:val="2B164C5E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3" w15:restartNumberingAfterBreak="0">
    <w:nsid w:val="1B3B6276"/>
    <w:multiLevelType w:val="multilevel"/>
    <w:tmpl w:val="38601F4A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CEB259B"/>
    <w:multiLevelType w:val="multilevel"/>
    <w:tmpl w:val="E3E0B6C6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D4C2E10"/>
    <w:multiLevelType w:val="multilevel"/>
    <w:tmpl w:val="D49027C0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1E764B8A"/>
    <w:multiLevelType w:val="multilevel"/>
    <w:tmpl w:val="7EBA27C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1FEC5F20"/>
    <w:multiLevelType w:val="multilevel"/>
    <w:tmpl w:val="5442C5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204248EE"/>
    <w:multiLevelType w:val="multilevel"/>
    <w:tmpl w:val="09BA68E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25544F3"/>
    <w:multiLevelType w:val="multilevel"/>
    <w:tmpl w:val="B2980B4E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20" w15:restartNumberingAfterBreak="0">
    <w:nsid w:val="24EF222B"/>
    <w:multiLevelType w:val="multilevel"/>
    <w:tmpl w:val="EA2662E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80C214D"/>
    <w:multiLevelType w:val="multilevel"/>
    <w:tmpl w:val="8DE06D04"/>
    <w:styleLink w:val="WWNum2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98D3D80"/>
    <w:multiLevelType w:val="multilevel"/>
    <w:tmpl w:val="493E4DF6"/>
    <w:styleLink w:val="WWNum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29D1612D"/>
    <w:multiLevelType w:val="multilevel"/>
    <w:tmpl w:val="936AAC3A"/>
    <w:styleLink w:val="WWNum4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2A0071A1"/>
    <w:multiLevelType w:val="multilevel"/>
    <w:tmpl w:val="ECE4AD1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2BEB1400"/>
    <w:multiLevelType w:val="multilevel"/>
    <w:tmpl w:val="CCA6BA92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2E286DC0"/>
    <w:multiLevelType w:val="multilevel"/>
    <w:tmpl w:val="7D98C7E2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1151F83"/>
    <w:multiLevelType w:val="multilevel"/>
    <w:tmpl w:val="4C604EA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28" w15:restartNumberingAfterBreak="0">
    <w:nsid w:val="32AA6024"/>
    <w:multiLevelType w:val="multilevel"/>
    <w:tmpl w:val="01D468FA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29" w15:restartNumberingAfterBreak="0">
    <w:nsid w:val="353B4EF6"/>
    <w:multiLevelType w:val="multilevel"/>
    <w:tmpl w:val="EFE4916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30" w15:restartNumberingAfterBreak="0">
    <w:nsid w:val="370E5329"/>
    <w:multiLevelType w:val="multilevel"/>
    <w:tmpl w:val="3800C57C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3F45019C"/>
    <w:multiLevelType w:val="multilevel"/>
    <w:tmpl w:val="D7961208"/>
    <w:styleLink w:val="WWNum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3FB3004A"/>
    <w:multiLevelType w:val="multilevel"/>
    <w:tmpl w:val="A05A45B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0F819A1"/>
    <w:multiLevelType w:val="multilevel"/>
    <w:tmpl w:val="DAB4BD52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2B97658"/>
    <w:multiLevelType w:val="multilevel"/>
    <w:tmpl w:val="A4E091FA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35" w15:restartNumberingAfterBreak="0">
    <w:nsid w:val="42F85B03"/>
    <w:multiLevelType w:val="multilevel"/>
    <w:tmpl w:val="AD40E1E0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36" w15:restartNumberingAfterBreak="0">
    <w:nsid w:val="43A67482"/>
    <w:multiLevelType w:val="multilevel"/>
    <w:tmpl w:val="DFDCB332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80C396D"/>
    <w:multiLevelType w:val="multilevel"/>
    <w:tmpl w:val="A822AA5C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4EFF5FF9"/>
    <w:multiLevelType w:val="multilevel"/>
    <w:tmpl w:val="5F04AE5E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4FD14FF9"/>
    <w:multiLevelType w:val="multilevel"/>
    <w:tmpl w:val="7842D690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40" w15:restartNumberingAfterBreak="0">
    <w:nsid w:val="50B43DEB"/>
    <w:multiLevelType w:val="multilevel"/>
    <w:tmpl w:val="48DED3C2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41" w15:restartNumberingAfterBreak="0">
    <w:nsid w:val="52A007BE"/>
    <w:multiLevelType w:val="multilevel"/>
    <w:tmpl w:val="5BF89410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8481407"/>
    <w:multiLevelType w:val="multilevel"/>
    <w:tmpl w:val="07B2BCA6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593C20F4"/>
    <w:multiLevelType w:val="multilevel"/>
    <w:tmpl w:val="B74A40AE"/>
    <w:styleLink w:val="WWNum3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F8410AD"/>
    <w:multiLevelType w:val="multilevel"/>
    <w:tmpl w:val="FF4C8D6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1386972"/>
    <w:multiLevelType w:val="multilevel"/>
    <w:tmpl w:val="18F01D9C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3435135"/>
    <w:multiLevelType w:val="multilevel"/>
    <w:tmpl w:val="38A20CF4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66437597"/>
    <w:multiLevelType w:val="multilevel"/>
    <w:tmpl w:val="E848ACC2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65069D9"/>
    <w:multiLevelType w:val="multilevel"/>
    <w:tmpl w:val="FFDEA98A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7643C25"/>
    <w:multiLevelType w:val="multilevel"/>
    <w:tmpl w:val="166CA5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0" w15:restartNumberingAfterBreak="0">
    <w:nsid w:val="686F4799"/>
    <w:multiLevelType w:val="multilevel"/>
    <w:tmpl w:val="F3629E00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6D4E204F"/>
    <w:multiLevelType w:val="multilevel"/>
    <w:tmpl w:val="5B8EC318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6D88447A"/>
    <w:multiLevelType w:val="multilevel"/>
    <w:tmpl w:val="932A5F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3" w15:restartNumberingAfterBreak="0">
    <w:nsid w:val="6E2F44FE"/>
    <w:multiLevelType w:val="multilevel"/>
    <w:tmpl w:val="EA00904A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 w15:restartNumberingAfterBreak="0">
    <w:nsid w:val="6E5928D4"/>
    <w:multiLevelType w:val="multilevel"/>
    <w:tmpl w:val="0E1E0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6E6A1A91"/>
    <w:multiLevelType w:val="multilevel"/>
    <w:tmpl w:val="D876DDF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 w15:restartNumberingAfterBreak="0">
    <w:nsid w:val="6F776528"/>
    <w:multiLevelType w:val="multilevel"/>
    <w:tmpl w:val="E1ECB4F2"/>
    <w:styleLink w:val="WWNum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10349CE"/>
    <w:multiLevelType w:val="multilevel"/>
    <w:tmpl w:val="45F2A7C4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 w15:restartNumberingAfterBreak="0">
    <w:nsid w:val="72822B6B"/>
    <w:multiLevelType w:val="multilevel"/>
    <w:tmpl w:val="E10AE92E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7F41A02"/>
    <w:multiLevelType w:val="multilevel"/>
    <w:tmpl w:val="0728E2B6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0" w15:restartNumberingAfterBreak="0">
    <w:nsid w:val="7A195D23"/>
    <w:multiLevelType w:val="multilevel"/>
    <w:tmpl w:val="938021BA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7BC334AB"/>
    <w:multiLevelType w:val="multilevel"/>
    <w:tmpl w:val="79E232B0"/>
    <w:styleLink w:val="WWNum3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9"/>
  </w:num>
  <w:num w:numId="3">
    <w:abstractNumId w:val="29"/>
  </w:num>
  <w:num w:numId="4">
    <w:abstractNumId w:val="27"/>
  </w:num>
  <w:num w:numId="5">
    <w:abstractNumId w:val="34"/>
  </w:num>
  <w:num w:numId="6">
    <w:abstractNumId w:val="39"/>
  </w:num>
  <w:num w:numId="7">
    <w:abstractNumId w:val="1"/>
  </w:num>
  <w:num w:numId="8">
    <w:abstractNumId w:val="28"/>
  </w:num>
  <w:num w:numId="9">
    <w:abstractNumId w:val="40"/>
  </w:num>
  <w:num w:numId="10">
    <w:abstractNumId w:val="12"/>
  </w:num>
  <w:num w:numId="11">
    <w:abstractNumId w:val="19"/>
  </w:num>
  <w:num w:numId="12">
    <w:abstractNumId w:val="0"/>
  </w:num>
  <w:num w:numId="13">
    <w:abstractNumId w:val="35"/>
  </w:num>
  <w:num w:numId="14">
    <w:abstractNumId w:val="55"/>
  </w:num>
  <w:num w:numId="15">
    <w:abstractNumId w:val="44"/>
  </w:num>
  <w:num w:numId="16">
    <w:abstractNumId w:val="24"/>
  </w:num>
  <w:num w:numId="17">
    <w:abstractNumId w:val="32"/>
  </w:num>
  <w:num w:numId="18">
    <w:abstractNumId w:val="20"/>
  </w:num>
  <w:num w:numId="19">
    <w:abstractNumId w:val="48"/>
  </w:num>
  <w:num w:numId="20">
    <w:abstractNumId w:val="42"/>
  </w:num>
  <w:num w:numId="21">
    <w:abstractNumId w:val="47"/>
  </w:num>
  <w:num w:numId="22">
    <w:abstractNumId w:val="14"/>
  </w:num>
  <w:num w:numId="23">
    <w:abstractNumId w:val="26"/>
  </w:num>
  <w:num w:numId="24">
    <w:abstractNumId w:val="41"/>
  </w:num>
  <w:num w:numId="25">
    <w:abstractNumId w:val="45"/>
  </w:num>
  <w:num w:numId="26">
    <w:abstractNumId w:val="25"/>
  </w:num>
  <w:num w:numId="27">
    <w:abstractNumId w:val="3"/>
  </w:num>
  <w:num w:numId="28">
    <w:abstractNumId w:val="33"/>
  </w:num>
  <w:num w:numId="29">
    <w:abstractNumId w:val="36"/>
  </w:num>
  <w:num w:numId="30">
    <w:abstractNumId w:val="4"/>
  </w:num>
  <w:num w:numId="31">
    <w:abstractNumId w:val="57"/>
  </w:num>
  <w:num w:numId="32">
    <w:abstractNumId w:val="38"/>
  </w:num>
  <w:num w:numId="33">
    <w:abstractNumId w:val="60"/>
  </w:num>
  <w:num w:numId="34">
    <w:abstractNumId w:val="10"/>
  </w:num>
  <w:num w:numId="35">
    <w:abstractNumId w:val="46"/>
  </w:num>
  <w:num w:numId="36">
    <w:abstractNumId w:val="13"/>
  </w:num>
  <w:num w:numId="37">
    <w:abstractNumId w:val="58"/>
  </w:num>
  <w:num w:numId="38">
    <w:abstractNumId w:val="11"/>
  </w:num>
  <w:num w:numId="39">
    <w:abstractNumId w:val="30"/>
  </w:num>
  <w:num w:numId="40">
    <w:abstractNumId w:val="51"/>
  </w:num>
  <w:num w:numId="41">
    <w:abstractNumId w:val="2"/>
  </w:num>
  <w:num w:numId="42">
    <w:abstractNumId w:val="21"/>
  </w:num>
  <w:num w:numId="43">
    <w:abstractNumId w:val="37"/>
  </w:num>
  <w:num w:numId="44">
    <w:abstractNumId w:val="7"/>
  </w:num>
  <w:num w:numId="45">
    <w:abstractNumId w:val="31"/>
  </w:num>
  <w:num w:numId="46">
    <w:abstractNumId w:val="8"/>
  </w:num>
  <w:num w:numId="47">
    <w:abstractNumId w:val="18"/>
  </w:num>
  <w:num w:numId="48">
    <w:abstractNumId w:val="43"/>
  </w:num>
  <w:num w:numId="49">
    <w:abstractNumId w:val="50"/>
  </w:num>
  <w:num w:numId="50">
    <w:abstractNumId w:val="61"/>
  </w:num>
  <w:num w:numId="51">
    <w:abstractNumId w:val="53"/>
  </w:num>
  <w:num w:numId="52">
    <w:abstractNumId w:val="59"/>
  </w:num>
  <w:num w:numId="53">
    <w:abstractNumId w:val="56"/>
  </w:num>
  <w:num w:numId="54">
    <w:abstractNumId w:val="15"/>
  </w:num>
  <w:num w:numId="55">
    <w:abstractNumId w:val="22"/>
  </w:num>
  <w:num w:numId="56">
    <w:abstractNumId w:val="23"/>
  </w:num>
  <w:num w:numId="57">
    <w:abstractNumId w:val="54"/>
  </w:num>
  <w:num w:numId="58">
    <w:abstractNumId w:val="16"/>
  </w:num>
  <w:num w:numId="59">
    <w:abstractNumId w:val="6"/>
  </w:num>
  <w:num w:numId="60">
    <w:abstractNumId w:val="55"/>
  </w:num>
  <w:num w:numId="61">
    <w:abstractNumId w:val="44"/>
  </w:num>
  <w:num w:numId="62">
    <w:abstractNumId w:val="24"/>
  </w:num>
  <w:num w:numId="63">
    <w:abstractNumId w:val="52"/>
  </w:num>
  <w:num w:numId="64">
    <w:abstractNumId w:val="17"/>
  </w:num>
  <w:num w:numId="65">
    <w:abstractNumId w:val="32"/>
  </w:num>
  <w:num w:numId="66">
    <w:abstractNumId w:val="20"/>
  </w:num>
  <w:num w:numId="67">
    <w:abstractNumId w:val="47"/>
  </w:num>
  <w:num w:numId="68">
    <w:abstractNumId w:val="41"/>
  </w:num>
  <w:num w:numId="69">
    <w:abstractNumId w:val="33"/>
  </w:num>
  <w:num w:numId="70">
    <w:abstractNumId w:val="38"/>
  </w:num>
  <w:num w:numId="71">
    <w:abstractNumId w:val="51"/>
  </w:num>
  <w:num w:numId="72">
    <w:abstractNumId w:val="37"/>
  </w:num>
  <w:num w:numId="73">
    <w:abstractNumId w:val="4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A9"/>
    <w:rsid w:val="00250511"/>
    <w:rsid w:val="002F3389"/>
    <w:rsid w:val="004D6FEB"/>
    <w:rsid w:val="00540D43"/>
    <w:rsid w:val="00572F0C"/>
    <w:rsid w:val="008F23A9"/>
    <w:rsid w:val="00A65935"/>
    <w:rsid w:val="00C2333B"/>
    <w:rsid w:val="00D66200"/>
    <w:rsid w:val="00E304BF"/>
    <w:rsid w:val="00F8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9A9F3-1113-4FDB-9D09-98B7738B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</w:style>
  <w:style w:type="character" w:customStyle="1" w:styleId="ListLabel351">
    <w:name w:val="ListLabel 351"/>
  </w:style>
  <w:style w:type="character" w:customStyle="1" w:styleId="ListLabel352">
    <w:name w:val="ListLabel 352"/>
  </w:style>
  <w:style w:type="character" w:customStyle="1" w:styleId="ListLabel353">
    <w:name w:val="ListLabel 353"/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</w:style>
  <w:style w:type="character" w:customStyle="1" w:styleId="ListLabel360">
    <w:name w:val="ListLabel 360"/>
  </w:style>
  <w:style w:type="character" w:customStyle="1" w:styleId="ListLabel361">
    <w:name w:val="ListLabel 361"/>
  </w:style>
  <w:style w:type="character" w:customStyle="1" w:styleId="ListLabel362">
    <w:name w:val="ListLabel 362"/>
  </w:style>
  <w:style w:type="character" w:customStyle="1" w:styleId="ListLabel363">
    <w:name w:val="ListLabel 363"/>
  </w:style>
  <w:style w:type="character" w:customStyle="1" w:styleId="ListLabel364">
    <w:name w:val="ListLabel 364"/>
  </w:style>
  <w:style w:type="character" w:customStyle="1" w:styleId="ListLabel365">
    <w:name w:val="ListLabel 365"/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</w:style>
  <w:style w:type="character" w:customStyle="1" w:styleId="ListLabel369">
    <w:name w:val="ListLabel 369"/>
  </w:style>
  <w:style w:type="character" w:customStyle="1" w:styleId="ListLabel370">
    <w:name w:val="ListLabel 370"/>
  </w:style>
  <w:style w:type="character" w:customStyle="1" w:styleId="ListLabel371">
    <w:name w:val="ListLabel 371"/>
  </w:style>
  <w:style w:type="character" w:customStyle="1" w:styleId="ListLabel372">
    <w:name w:val="ListLabel 372"/>
  </w:style>
  <w:style w:type="character" w:customStyle="1" w:styleId="ListLabel373">
    <w:name w:val="ListLabel 373"/>
  </w:style>
  <w:style w:type="character" w:customStyle="1" w:styleId="ListLabel374">
    <w:name w:val="ListLabel 374"/>
  </w:style>
  <w:style w:type="character" w:customStyle="1" w:styleId="ListLabel375">
    <w:name w:val="ListLabel 375"/>
  </w:style>
  <w:style w:type="character" w:customStyle="1" w:styleId="ListLabel376">
    <w:name w:val="ListLabel 376"/>
  </w:style>
  <w:style w:type="character" w:customStyle="1" w:styleId="ListLabel377">
    <w:name w:val="ListLabel 377"/>
  </w:style>
  <w:style w:type="character" w:customStyle="1" w:styleId="ListLabel378">
    <w:name w:val="ListLabel 378"/>
  </w:style>
  <w:style w:type="character" w:customStyle="1" w:styleId="ListLabel379">
    <w:name w:val="ListLabel 379"/>
  </w:style>
  <w:style w:type="character" w:customStyle="1" w:styleId="ListLabel380">
    <w:name w:val="ListLabel 380"/>
  </w:style>
  <w:style w:type="character" w:customStyle="1" w:styleId="ListLabel381">
    <w:name w:val="ListLabel 381"/>
  </w:style>
  <w:style w:type="character" w:customStyle="1" w:styleId="ListLabel382">
    <w:name w:val="ListLabel 382"/>
  </w:style>
  <w:style w:type="character" w:customStyle="1" w:styleId="ListLabel383">
    <w:name w:val="ListLabel 383"/>
  </w:style>
  <w:style w:type="character" w:customStyle="1" w:styleId="ListLabel384">
    <w:name w:val="ListLabel 384"/>
  </w:style>
  <w:style w:type="character" w:customStyle="1" w:styleId="ListLabel385">
    <w:name w:val="ListLabel 385"/>
  </w:style>
  <w:style w:type="character" w:customStyle="1" w:styleId="ListLabel386">
    <w:name w:val="ListLabel 386"/>
  </w:style>
  <w:style w:type="character" w:customStyle="1" w:styleId="ListLabel387">
    <w:name w:val="ListLabel 387"/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  <w:style w:type="numbering" w:customStyle="1" w:styleId="WWNum1">
    <w:name w:val="WWNum1"/>
    <w:basedOn w:val="a4"/>
    <w:pPr>
      <w:numPr>
        <w:numId w:val="14"/>
      </w:numPr>
    </w:pPr>
  </w:style>
  <w:style w:type="numbering" w:customStyle="1" w:styleId="WWNum2">
    <w:name w:val="WWNum2"/>
    <w:basedOn w:val="a4"/>
    <w:pPr>
      <w:numPr>
        <w:numId w:val="15"/>
      </w:numPr>
    </w:pPr>
  </w:style>
  <w:style w:type="numbering" w:customStyle="1" w:styleId="WWNum3">
    <w:name w:val="WWNum3"/>
    <w:basedOn w:val="a4"/>
    <w:pPr>
      <w:numPr>
        <w:numId w:val="16"/>
      </w:numPr>
    </w:pPr>
  </w:style>
  <w:style w:type="numbering" w:customStyle="1" w:styleId="WWNum4">
    <w:name w:val="WWNum4"/>
    <w:basedOn w:val="a4"/>
    <w:pPr>
      <w:numPr>
        <w:numId w:val="17"/>
      </w:numPr>
    </w:pPr>
  </w:style>
  <w:style w:type="numbering" w:customStyle="1" w:styleId="WWNum5">
    <w:name w:val="WWNum5"/>
    <w:basedOn w:val="a4"/>
    <w:pPr>
      <w:numPr>
        <w:numId w:val="18"/>
      </w:numPr>
    </w:pPr>
  </w:style>
  <w:style w:type="numbering" w:customStyle="1" w:styleId="WWNum6">
    <w:name w:val="WWNum6"/>
    <w:basedOn w:val="a4"/>
    <w:pPr>
      <w:numPr>
        <w:numId w:val="19"/>
      </w:numPr>
    </w:pPr>
  </w:style>
  <w:style w:type="numbering" w:customStyle="1" w:styleId="WWNum7">
    <w:name w:val="WWNum7"/>
    <w:basedOn w:val="a4"/>
    <w:pPr>
      <w:numPr>
        <w:numId w:val="20"/>
      </w:numPr>
    </w:pPr>
  </w:style>
  <w:style w:type="numbering" w:customStyle="1" w:styleId="WWNum8">
    <w:name w:val="WWNum8"/>
    <w:basedOn w:val="a4"/>
    <w:pPr>
      <w:numPr>
        <w:numId w:val="21"/>
      </w:numPr>
    </w:pPr>
  </w:style>
  <w:style w:type="numbering" w:customStyle="1" w:styleId="WWNum9">
    <w:name w:val="WWNum9"/>
    <w:basedOn w:val="a4"/>
    <w:pPr>
      <w:numPr>
        <w:numId w:val="22"/>
      </w:numPr>
    </w:pPr>
  </w:style>
  <w:style w:type="numbering" w:customStyle="1" w:styleId="WWNum10">
    <w:name w:val="WWNum10"/>
    <w:basedOn w:val="a4"/>
    <w:pPr>
      <w:numPr>
        <w:numId w:val="23"/>
      </w:numPr>
    </w:pPr>
  </w:style>
  <w:style w:type="numbering" w:customStyle="1" w:styleId="WWNum11">
    <w:name w:val="WWNum11"/>
    <w:basedOn w:val="a4"/>
    <w:pPr>
      <w:numPr>
        <w:numId w:val="24"/>
      </w:numPr>
    </w:pPr>
  </w:style>
  <w:style w:type="numbering" w:customStyle="1" w:styleId="WWNum12">
    <w:name w:val="WWNum12"/>
    <w:basedOn w:val="a4"/>
    <w:pPr>
      <w:numPr>
        <w:numId w:val="25"/>
      </w:numPr>
    </w:pPr>
  </w:style>
  <w:style w:type="numbering" w:customStyle="1" w:styleId="WWNum13">
    <w:name w:val="WWNum13"/>
    <w:basedOn w:val="a4"/>
    <w:pPr>
      <w:numPr>
        <w:numId w:val="26"/>
      </w:numPr>
    </w:pPr>
  </w:style>
  <w:style w:type="numbering" w:customStyle="1" w:styleId="WWNum14">
    <w:name w:val="WWNum14"/>
    <w:basedOn w:val="a4"/>
    <w:pPr>
      <w:numPr>
        <w:numId w:val="27"/>
      </w:numPr>
    </w:pPr>
  </w:style>
  <w:style w:type="numbering" w:customStyle="1" w:styleId="WWNum15">
    <w:name w:val="WWNum15"/>
    <w:basedOn w:val="a4"/>
    <w:pPr>
      <w:numPr>
        <w:numId w:val="28"/>
      </w:numPr>
    </w:pPr>
  </w:style>
  <w:style w:type="numbering" w:customStyle="1" w:styleId="WWNum16">
    <w:name w:val="WWNum16"/>
    <w:basedOn w:val="a4"/>
    <w:pPr>
      <w:numPr>
        <w:numId w:val="29"/>
      </w:numPr>
    </w:pPr>
  </w:style>
  <w:style w:type="numbering" w:customStyle="1" w:styleId="WWNum17">
    <w:name w:val="WWNum17"/>
    <w:basedOn w:val="a4"/>
    <w:pPr>
      <w:numPr>
        <w:numId w:val="30"/>
      </w:numPr>
    </w:pPr>
  </w:style>
  <w:style w:type="numbering" w:customStyle="1" w:styleId="WWNum18">
    <w:name w:val="WWNum18"/>
    <w:basedOn w:val="a4"/>
    <w:pPr>
      <w:numPr>
        <w:numId w:val="31"/>
      </w:numPr>
    </w:pPr>
  </w:style>
  <w:style w:type="numbering" w:customStyle="1" w:styleId="WWNum19">
    <w:name w:val="WWNum19"/>
    <w:basedOn w:val="a4"/>
    <w:pPr>
      <w:numPr>
        <w:numId w:val="32"/>
      </w:numPr>
    </w:pPr>
  </w:style>
  <w:style w:type="numbering" w:customStyle="1" w:styleId="WWNum20">
    <w:name w:val="WWNum20"/>
    <w:basedOn w:val="a4"/>
    <w:pPr>
      <w:numPr>
        <w:numId w:val="33"/>
      </w:numPr>
    </w:pPr>
  </w:style>
  <w:style w:type="numbering" w:customStyle="1" w:styleId="WWNum21">
    <w:name w:val="WWNum21"/>
    <w:basedOn w:val="a4"/>
    <w:pPr>
      <w:numPr>
        <w:numId w:val="34"/>
      </w:numPr>
    </w:pPr>
  </w:style>
  <w:style w:type="numbering" w:customStyle="1" w:styleId="WWNum22">
    <w:name w:val="WWNum22"/>
    <w:basedOn w:val="a4"/>
    <w:pPr>
      <w:numPr>
        <w:numId w:val="35"/>
      </w:numPr>
    </w:pPr>
  </w:style>
  <w:style w:type="numbering" w:customStyle="1" w:styleId="WWNum23">
    <w:name w:val="WWNum23"/>
    <w:basedOn w:val="a4"/>
    <w:pPr>
      <w:numPr>
        <w:numId w:val="36"/>
      </w:numPr>
    </w:pPr>
  </w:style>
  <w:style w:type="numbering" w:customStyle="1" w:styleId="WWNum24">
    <w:name w:val="WWNum24"/>
    <w:basedOn w:val="a4"/>
    <w:pPr>
      <w:numPr>
        <w:numId w:val="37"/>
      </w:numPr>
    </w:pPr>
  </w:style>
  <w:style w:type="numbering" w:customStyle="1" w:styleId="WWNum25">
    <w:name w:val="WWNum25"/>
    <w:basedOn w:val="a4"/>
    <w:pPr>
      <w:numPr>
        <w:numId w:val="38"/>
      </w:numPr>
    </w:pPr>
  </w:style>
  <w:style w:type="numbering" w:customStyle="1" w:styleId="WWNum26">
    <w:name w:val="WWNum26"/>
    <w:basedOn w:val="a4"/>
    <w:pPr>
      <w:numPr>
        <w:numId w:val="39"/>
      </w:numPr>
    </w:pPr>
  </w:style>
  <w:style w:type="numbering" w:customStyle="1" w:styleId="WWNum27">
    <w:name w:val="WWNum27"/>
    <w:basedOn w:val="a4"/>
    <w:pPr>
      <w:numPr>
        <w:numId w:val="40"/>
      </w:numPr>
    </w:pPr>
  </w:style>
  <w:style w:type="numbering" w:customStyle="1" w:styleId="WWNum28">
    <w:name w:val="WWNum28"/>
    <w:basedOn w:val="a4"/>
    <w:pPr>
      <w:numPr>
        <w:numId w:val="41"/>
      </w:numPr>
    </w:pPr>
  </w:style>
  <w:style w:type="numbering" w:customStyle="1" w:styleId="WWNum29">
    <w:name w:val="WWNum29"/>
    <w:basedOn w:val="a4"/>
    <w:pPr>
      <w:numPr>
        <w:numId w:val="42"/>
      </w:numPr>
    </w:pPr>
  </w:style>
  <w:style w:type="numbering" w:customStyle="1" w:styleId="WWNum30">
    <w:name w:val="WWNum30"/>
    <w:basedOn w:val="a4"/>
    <w:pPr>
      <w:numPr>
        <w:numId w:val="43"/>
      </w:numPr>
    </w:pPr>
  </w:style>
  <w:style w:type="numbering" w:customStyle="1" w:styleId="WWNum31">
    <w:name w:val="WWNum31"/>
    <w:basedOn w:val="a4"/>
    <w:pPr>
      <w:numPr>
        <w:numId w:val="44"/>
      </w:numPr>
    </w:pPr>
  </w:style>
  <w:style w:type="numbering" w:customStyle="1" w:styleId="WWNum32">
    <w:name w:val="WWNum32"/>
    <w:basedOn w:val="a4"/>
    <w:pPr>
      <w:numPr>
        <w:numId w:val="45"/>
      </w:numPr>
    </w:pPr>
  </w:style>
  <w:style w:type="numbering" w:customStyle="1" w:styleId="WWNum33">
    <w:name w:val="WWNum33"/>
    <w:basedOn w:val="a4"/>
    <w:pPr>
      <w:numPr>
        <w:numId w:val="46"/>
      </w:numPr>
    </w:pPr>
  </w:style>
  <w:style w:type="numbering" w:customStyle="1" w:styleId="WWNum34">
    <w:name w:val="WWNum34"/>
    <w:basedOn w:val="a4"/>
    <w:pPr>
      <w:numPr>
        <w:numId w:val="47"/>
      </w:numPr>
    </w:pPr>
  </w:style>
  <w:style w:type="numbering" w:customStyle="1" w:styleId="WWNum35">
    <w:name w:val="WWNum35"/>
    <w:basedOn w:val="a4"/>
    <w:pPr>
      <w:numPr>
        <w:numId w:val="48"/>
      </w:numPr>
    </w:pPr>
  </w:style>
  <w:style w:type="numbering" w:customStyle="1" w:styleId="WWNum36">
    <w:name w:val="WWNum36"/>
    <w:basedOn w:val="a4"/>
    <w:pPr>
      <w:numPr>
        <w:numId w:val="49"/>
      </w:numPr>
    </w:pPr>
  </w:style>
  <w:style w:type="numbering" w:customStyle="1" w:styleId="WWNum37">
    <w:name w:val="WWNum37"/>
    <w:basedOn w:val="a4"/>
    <w:pPr>
      <w:numPr>
        <w:numId w:val="50"/>
      </w:numPr>
    </w:pPr>
  </w:style>
  <w:style w:type="numbering" w:customStyle="1" w:styleId="WWNum38">
    <w:name w:val="WWNum38"/>
    <w:basedOn w:val="a4"/>
    <w:pPr>
      <w:numPr>
        <w:numId w:val="51"/>
      </w:numPr>
    </w:pPr>
  </w:style>
  <w:style w:type="numbering" w:customStyle="1" w:styleId="WWNum39">
    <w:name w:val="WWNum39"/>
    <w:basedOn w:val="a4"/>
    <w:pPr>
      <w:numPr>
        <w:numId w:val="52"/>
      </w:numPr>
    </w:pPr>
  </w:style>
  <w:style w:type="numbering" w:customStyle="1" w:styleId="WWNum40">
    <w:name w:val="WWNum40"/>
    <w:basedOn w:val="a4"/>
    <w:pPr>
      <w:numPr>
        <w:numId w:val="53"/>
      </w:numPr>
    </w:pPr>
  </w:style>
  <w:style w:type="numbering" w:customStyle="1" w:styleId="WWNum41">
    <w:name w:val="WWNum41"/>
    <w:basedOn w:val="a4"/>
    <w:pPr>
      <w:numPr>
        <w:numId w:val="54"/>
      </w:numPr>
    </w:pPr>
  </w:style>
  <w:style w:type="numbering" w:customStyle="1" w:styleId="WWNum42">
    <w:name w:val="WWNum42"/>
    <w:basedOn w:val="a4"/>
    <w:pPr>
      <w:numPr>
        <w:numId w:val="55"/>
      </w:numPr>
    </w:pPr>
  </w:style>
  <w:style w:type="numbering" w:customStyle="1" w:styleId="WWNum43">
    <w:name w:val="WWNum43"/>
    <w:basedOn w:val="a4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4291</Words>
  <Characters>24461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Александр Кеминов</dc:creator>
  <cp:lastModifiedBy>Сергей Рудский</cp:lastModifiedBy>
  <cp:revision>4</cp:revision>
  <dcterms:created xsi:type="dcterms:W3CDTF">2026-08-12T10:50:00Z</dcterms:created>
  <dcterms:modified xsi:type="dcterms:W3CDTF">2026-08-12T11:38:00Z</dcterms:modified>
</cp:coreProperties>
</file>