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D27A" w14:textId="77777777" w:rsidR="000925F7" w:rsidRDefault="000925F7" w:rsidP="000925F7">
      <w:pPr>
        <w:widowControl w:val="0"/>
        <w:tabs>
          <w:tab w:val="left" w:pos="993"/>
        </w:tabs>
        <w:autoSpaceDE w:val="0"/>
        <w:autoSpaceDN w:val="0"/>
        <w:adjustRightInd w:val="0"/>
        <w:spacing w:line="19" w:lineRule="atLeast"/>
        <w:jc w:val="center"/>
        <w:rPr>
          <w:rFonts w:eastAsia="Calibri"/>
          <w:b/>
          <w:sz w:val="28"/>
          <w:szCs w:val="28"/>
        </w:rPr>
      </w:pPr>
      <w:r>
        <w:rPr>
          <w:rFonts w:eastAsia="Calibri"/>
          <w:b/>
          <w:sz w:val="28"/>
          <w:szCs w:val="28"/>
        </w:rPr>
        <w:t>Техническое задание</w:t>
      </w:r>
    </w:p>
    <w:p w14:paraId="084451A3" w14:textId="77777777" w:rsidR="000925F7" w:rsidRDefault="000925F7" w:rsidP="000925F7">
      <w:pPr>
        <w:widowControl w:val="0"/>
        <w:tabs>
          <w:tab w:val="left" w:pos="993"/>
        </w:tabs>
        <w:autoSpaceDE w:val="0"/>
        <w:autoSpaceDN w:val="0"/>
        <w:adjustRightInd w:val="0"/>
        <w:ind w:firstLine="993"/>
        <w:jc w:val="both"/>
        <w:rPr>
          <w:rFonts w:eastAsia="Calibri"/>
          <w:sz w:val="22"/>
          <w:szCs w:val="22"/>
        </w:rPr>
      </w:pPr>
      <w:r>
        <w:rPr>
          <w:rFonts w:eastAsia="Calibri"/>
          <w:b/>
          <w:sz w:val="22"/>
          <w:szCs w:val="22"/>
        </w:rPr>
        <w:t xml:space="preserve">Наименование объекта закупки: </w:t>
      </w:r>
      <w:r>
        <w:rPr>
          <w:rFonts w:eastAsia="Calibri"/>
          <w:sz w:val="22"/>
          <w:szCs w:val="22"/>
        </w:rPr>
        <w:t xml:space="preserve">поставка продуктов питания. </w:t>
      </w:r>
    </w:p>
    <w:p w14:paraId="3FFCA059" w14:textId="54C93DDB" w:rsidR="000925F7" w:rsidRDefault="000925F7" w:rsidP="000925F7">
      <w:pPr>
        <w:spacing w:line="19" w:lineRule="atLeast"/>
        <w:ind w:firstLine="993"/>
        <w:jc w:val="both"/>
      </w:pPr>
      <w:r>
        <w:rPr>
          <w:b/>
          <w:bCs/>
        </w:rPr>
        <w:t>Срок поставки товара</w:t>
      </w:r>
      <w:r>
        <w:rPr>
          <w:b/>
        </w:rPr>
        <w:t xml:space="preserve">: </w:t>
      </w:r>
      <w:r>
        <w:t>Поставка осуществляется по заявкам Заказчика в течение 1 (одного) календарного дня с момента получение заявки, по адресу:</w:t>
      </w:r>
      <w:r w:rsidR="00E02705">
        <w:t xml:space="preserve"> Приозерский район, залив </w:t>
      </w:r>
      <w:proofErr w:type="gramStart"/>
      <w:r w:rsidR="00E02705">
        <w:t>Сенной  строение</w:t>
      </w:r>
      <w:proofErr w:type="gramEnd"/>
      <w:r w:rsidR="00E02705">
        <w:t xml:space="preserve"> 1</w:t>
      </w:r>
      <w:r>
        <w:t xml:space="preserve"> </w:t>
      </w:r>
      <w:r w:rsidR="00E02705">
        <w:t xml:space="preserve"> </w:t>
      </w:r>
      <w:r>
        <w:t>, с момента заключения Договора и до 01.09.202</w:t>
      </w:r>
      <w:r w:rsidR="00E02705">
        <w:t>6</w:t>
      </w:r>
      <w:r>
        <w:t xml:space="preserve">г. </w:t>
      </w:r>
    </w:p>
    <w:p w14:paraId="59A050C5" w14:textId="77777777" w:rsidR="000925F7" w:rsidRDefault="000925F7" w:rsidP="000925F7">
      <w:pPr>
        <w:jc w:val="both"/>
      </w:pPr>
      <w:r>
        <w:rPr>
          <w:b/>
          <w:bCs/>
        </w:rPr>
        <w:t xml:space="preserve"> </w:t>
      </w:r>
      <w:r>
        <w:t xml:space="preserve"> </w:t>
      </w:r>
      <w:r>
        <w:rPr>
          <w:b/>
          <w:bCs/>
        </w:rPr>
        <w:t>Требования к разгрузке товара</w:t>
      </w:r>
      <w:r>
        <w:t xml:space="preserve">: Поставщик должен обеспечить своими силами погрузку и разгрузку поставленного товара. Уборка и вывоз упаковки (мусора) производится силами Поставщика (или за его счет). Каждая поставка товаров сопровождается полным пакетом документов, цены в которых включают все налоги, сборы и другие обязательные платежи, а также сертификаты, ветеринарная справка и удостоверения качества. </w:t>
      </w:r>
    </w:p>
    <w:p w14:paraId="7647789E" w14:textId="77777777" w:rsidR="000925F7" w:rsidRDefault="000925F7" w:rsidP="000925F7">
      <w:pPr>
        <w:jc w:val="both"/>
      </w:pPr>
      <w:r>
        <w:rPr>
          <w:b/>
          <w:bCs/>
        </w:rPr>
        <w:t>Требования к упаковке</w:t>
      </w:r>
      <w:r>
        <w:t xml:space="preserve">: Весь товар при отгрузке должен быть надлежащим образом упакован: упаковка должна предохранять товар от порчи во время транспортировки, перегрузки и хранения в обычных условиях в соответствии с нормативными актами Российской Федерации: товар передается Заказчику в упаковке (таре) в соответствии с санитарными правилами и нормами СанПин 2.3.2.560-960, а также требованиям государственных стандартов. </w:t>
      </w:r>
    </w:p>
    <w:p w14:paraId="2EEB4A8C" w14:textId="77777777" w:rsidR="000925F7" w:rsidRDefault="000925F7" w:rsidP="000925F7">
      <w:pPr>
        <w:jc w:val="both"/>
      </w:pPr>
      <w:r>
        <w:t>Целостность упаковки не должна быть нарушена, картонные коробки не должны иметь следов подтёков. Дата производства, срок хранения и вес должны быть указаны на упаковке, хорошо читаться. В противном случае Заказчик вправе отказаться от партии товара, не удовлетворяющего условиям, приведённым выше, а Поставщик обязан предоставить замену надлежащего качества, в течение суток с момента отказа Заказчика.</w:t>
      </w:r>
    </w:p>
    <w:p w14:paraId="1397AE29" w14:textId="77777777" w:rsidR="000925F7" w:rsidRDefault="000925F7" w:rsidP="000925F7">
      <w:pPr>
        <w:jc w:val="both"/>
      </w:pPr>
      <w:r>
        <w:rPr>
          <w:b/>
          <w:bCs/>
        </w:rPr>
        <w:t>Требования к маркировке</w:t>
      </w:r>
      <w:r>
        <w:t>: Каждая упаковка должна иметь следующую маркировку: наименование и местонахождение изготовителя Товара; товарный знак Изготовителя (при его наличии); дата изготовления и срок хранения; количество единиц Товара, приходящееся на одно место; вес брутто; вес нетто; нормативный документ, в соответствии с которым изготовлена или может быть идентифицирован товар.</w:t>
      </w:r>
    </w:p>
    <w:p w14:paraId="3D011171" w14:textId="77777777" w:rsidR="000925F7" w:rsidRDefault="000925F7" w:rsidP="000925F7">
      <w:pPr>
        <w:jc w:val="both"/>
      </w:pPr>
      <w:r>
        <w:rPr>
          <w:b/>
          <w:bCs/>
        </w:rPr>
        <w:t>Требования в отношении подтверждения соответствия</w:t>
      </w:r>
      <w:r>
        <w:t>: Все поставляемые продукты питания должны соответствовать действующим ГОСТам, должны быть зарегистрированы и разрешены к использованию на территории РФ Качество и безопасность продуктов питания должны подтверждаться официальными документами: сертификатами соответствия, декларациями соответствия, удостоверениями качества и безопасности пищевых продуктов, протоколами об отсутствии ГМО и другими необходимыми документами</w:t>
      </w:r>
    </w:p>
    <w:p w14:paraId="6D06FEE1" w14:textId="77777777" w:rsidR="000925F7" w:rsidRDefault="000925F7" w:rsidP="000925F7">
      <w:pPr>
        <w:jc w:val="both"/>
      </w:pPr>
      <w:r>
        <w:rPr>
          <w:b/>
          <w:bCs/>
        </w:rPr>
        <w:t>Требования к гарантийному сроку товара, работы, услуги</w:t>
      </w:r>
      <w:r>
        <w:t>: Остаточный срок годности товара должен составлять не менее 80% срока годности на день поставки.</w:t>
      </w:r>
    </w:p>
    <w:p w14:paraId="406CEDFB" w14:textId="77777777" w:rsidR="000925F7" w:rsidRDefault="000925F7" w:rsidP="000925F7">
      <w:pPr>
        <w:widowControl w:val="0"/>
        <w:jc w:val="both"/>
        <w:rPr>
          <w:sz w:val="22"/>
          <w:szCs w:val="22"/>
        </w:rPr>
      </w:pPr>
      <w:r>
        <w:rPr>
          <w:b/>
          <w:sz w:val="22"/>
          <w:szCs w:val="22"/>
        </w:rPr>
        <w:t>Условия оплаты:</w:t>
      </w:r>
      <w:r>
        <w:rPr>
          <w:sz w:val="22"/>
          <w:szCs w:val="22"/>
        </w:rPr>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w:t>
      </w:r>
      <w:proofErr w:type="gramStart"/>
      <w:r>
        <w:rPr>
          <w:sz w:val="22"/>
          <w:szCs w:val="22"/>
        </w:rPr>
        <w:t>7  (</w:t>
      </w:r>
      <w:proofErr w:type="gramEnd"/>
      <w:r>
        <w:rPr>
          <w:sz w:val="22"/>
          <w:szCs w:val="22"/>
        </w:rPr>
        <w:t>семи) дней с момента подписания Акта сдачи-приемки товара.</w:t>
      </w:r>
    </w:p>
    <w:p w14:paraId="2DF293EC" w14:textId="77777777" w:rsidR="000925F7" w:rsidRDefault="000925F7" w:rsidP="000925F7">
      <w:pPr>
        <w:ind w:firstLine="708"/>
        <w:jc w:val="both"/>
        <w:rPr>
          <w:sz w:val="22"/>
          <w:szCs w:val="22"/>
        </w:rPr>
      </w:pPr>
      <w:r>
        <w:rPr>
          <w:sz w:val="22"/>
          <w:szCs w:val="22"/>
          <w:highlight w:val="yellow"/>
        </w:rPr>
        <w:t>В стоимость товара, включены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sz w:val="22"/>
          <w:szCs w:val="22"/>
        </w:rPr>
        <w:t xml:space="preserve"> </w:t>
      </w:r>
    </w:p>
    <w:p w14:paraId="4E218120" w14:textId="77777777" w:rsidR="000925F7" w:rsidRDefault="000925F7" w:rsidP="000925F7">
      <w:pPr>
        <w:ind w:firstLine="708"/>
        <w:jc w:val="both"/>
        <w:rPr>
          <w:color w:val="000000" w:themeColor="text1"/>
          <w:sz w:val="22"/>
          <w:szCs w:val="22"/>
        </w:rPr>
      </w:pPr>
      <w:r>
        <w:rPr>
          <w:color w:val="000000" w:themeColor="text1"/>
          <w:sz w:val="22"/>
          <w:szCs w:val="22"/>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Договора в одностороннем порядке (</w:t>
      </w:r>
      <w:proofErr w:type="spellStart"/>
      <w:r>
        <w:rPr>
          <w:color w:val="000000" w:themeColor="text1"/>
          <w:sz w:val="22"/>
          <w:szCs w:val="22"/>
          <w:shd w:val="clear" w:color="auto" w:fill="FFFFFF"/>
        </w:rPr>
        <w:t>абз</w:t>
      </w:r>
      <w:proofErr w:type="spellEnd"/>
      <w:r>
        <w:rPr>
          <w:color w:val="000000" w:themeColor="text1"/>
          <w:sz w:val="22"/>
          <w:szCs w:val="22"/>
          <w:shd w:val="clear" w:color="auto" w:fill="FFFFFF"/>
        </w:rPr>
        <w:t>. 2 п. 2 ст. 457, ст. 523 ГК РФ)</w:t>
      </w:r>
    </w:p>
    <w:p w14:paraId="766391E5" w14:textId="77777777" w:rsidR="000925F7" w:rsidRDefault="000925F7" w:rsidP="000925F7">
      <w:pPr>
        <w:widowControl w:val="0"/>
        <w:snapToGrid w:val="0"/>
        <w:ind w:right="-143" w:firstLine="709"/>
        <w:jc w:val="both"/>
        <w:rPr>
          <w:rFonts w:eastAsia="Batang"/>
          <w:sz w:val="22"/>
          <w:szCs w:val="22"/>
          <w:lang w:eastAsia="zh-CN"/>
        </w:rPr>
      </w:pPr>
      <w:r>
        <w:rPr>
          <w:rFonts w:eastAsia="Batang"/>
          <w:b/>
          <w:sz w:val="22"/>
          <w:szCs w:val="22"/>
          <w:lang w:eastAsia="zh-CN"/>
        </w:rPr>
        <w:t>Ответственност</w:t>
      </w:r>
      <w:r>
        <w:rPr>
          <w:rFonts w:eastAsia="Batang"/>
          <w:sz w:val="22"/>
          <w:szCs w:val="22"/>
          <w:lang w:eastAsia="zh-CN"/>
        </w:rPr>
        <w:t xml:space="preserve">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w:t>
      </w:r>
      <w:r>
        <w:rPr>
          <w:rFonts w:eastAsia="Batang"/>
          <w:sz w:val="22"/>
          <w:szCs w:val="22"/>
          <w:lang w:eastAsia="zh-CN"/>
        </w:rPr>
        <w:lastRenderedPageBreak/>
        <w:t>ключевой ставки Центрального банка Российской Федерации от цены Контрактом.</w:t>
      </w:r>
    </w:p>
    <w:p w14:paraId="64E10642" w14:textId="77777777" w:rsidR="000925F7" w:rsidRDefault="000925F7" w:rsidP="000925F7">
      <w:pPr>
        <w:ind w:firstLine="708"/>
        <w:jc w:val="both"/>
        <w:rPr>
          <w:rFonts w:eastAsia="Batang"/>
          <w:sz w:val="22"/>
          <w:szCs w:val="22"/>
          <w:lang w:eastAsia="zh-CN"/>
        </w:rPr>
      </w:pPr>
      <w:r>
        <w:rPr>
          <w:rFonts w:eastAsia="Batang"/>
          <w:sz w:val="22"/>
          <w:szCs w:val="22"/>
          <w:lang w:eastAsia="zh-CN"/>
        </w:rPr>
        <w:t>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w:t>
      </w:r>
    </w:p>
    <w:p w14:paraId="27BA0CC9" w14:textId="53449790" w:rsidR="002864BE" w:rsidRDefault="002864BE" w:rsidP="000925F7">
      <w:pPr>
        <w:ind w:firstLine="708"/>
        <w:jc w:val="both"/>
        <w:rPr>
          <w:rFonts w:eastAsia="Batang"/>
          <w:sz w:val="22"/>
          <w:szCs w:val="22"/>
          <w:lang w:eastAsia="zh-CN"/>
        </w:rPr>
      </w:pPr>
      <w:r>
        <w:rPr>
          <w:rFonts w:eastAsia="Batang"/>
          <w:sz w:val="22"/>
          <w:szCs w:val="22"/>
          <w:lang w:eastAsia="zh-CN"/>
        </w:rPr>
        <w:t>НМЦК</w:t>
      </w:r>
      <w:r w:rsidR="00E02705">
        <w:rPr>
          <w:rFonts w:ascii="Roboto" w:hAnsi="Roboto"/>
          <w:b/>
          <w:bCs/>
          <w:color w:val="334059"/>
          <w:sz w:val="21"/>
          <w:szCs w:val="21"/>
          <w:shd w:val="clear" w:color="auto" w:fill="FFFFFF"/>
        </w:rPr>
        <w:t>66 190,11</w:t>
      </w:r>
      <w:r>
        <w:rPr>
          <w:rFonts w:eastAsia="Batang"/>
          <w:sz w:val="22"/>
          <w:szCs w:val="22"/>
          <w:lang w:eastAsia="zh-CN"/>
        </w:rPr>
        <w:t>руб.</w:t>
      </w:r>
    </w:p>
    <w:p w14:paraId="09774F26" w14:textId="5EBBD031" w:rsidR="00E02705" w:rsidRDefault="00E02705" w:rsidP="000925F7">
      <w:pPr>
        <w:ind w:firstLine="708"/>
        <w:jc w:val="both"/>
        <w:rPr>
          <w:rFonts w:eastAsia="Batang"/>
          <w:sz w:val="22"/>
          <w:szCs w:val="22"/>
          <w:lang w:eastAsia="zh-CN"/>
        </w:rPr>
      </w:pPr>
      <w:r>
        <w:rPr>
          <w:rFonts w:eastAsia="Batang"/>
          <w:sz w:val="22"/>
          <w:szCs w:val="22"/>
          <w:lang w:eastAsia="zh-CN"/>
        </w:rPr>
        <w:t xml:space="preserve">Спецификация в соответствии со спецификацией </w:t>
      </w:r>
      <w:proofErr w:type="spellStart"/>
      <w:proofErr w:type="gramStart"/>
      <w:r>
        <w:rPr>
          <w:rFonts w:eastAsia="Batang"/>
          <w:sz w:val="22"/>
          <w:szCs w:val="22"/>
          <w:lang w:eastAsia="zh-CN"/>
        </w:rPr>
        <w:t>эл.контракта</w:t>
      </w:r>
      <w:proofErr w:type="spellEnd"/>
      <w:proofErr w:type="gramEnd"/>
    </w:p>
    <w:p w14:paraId="72F3F1F7" w14:textId="77777777" w:rsidR="000925F7" w:rsidRDefault="000925F7" w:rsidP="000925F7">
      <w:pPr>
        <w:ind w:firstLine="708"/>
        <w:jc w:val="both"/>
        <w:rPr>
          <w:rFonts w:eastAsia="Batang"/>
          <w:lang w:eastAsia="zh-CN"/>
        </w:rPr>
      </w:pPr>
    </w:p>
    <w:p w14:paraId="1396938F" w14:textId="77777777" w:rsidR="000925F7" w:rsidRDefault="000925F7" w:rsidP="000925F7">
      <w:pPr>
        <w:ind w:firstLine="708"/>
        <w:jc w:val="both"/>
        <w:rPr>
          <w:rFonts w:eastAsia="Batang"/>
          <w:b/>
          <w:lang w:eastAsia="zh-CN"/>
        </w:rPr>
      </w:pPr>
    </w:p>
    <w:p w14:paraId="18D02303" w14:textId="77777777" w:rsidR="000925F7" w:rsidRDefault="000925F7" w:rsidP="000925F7">
      <w:pPr>
        <w:rPr>
          <w:color w:val="000000" w:themeColor="text1"/>
        </w:rPr>
      </w:pPr>
      <w:r>
        <w:rPr>
          <w:color w:val="000000" w:themeColor="text1"/>
        </w:rPr>
        <w:t>Проректор по АХР и КБ _________________                   О.И. Рябчиков.</w:t>
      </w:r>
    </w:p>
    <w:p w14:paraId="03DBF639" w14:textId="77777777" w:rsidR="000925F7" w:rsidRDefault="000925F7" w:rsidP="000925F7"/>
    <w:p w14:paraId="28818ACD" w14:textId="77777777" w:rsidR="000925F7" w:rsidRDefault="000925F7" w:rsidP="000925F7"/>
    <w:p w14:paraId="0CB6A6C1" w14:textId="77777777" w:rsidR="000925F7" w:rsidRDefault="000925F7" w:rsidP="000925F7"/>
    <w:p w14:paraId="5627EA24" w14:textId="77777777" w:rsidR="00BE0CEF" w:rsidRDefault="00BE0CEF"/>
    <w:sectPr w:rsidR="00BE0CEF" w:rsidSect="00DC3E6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1B"/>
    <w:rsid w:val="000925F7"/>
    <w:rsid w:val="002864BE"/>
    <w:rsid w:val="005F164A"/>
    <w:rsid w:val="00933E1B"/>
    <w:rsid w:val="00A241C1"/>
    <w:rsid w:val="00BE0CEF"/>
    <w:rsid w:val="00C76645"/>
    <w:rsid w:val="00DC3E6E"/>
    <w:rsid w:val="00E02705"/>
    <w:rsid w:val="00E96F7C"/>
    <w:rsid w:val="00F5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8C76"/>
  <w15:chartTrackingRefBased/>
  <w15:docId w15:val="{345D188E-2159-4CC9-B02E-C023655F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5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1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 Рафиковна Дегтярева</cp:lastModifiedBy>
  <cp:revision>2</cp:revision>
  <dcterms:created xsi:type="dcterms:W3CDTF">2026-06-24T13:01:00Z</dcterms:created>
  <dcterms:modified xsi:type="dcterms:W3CDTF">2026-06-24T13:01:00Z</dcterms:modified>
</cp:coreProperties>
</file>