
<file path=[Content_Types].xml><?xml version="1.0" encoding="utf-8"?>
<Types xmlns="http://schemas.openxmlformats.org/package/2006/content-types">
  <Default Extension="svg" ContentType="image/svg+xml"/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W w:w="0" w:type="auto"/>
        <w:jc w:val="center"/>
        <w:tblInd w:w="0" w:type="dxa"/>
        <w:tblLayout w:type="autofit"/>
        <w:tblCellMar>
          <w:left w:w="108" w:type="dxa"/>
          <w:top w:w="0" w:type="dxa"/>
          <w:right w:w="108" w:type="dxa"/>
          <w:bottom w:w="0" w:type="dxa"/>
        </w:tblCellMar>
        <w:tblLook w:val="01E0" w:firstRow="1" w:lastRow="1" w:firstColumn="1" w:lastColumn="1" w:noHBand="0" w:noVBand="0"/>
      </w:tblPr>
      <w:tblGrid>
        <w:gridCol w:w="5012"/>
        <w:gridCol w:w="5012"/>
      </w:tblGrid>
      <w:tr>
        <w:tblPrEx/>
        <w:trPr>
          <w:trHeight w:val="1797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5012" w:type="dxa"/>
            <w:vAlign w:val="top"/>
            <w:textDirection w:val="lrTb"/>
            <w:noWrap w:val="false"/>
          </w:tcPr>
          <w:p>
            <w:pPr>
              <w:pStyle w:val="865"/>
              <w:jc w:val="center"/>
            </w:pPr>
            <w:r/>
            <w:r/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5012" w:type="dxa"/>
            <w:vAlign w:val="top"/>
            <w:textDirection w:val="lrTb"/>
            <w:noWrap w:val="false"/>
          </w:tcPr>
          <w:p>
            <w:pPr>
              <w:pStyle w:val="865"/>
              <w:jc w:val="center"/>
            </w:pPr>
            <w:r>
              <w:t xml:space="preserve">З</w:t>
            </w:r>
            <w:r>
              <w:t xml:space="preserve">аместител</w:t>
            </w:r>
            <w:r>
              <w:t xml:space="preserve">ю</w:t>
            </w:r>
            <w:r>
              <w:t xml:space="preserve"> р</w:t>
            </w:r>
            <w:r>
              <w:t xml:space="preserve">уководителя</w:t>
            </w:r>
            <w:r/>
          </w:p>
          <w:p>
            <w:pPr>
              <w:pStyle w:val="865"/>
              <w:jc w:val="center"/>
            </w:pPr>
            <w:r>
              <w:t xml:space="preserve">Управления Федеральной </w:t>
            </w:r>
            <w:r>
              <w:t xml:space="preserve">службы</w:t>
            </w:r>
            <w:r/>
          </w:p>
          <w:p>
            <w:pPr>
              <w:pStyle w:val="865"/>
              <w:jc w:val="center"/>
            </w:pPr>
            <w:r>
              <w:t xml:space="preserve">государственной регистрации, </w:t>
            </w:r>
            <w:r/>
          </w:p>
          <w:p>
            <w:pPr>
              <w:pStyle w:val="865"/>
              <w:jc w:val="center"/>
            </w:pPr>
            <w:r>
              <w:t xml:space="preserve">кадастра и картографии</w:t>
            </w:r>
            <w:r/>
          </w:p>
          <w:p>
            <w:pPr>
              <w:pStyle w:val="865"/>
              <w:jc w:val="center"/>
            </w:pPr>
            <w:r>
              <w:t xml:space="preserve">по Краснодарскому краю</w:t>
            </w:r>
            <w:r/>
          </w:p>
          <w:p>
            <w:pPr>
              <w:pStyle w:val="865"/>
              <w:jc w:val="center"/>
            </w:pPr>
            <w:r>
              <w:t xml:space="preserve">Кучман О.В.</w:t>
            </w:r>
            <w:r/>
          </w:p>
          <w:p>
            <w:pPr>
              <w:pStyle w:val="865"/>
              <w:jc w:val="center"/>
            </w:pPr>
            <w:r/>
            <w:r/>
          </w:p>
        </w:tc>
      </w:tr>
    </w:tbl>
    <w:p>
      <w:pPr>
        <w:pStyle w:val="865"/>
      </w:pPr>
      <w:r>
        <w:t xml:space="preserve">СЛУЖЕБНАЯ ЗАПИСКА</w:t>
      </w:r>
      <w:r/>
    </w:p>
    <w:p>
      <w:pPr>
        <w:pStyle w:val="865"/>
      </w:pPr>
      <w:r>
        <w:t xml:space="preserve">___________</w:t>
      </w:r>
      <w:r>
        <w:t xml:space="preserve">№_</w:t>
      </w:r>
      <w:r>
        <w:t xml:space="preserve">________</w:t>
      </w:r>
      <w:r/>
    </w:p>
    <w:p>
      <w:pPr>
        <w:pStyle w:val="865"/>
        <w:rPr>
          <w:sz w:val="20"/>
          <w:szCs w:val="20"/>
        </w:rPr>
      </w:pPr>
      <w:r>
        <w:rPr>
          <w:sz w:val="20"/>
          <w:szCs w:val="20"/>
        </w:rPr>
        <w:t xml:space="preserve">О согласовании цены </w:t>
      </w:r>
      <w:r>
        <w:rPr>
          <w:sz w:val="20"/>
          <w:szCs w:val="20"/>
        </w:rPr>
        <w:t xml:space="preserve">договора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865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8"/>
        <w:ind w:firstLine="709"/>
        <w:jc w:val="both"/>
        <w:spacing w:line="0" w:lineRule="atLeast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Прошу Вас сог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ласовать </w:t>
      </w:r>
      <w:r>
        <w:rPr>
          <w:rFonts w:ascii="Times New Roman" w:hAnsi="Times New Roman"/>
          <w:sz w:val="24"/>
          <w:szCs w:val="24"/>
        </w:rPr>
        <w:t xml:space="preserve">заключение </w:t>
      </w:r>
      <w:r>
        <w:rPr>
          <w:rFonts w:ascii="Times New Roman" w:hAnsi="Times New Roman"/>
          <w:sz w:val="24"/>
          <w:szCs w:val="24"/>
        </w:rPr>
        <w:t xml:space="preserve">договора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на </w:t>
      </w:r>
      <w:r>
        <w:rPr>
          <w:rFonts w:ascii="Times New Roman" w:hAnsi="Times New Roman"/>
          <w:b/>
          <w:sz w:val="24"/>
          <w:szCs w:val="24"/>
        </w:rPr>
        <w:t xml:space="preserve">оказание услуг по </w:t>
      </w:r>
      <w:r>
        <w:rPr>
          <w:rFonts w:ascii="Times New Roman" w:hAnsi="Times New Roman"/>
          <w:b/>
          <w:sz w:val="24"/>
          <w:szCs w:val="24"/>
        </w:rPr>
        <w:t xml:space="preserve">проверке технического состояния дымоходов и вентиляционных каналов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 w:eastAsia="Times New Roman"/>
          <w:b/>
          <w:sz w:val="24"/>
          <w:szCs w:val="24"/>
          <w:lang w:eastAsia="ru-RU"/>
        </w:rPr>
        <w:t xml:space="preserve">для нужд </w:t>
      </w:r>
      <w:r>
        <w:rPr>
          <w:rFonts w:ascii="Times New Roman" w:hAnsi="Times New Roman" w:eastAsia="Times New Roman"/>
          <w:b/>
          <w:sz w:val="24"/>
          <w:szCs w:val="24"/>
          <w:lang w:eastAsia="ru-RU"/>
        </w:rPr>
        <w:t xml:space="preserve">У</w:t>
      </w:r>
      <w:r>
        <w:rPr>
          <w:rFonts w:ascii="Times New Roman" w:hAnsi="Times New Roman" w:eastAsia="Times New Roman"/>
          <w:b/>
          <w:sz w:val="24"/>
          <w:szCs w:val="24"/>
          <w:lang w:eastAsia="ru-RU"/>
        </w:rPr>
        <w:t xml:space="preserve">правления Федеральной службы государственной регистрации, када</w:t>
      </w:r>
      <w:r>
        <w:rPr>
          <w:rFonts w:ascii="Times New Roman" w:hAnsi="Times New Roman" w:eastAsia="Times New Roman"/>
          <w:b/>
          <w:sz w:val="24"/>
          <w:szCs w:val="24"/>
          <w:lang w:eastAsia="ru-RU"/>
        </w:rPr>
        <w:t xml:space="preserve">стра и картографии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 </w:t>
        <w:br/>
      </w:r>
      <w:r>
        <w:rPr>
          <w:rFonts w:ascii="Times New Roman" w:hAnsi="Times New Roman"/>
          <w:b/>
          <w:sz w:val="24"/>
          <w:szCs w:val="24"/>
        </w:rPr>
        <w:t xml:space="preserve">(</w:t>
      </w:r>
      <w:r>
        <w:rPr>
          <w:rFonts w:ascii="Times New Roman" w:hAnsi="Times New Roman"/>
          <w:b/>
          <w:sz w:val="24"/>
          <w:szCs w:val="24"/>
        </w:rPr>
        <w:t xml:space="preserve">ст. Староминская, ул. Кольцовская, д. 25</w:t>
      </w:r>
      <w:r>
        <w:rPr>
          <w:rFonts w:ascii="Times New Roman" w:hAnsi="Times New Roman"/>
          <w:b/>
          <w:sz w:val="24"/>
          <w:szCs w:val="24"/>
        </w:rPr>
        <w:t xml:space="preserve">)</w:t>
      </w:r>
      <w:r>
        <w:rPr>
          <w:sz w:val="24"/>
          <w:szCs w:val="24"/>
        </w:rPr>
        <w:t xml:space="preserve"> 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на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основании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 п.4 ч.1 ст.93 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Федерального закона "О контрактной системе в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 сфере закупок товаров, работ, услуг для обеспечения государственных и муниципальных нужд" от 05.04.2013 N 44-ФЗ (Далее-ФЗ-44) - 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осуществление закупки товара, работы или услуги на сумму, не превышающую 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шестьсот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 тысяч рублей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. </w:t>
      </w:r>
      <w:r>
        <w:rPr>
          <w:rFonts w:ascii="Times New Roman" w:hAnsi="Times New Roman" w:eastAsia="Times New Roman"/>
          <w:sz w:val="24"/>
          <w:szCs w:val="24"/>
          <w:lang w:eastAsia="ru-RU"/>
        </w:rPr>
      </w:r>
      <w:r>
        <w:rPr>
          <w:rFonts w:ascii="Times New Roman" w:hAnsi="Times New Roman" w:eastAsia="Times New Roman"/>
          <w:sz w:val="24"/>
          <w:szCs w:val="24"/>
          <w:lang w:eastAsia="ru-RU"/>
        </w:rPr>
      </w:r>
    </w:p>
    <w:p>
      <w:pPr>
        <w:pStyle w:val="865"/>
        <w:ind w:firstLine="708"/>
        <w:jc w:val="both"/>
      </w:pPr>
      <w:r>
        <w:t xml:space="preserve">Начальная (максимальная) цена </w:t>
      </w:r>
      <w:r>
        <w:t xml:space="preserve">договора</w:t>
      </w:r>
      <w:r>
        <w:t xml:space="preserve"> рассчитана посредством применения метода сопоставимых рыночных цен (анализа рынка)  в соответствии с ч.1-6 ст. 22 Федерального закона от 05.04.2013 № 44-ФЗ «О контрактной системе в сфер</w:t>
      </w:r>
      <w:r>
        <w:t xml:space="preserve">е закупок товаров, работ, услуг для обеспечения государственных и муниципальных нужд», приказом Минэкономразвития России от 02.10.2013 №567 «Об утверждении Методических рекомендация по применению методов определения начальной (максимальной), Приложением № </w:t>
      </w:r>
      <w:r>
        <w:t xml:space="preserve">1</w:t>
      </w:r>
      <w:r>
        <w:t xml:space="preserve">5</w:t>
      </w:r>
      <w:r>
        <w:t xml:space="preserve">4</w:t>
      </w:r>
      <w:r>
        <w:t xml:space="preserve"> к Приложению к Приказу Росреестра от 29.12.2014 № П/651 «Об утверждении расчетно-нормативных затрат на обеспечение деятельности территориальных органов Федеральной службы государственной регистрации, кадастра и картографии» </w:t>
      </w:r>
      <w:r>
        <w:t xml:space="preserve">(</w:t>
      </w:r>
      <w:r>
        <w:t xml:space="preserve">С последними изменениями и дополнениями</w:t>
      </w:r>
      <w:r>
        <w:t xml:space="preserve">)</w:t>
      </w:r>
      <w:r>
        <w:t xml:space="preserve">.</w:t>
      </w:r>
      <w:r/>
    </w:p>
    <w:p>
      <w:pPr>
        <w:pStyle w:val="865"/>
        <w:ind w:firstLine="708"/>
        <w:jc w:val="both"/>
        <w:spacing w:line="0" w:lineRule="atLeast"/>
      </w:pPr>
      <w:r>
        <w:t xml:space="preserve">Согласно ч.5 ст.22 Федерального закона от 05.04.2013 № 44-ФЗ «О контрактной системе в сфере закупок товаров, работ, услуг для</w:t>
      </w:r>
      <w:r>
        <w:t xml:space="preserve"> обеспечения государственных и муниципальных нужд» и Приказа Минэкономразвития РФ от 02.10.2013 №567 «Об утверждении Методических рекомендаций по применению методов определения начальной (максимальной) цены контракта, цены контракта, заключаемого с единств</w:t>
      </w:r>
      <w:r>
        <w:t xml:space="preserve">енным поставщиком (подрядчиком, исполнителем)» СПУ-Заказчиком была изучена информация о стоимости закупаемых услуг в сети Интернет, направлены запросы о предоставлении ценовой информации исполнителям, обладающим опытом оказания планируемых к закупке услуг.</w:t>
      </w:r>
      <w:r/>
    </w:p>
    <w:p>
      <w:pPr>
        <w:pStyle w:val="865"/>
        <w:ind w:firstLine="708"/>
        <w:jc w:val="both"/>
        <w:spacing w:line="0" w:lineRule="atLeast"/>
      </w:pPr>
      <w:r>
        <w:t xml:space="preserve">При осуществлении мониторинга цен на </w:t>
      </w:r>
      <w:r>
        <w:t xml:space="preserve">выполнение работ</w:t>
      </w:r>
      <w:r>
        <w:t xml:space="preserve"> были использованы </w:t>
      </w:r>
      <w:r>
        <w:t xml:space="preserve">с</w:t>
      </w:r>
      <w:r>
        <w:t xml:space="preserve">ледующие источники:</w:t>
      </w:r>
      <w:r/>
    </w:p>
    <w:p>
      <w:pPr>
        <w:pStyle w:val="865"/>
        <w:numPr>
          <w:ilvl w:val="0"/>
          <w:numId w:val="16"/>
        </w:numPr>
        <w:spacing w:line="0" w:lineRule="atLeast"/>
      </w:pPr>
      <w:r>
        <w:t xml:space="preserve">Исполнитель №1 – Коммерческое предложение вх. № 71624/26</w:t>
      </w:r>
      <w:r>
        <w:t xml:space="preserve"> от 26</w:t>
      </w:r>
      <w:r>
        <w:t xml:space="preserve">.</w:t>
      </w:r>
      <w:r>
        <w:t xml:space="preserve">08</w:t>
      </w:r>
      <w:r>
        <w:t xml:space="preserve">.2026</w:t>
      </w:r>
      <w:r>
        <w:t xml:space="preserve">;</w:t>
      </w:r>
      <w:r/>
    </w:p>
    <w:p>
      <w:pPr>
        <w:pStyle w:val="865"/>
        <w:numPr>
          <w:ilvl w:val="0"/>
          <w:numId w:val="16"/>
        </w:numPr>
        <w:spacing w:line="0" w:lineRule="atLeast"/>
      </w:pPr>
      <w:r>
        <w:t xml:space="preserve">Исполнитель №2 – Коммерческое предложение </w:t>
      </w:r>
      <w:r>
        <w:t xml:space="preserve">вх. № 71630/26</w:t>
      </w:r>
      <w:r>
        <w:t xml:space="preserve"> </w:t>
      </w:r>
      <w:r>
        <w:t xml:space="preserve">от 26</w:t>
      </w:r>
      <w:r>
        <w:t xml:space="preserve">.</w:t>
      </w:r>
      <w:r>
        <w:t xml:space="preserve">08</w:t>
      </w:r>
      <w:r>
        <w:t xml:space="preserve">.2026</w:t>
      </w:r>
      <w:r>
        <w:t xml:space="preserve">;</w:t>
      </w:r>
      <w:r/>
    </w:p>
    <w:p>
      <w:pPr>
        <w:pStyle w:val="865"/>
        <w:numPr>
          <w:ilvl w:val="0"/>
          <w:numId w:val="16"/>
        </w:numPr>
        <w:spacing w:line="0" w:lineRule="atLeast"/>
      </w:pPr>
      <w:r>
        <w:t xml:space="preserve">Исполнитель №3 – Коммерческое предложение </w:t>
      </w:r>
      <w:r>
        <w:t xml:space="preserve">вх. № 71633/26</w:t>
      </w:r>
      <w:r>
        <w:t xml:space="preserve"> </w:t>
      </w:r>
      <w:r>
        <w:t xml:space="preserve">от 26</w:t>
      </w:r>
      <w:r>
        <w:t xml:space="preserve">.</w:t>
      </w:r>
      <w:r>
        <w:t xml:space="preserve">08</w:t>
      </w:r>
      <w:r>
        <w:t xml:space="preserve">.2026</w:t>
      </w:r>
      <w:r>
        <w:t xml:space="preserve">.</w:t>
      </w:r>
      <w:r/>
    </w:p>
    <w:p>
      <w:pPr>
        <w:pStyle w:val="865"/>
        <w:jc w:val="center"/>
        <w:spacing w:line="0" w:lineRule="atLeast"/>
      </w:pPr>
      <w:r/>
      <w:r/>
    </w:p>
    <w:p>
      <w:pPr>
        <w:pStyle w:val="865"/>
        <w:jc w:val="center"/>
        <w:spacing w:line="0" w:lineRule="atLeast"/>
      </w:pPr>
      <w:r>
        <w:t xml:space="preserve">Таблица. Мониторинг цен</w:t>
      </w:r>
      <w:r/>
    </w:p>
    <w:tbl>
      <w:tblPr>
        <w:tblpPr w:horzAnchor="margin" w:tblpX="-919" w:vertAnchor="text" w:tblpY="194" w:leftFromText="180" w:topFromText="0" w:rightFromText="180" w:bottomFromText="0"/>
        <w:tblW w:w="11231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390"/>
        <w:gridCol w:w="1628"/>
        <w:gridCol w:w="1276"/>
        <w:gridCol w:w="1276"/>
        <w:gridCol w:w="1276"/>
        <w:gridCol w:w="850"/>
        <w:gridCol w:w="1276"/>
        <w:gridCol w:w="1417"/>
        <w:gridCol w:w="1843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415"/>
        </w:trPr>
        <w:tc>
          <w:tcPr>
            <w:tcW w:w="390" w:type="dxa"/>
            <w:vAlign w:val="center"/>
            <w:vMerge w:val="restart"/>
            <w:textDirection w:val="lrTb"/>
            <w:noWrap w:val="false"/>
          </w:tcPr>
          <w:p>
            <w:pPr>
              <w:pStyle w:val="865"/>
              <w:jc w:val="center"/>
              <w:spacing w:line="0" w:lineRule="atLeast"/>
              <w:rPr>
                <w:b/>
                <w:sz w:val="16"/>
                <w:szCs w:val="16"/>
              </w:rPr>
              <w:framePr w:hSpace="180" w:wrap="around" w:vAnchor="text" w:hAnchor="margin" w:x="-919" w:y="194"/>
            </w:pPr>
            <w:r>
              <w:rPr>
                <w:b/>
                <w:sz w:val="16"/>
                <w:szCs w:val="16"/>
              </w:rPr>
              <w:t xml:space="preserve">№ п/п</w:t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</w:p>
        </w:tc>
        <w:tc>
          <w:tcPr>
            <w:tcW w:w="1628" w:type="dxa"/>
            <w:vAlign w:val="center"/>
            <w:vMerge w:val="restart"/>
            <w:textDirection w:val="lrTb"/>
            <w:noWrap w:val="false"/>
          </w:tcPr>
          <w:p>
            <w:pPr>
              <w:pStyle w:val="865"/>
              <w:jc w:val="center"/>
              <w:spacing w:line="0" w:lineRule="atLeast"/>
              <w:rPr>
                <w:b/>
                <w:sz w:val="16"/>
                <w:szCs w:val="16"/>
              </w:rPr>
              <w:framePr w:hSpace="180" w:wrap="around" w:vAnchor="text" w:hAnchor="margin" w:x="-919" w:y="194"/>
            </w:pPr>
            <w:r>
              <w:rPr>
                <w:b/>
                <w:sz w:val="16"/>
                <w:szCs w:val="16"/>
              </w:rPr>
              <w:t xml:space="preserve">Наименование услуги</w:t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</w:p>
        </w:tc>
        <w:tc>
          <w:tcPr>
            <w:gridSpan w:val="3"/>
            <w:tcW w:w="3827" w:type="dxa"/>
            <w:vAlign w:val="center"/>
            <w:textDirection w:val="lrTb"/>
            <w:noWrap w:val="false"/>
          </w:tcPr>
          <w:p>
            <w:pPr>
              <w:pStyle w:val="865"/>
              <w:jc w:val="center"/>
              <w:spacing w:line="0" w:lineRule="atLeast"/>
              <w:rPr>
                <w:b/>
                <w:sz w:val="16"/>
                <w:szCs w:val="16"/>
              </w:rPr>
              <w:framePr w:hSpace="180" w:wrap="around" w:vAnchor="text" w:hAnchor="margin" w:x="-919" w:y="194"/>
            </w:pPr>
            <w:r>
              <w:rPr>
                <w:b/>
                <w:sz w:val="16"/>
                <w:szCs w:val="16"/>
              </w:rPr>
              <w:t xml:space="preserve">Коммерческие предложения</w:t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</w:p>
        </w:tc>
        <w:tc>
          <w:tcPr>
            <w:tcW w:w="850" w:type="dxa"/>
            <w:vAlign w:val="center"/>
            <w:vMerge w:val="restart"/>
            <w:textDirection w:val="btLr"/>
            <w:noWrap w:val="false"/>
          </w:tcPr>
          <w:p>
            <w:pPr>
              <w:pStyle w:val="865"/>
              <w:ind w:left="113" w:right="113"/>
              <w:jc w:val="center"/>
              <w:rPr>
                <w:b/>
                <w:color w:val="000000"/>
                <w:sz w:val="14"/>
                <w:szCs w:val="20"/>
              </w:rPr>
            </w:pPr>
            <w:r>
              <w:rPr>
                <w:b/>
                <w:color w:val="000000"/>
                <w:sz w:val="14"/>
                <w:szCs w:val="20"/>
              </w:rPr>
              <w:t xml:space="preserve">Средняя цена, </w:t>
            </w:r>
            <w:r>
              <w:rPr>
                <w:b/>
                <w:color w:val="000000"/>
                <w:sz w:val="14"/>
                <w:szCs w:val="20"/>
              </w:rPr>
              <w:t xml:space="preserve"> руб. </w:t>
            </w:r>
            <w:r>
              <w:rPr>
                <w:b/>
                <w:color w:val="000000"/>
                <w:sz w:val="14"/>
                <w:szCs w:val="20"/>
              </w:rPr>
            </w:r>
            <w:r>
              <w:rPr>
                <w:b/>
                <w:color w:val="000000"/>
                <w:sz w:val="14"/>
                <w:szCs w:val="20"/>
              </w:rPr>
            </w:r>
          </w:p>
        </w:tc>
        <w:tc>
          <w:tcPr>
            <w:tcW w:w="1276" w:type="dxa"/>
            <w:vAlign w:val="center"/>
            <w:vMerge w:val="restart"/>
            <w:textDirection w:val="lrTb"/>
            <w:noWrap w:val="false"/>
          </w:tcPr>
          <w:p>
            <w:pPr>
              <w:pStyle w:val="865"/>
              <w:jc w:val="center"/>
              <w:rPr>
                <w:b/>
                <w:color w:val="000000"/>
                <w:sz w:val="14"/>
                <w:szCs w:val="20"/>
              </w:rPr>
            </w:pPr>
            <w:r>
              <w:rPr>
                <w:b/>
                <w:color w:val="000000"/>
                <w:sz w:val="14"/>
                <w:szCs w:val="20"/>
              </w:rPr>
              <w:t xml:space="preserve">Среднее квадратичное отклонение</w:t>
              <w:br w:type="textWrapping" w:clear="all"/>
            </w:r>
            <w:r>
              <w:rPr>
                <w:b/>
                <w:color w:val="000000"/>
                <w:sz w:val="14"/>
                <w:szCs w:val="20"/>
                <w:lang w:val="en-US"/>
              </w:rPr>
              <w:t xml:space="preserve">Q</w:t>
            </w:r>
            <w:r>
              <w:rPr>
                <w:b/>
                <w:color w:val="000000"/>
                <w:sz w:val="14"/>
                <w:szCs w:val="20"/>
              </w:rPr>
            </w:r>
            <w:r>
              <w:rPr>
                <w:b/>
                <w:color w:val="000000"/>
                <w:sz w:val="14"/>
                <w:szCs w:val="20"/>
              </w:rPr>
            </w:r>
          </w:p>
          <w:p>
            <w:pPr>
              <w:pStyle w:val="865"/>
              <w:jc w:val="center"/>
              <w:rPr>
                <w:b/>
                <w:color w:val="000000"/>
                <w:sz w:val="14"/>
                <w:szCs w:val="20"/>
              </w:rPr>
            </w:pPr>
            <w:r>
              <w:rPr>
                <w:b/>
                <w:color w:val="000000"/>
                <w:sz w:val="14"/>
                <w:szCs w:val="20"/>
              </w:rPr>
            </w:r>
            <w:r>
              <w:rPr>
                <w:b/>
                <w:color w:val="000000"/>
                <w:sz w:val="14"/>
                <w:szCs w:val="20"/>
              </w:rPr>
            </w:r>
            <w:r>
              <w:rPr>
                <w:b/>
                <w:color w:val="000000"/>
                <w:sz w:val="14"/>
                <w:szCs w:val="20"/>
              </w:rPr>
            </w:r>
          </w:p>
          <w:p>
            <w:pPr>
              <w:pStyle w:val="865"/>
              <w:jc w:val="center"/>
              <w:rPr>
                <w:b/>
                <w:color w:val="000000"/>
                <w:sz w:val="14"/>
                <w:szCs w:val="20"/>
              </w:rPr>
            </w:pPr>
            <w:r>
              <w:rPr>
                <w:b/>
                <w:color w:val="000000"/>
                <w:sz w:val="14"/>
                <w:szCs w:val="20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93514" cy="249022"/>
                      <wp:effectExtent l="0" t="0" r="0" b="0"/>
                      <wp:docPr id="1" name="_x0000_i1026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"/>
                              <pic:cNvPicPr/>
                              <pic:nvPr/>
                            </pic:nvPicPr>
                            <pic:blipFill>
                              <a:blip r:embed="rId9">
                                <a:extLst>
                                  <a:ext uri="{96DAC541-7B7A-43D3-8B79-37D633B846F1}">
                                    <asvg:svgBlip xmlns:asvg="http://schemas.microsoft.com/office/drawing/2016/SVG/main" r:embed="rId10"/>
                                  </a:ext>
                                </a:extLst>
                              </a:blip>
                              <a:stretch/>
                            </pic:blipFill>
                            <pic:spPr bwMode="auto">
                              <a:xfrm>
                                <a:off x="0" y="0"/>
                                <a:ext cx="493514" cy="249022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width:38.86pt;height:19.61pt;mso-wrap-distance-left:0.00pt;mso-wrap-distance-top:0.00pt;mso-wrap-distance-right:0.00pt;mso-wrap-distance-bottom:0.00pt;" stroked="f">
                      <v:path textboxrect="0,0,0,0"/>
                      <v:imagedata r:id="rId9" o:title=""/>
                    </v:shape>
                  </w:pict>
                </mc:Fallback>
              </mc:AlternateContent>
            </w:r>
            <w:r>
              <w:rPr>
                <w:b/>
                <w:color w:val="000000"/>
                <w:sz w:val="14"/>
                <w:szCs w:val="20"/>
              </w:rPr>
            </w:r>
            <w:r>
              <w:rPr>
                <w:b/>
                <w:color w:val="000000"/>
                <w:sz w:val="14"/>
                <w:szCs w:val="20"/>
              </w:rPr>
            </w:r>
          </w:p>
        </w:tc>
        <w:tc>
          <w:tcPr>
            <w:tcW w:w="1417" w:type="dxa"/>
            <w:vAlign w:val="center"/>
            <w:vMerge w:val="restart"/>
            <w:textDirection w:val="lrTb"/>
            <w:noWrap w:val="false"/>
          </w:tcPr>
          <w:p>
            <w:pPr>
              <w:pStyle w:val="865"/>
              <w:jc w:val="center"/>
              <w:rPr>
                <w:b/>
                <w:color w:val="000000"/>
                <w:sz w:val="14"/>
                <w:szCs w:val="20"/>
              </w:rPr>
            </w:pPr>
            <w:r>
              <w:rPr>
                <w:b/>
                <w:color w:val="000000"/>
                <w:sz w:val="14"/>
                <w:szCs w:val="20"/>
              </w:rPr>
              <w:t xml:space="preserve">Коэффициент вариации цен V (%) (не должен превышать 33%)</w:t>
            </w:r>
            <w:r>
              <w:rPr>
                <w:b/>
                <w:color w:val="000000"/>
                <w:sz w:val="14"/>
                <w:szCs w:val="20"/>
              </w:rPr>
            </w:r>
            <w:r>
              <w:rPr>
                <w:b/>
                <w:color w:val="000000"/>
                <w:sz w:val="14"/>
                <w:szCs w:val="20"/>
              </w:rPr>
            </w:r>
          </w:p>
          <w:p>
            <w:pPr>
              <w:pStyle w:val="865"/>
              <w:jc w:val="center"/>
              <w:rPr>
                <w:b/>
                <w:color w:val="000000"/>
                <w:sz w:val="14"/>
                <w:szCs w:val="20"/>
              </w:rPr>
            </w:pPr>
            <w:r>
              <w:rPr>
                <w:b/>
                <w:color w:val="000000"/>
                <w:sz w:val="14"/>
                <w:szCs w:val="20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40512" cy="204521"/>
                      <wp:effectExtent l="0" t="0" r="0" b="0"/>
                      <wp:docPr id="2" name="_x0000_i1027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"/>
                              <pic:cNvPicPr/>
                              <pic:nvPr/>
                            </pic:nvPicPr>
                            <pic:blipFill>
                              <a:blip r:embed="rId11">
                                <a:extLst>
                                  <a:ext uri="{96DAC541-7B7A-43D3-8B79-37D633B846F1}">
                                    <asvg:svgBlip xmlns:asvg="http://schemas.microsoft.com/office/drawing/2016/SVG/main" r:embed="rId12"/>
                                  </a:ext>
                                </a:extLst>
                              </a:blip>
                              <a:stretch/>
                            </pic:blipFill>
                            <pic:spPr bwMode="auto">
                              <a:xfrm>
                                <a:off x="0" y="0"/>
                                <a:ext cx="540512" cy="204521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" o:spid="_x0000_s1" type="#_x0000_t75" style="width:42.56pt;height:16.10pt;mso-wrap-distance-left:0.00pt;mso-wrap-distance-top:0.00pt;mso-wrap-distance-right:0.00pt;mso-wrap-distance-bottom:0.00pt;" stroked="f">
                      <v:path textboxrect="0,0,0,0"/>
                      <v:imagedata r:id="rId11" o:title=""/>
                    </v:shape>
                  </w:pict>
                </mc:Fallback>
              </mc:AlternateContent>
            </w:r>
            <w:r>
              <w:rPr>
                <w:b/>
                <w:color w:val="000000"/>
                <w:sz w:val="14"/>
                <w:szCs w:val="20"/>
              </w:rPr>
            </w:r>
            <w:r>
              <w:rPr>
                <w:b/>
                <w:color w:val="000000"/>
                <w:sz w:val="14"/>
                <w:szCs w:val="20"/>
              </w:rPr>
            </w:r>
          </w:p>
        </w:tc>
        <w:tc>
          <w:tcPr>
            <w:tcW w:w="1843" w:type="dxa"/>
            <w:vAlign w:val="center"/>
            <w:vMerge w:val="restart"/>
            <w:textDirection w:val="lrTb"/>
            <w:noWrap w:val="false"/>
          </w:tcPr>
          <w:p>
            <w:pPr>
              <w:pStyle w:val="865"/>
              <w:jc w:val="center"/>
              <w:rPr>
                <w:b/>
                <w:color w:val="000000"/>
                <w:sz w:val="14"/>
                <w:szCs w:val="20"/>
              </w:rPr>
            </w:pPr>
            <w:r>
              <w:rPr>
                <w:b/>
                <w:color w:val="000000"/>
                <w:sz w:val="14"/>
                <w:szCs w:val="20"/>
              </w:rPr>
              <w:t xml:space="preserve">Расчет Н(М)ЦК по формуле                             </w:t>
            </w:r>
            <w:r>
              <w:rPr>
                <w:b/>
                <w:color w:val="000000"/>
                <w:sz w:val="14"/>
                <w:szCs w:val="20"/>
              </w:rPr>
            </w:r>
          </w:p>
          <w:p>
            <w:pPr>
              <w:pStyle w:val="865"/>
              <w:jc w:val="center"/>
              <w:rPr>
                <w:b/>
                <w:color w:val="000000"/>
                <w:sz w:val="14"/>
                <w:szCs w:val="20"/>
              </w:rPr>
            </w:pPr>
            <w:r>
              <w:rPr>
                <w:b/>
                <w:color w:val="000000"/>
                <w:sz w:val="14"/>
                <w:szCs w:val="20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653491" cy="158661"/>
                      <wp:effectExtent l="0" t="0" r="0" b="0"/>
                      <wp:docPr id="3" name="_x0000_i1028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"/>
                              <pic:cNvPicPr/>
                              <pic:nvPr/>
                            </pic:nvPicPr>
                            <pic:blipFill>
                              <a:blip r:embed="rId13">
                                <a:extLst>
                                  <a:ext uri="{96DAC541-7B7A-43D3-8B79-37D633B846F1}">
                                    <asvg:svgBlip xmlns:asvg="http://schemas.microsoft.com/office/drawing/2016/SVG/main" r:embed="rId14"/>
                                  </a:ext>
                                </a:extLst>
                              </a:blip>
                              <a:stretch/>
                            </pic:blipFill>
                            <pic:spPr bwMode="auto">
                              <a:xfrm>
                                <a:off x="0" y="0"/>
                                <a:ext cx="653491" cy="158661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" o:spid="_x0000_s2" type="#_x0000_t75" style="width:51.46pt;height:12.49pt;mso-wrap-distance-left:0.00pt;mso-wrap-distance-top:0.00pt;mso-wrap-distance-right:0.00pt;mso-wrap-distance-bottom:0.00pt;" stroked="f">
                      <v:path textboxrect="0,0,0,0"/>
                      <v:imagedata r:id="rId13" o:title=""/>
                    </v:shape>
                  </w:pict>
                </mc:Fallback>
              </mc:AlternateContent>
            </w:r>
            <w:r>
              <w:rPr>
                <w:b/>
                <w:color w:val="000000"/>
                <w:sz w:val="14"/>
                <w:szCs w:val="20"/>
              </w:rPr>
            </w:r>
            <w:r>
              <w:rPr>
                <w:b/>
                <w:color w:val="000000"/>
                <w:sz w:val="14"/>
                <w:szCs w:val="20"/>
              </w:rPr>
            </w:r>
          </w:p>
          <w:p>
            <w:pPr>
              <w:pStyle w:val="865"/>
              <w:jc w:val="center"/>
              <w:rPr>
                <w:b/>
                <w:color w:val="000000"/>
                <w:sz w:val="14"/>
                <w:szCs w:val="20"/>
              </w:rPr>
            </w:pPr>
            <w:r>
              <w:rPr>
                <w:b/>
                <w:color w:val="000000"/>
                <w:sz w:val="14"/>
                <w:szCs w:val="20"/>
              </w:rPr>
            </w:r>
            <w:r>
              <w:rPr>
                <w:b/>
                <w:color w:val="000000"/>
                <w:sz w:val="14"/>
                <w:szCs w:val="20"/>
              </w:rPr>
            </w:r>
            <w:r>
              <w:rPr>
                <w:b/>
                <w:color w:val="000000"/>
                <w:sz w:val="14"/>
                <w:szCs w:val="20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1031"/>
        </w:trPr>
        <w:tc>
          <w:tcPr>
            <w:tcW w:w="390" w:type="dxa"/>
            <w:vAlign w:val="center"/>
            <w:vMerge w:val="continue"/>
            <w:textDirection w:val="lrTb"/>
            <w:noWrap w:val="false"/>
          </w:tcPr>
          <w:p>
            <w:pPr>
              <w:pStyle w:val="865"/>
              <w:jc w:val="center"/>
              <w:spacing w:line="0" w:lineRule="atLeast"/>
              <w:rPr>
                <w:sz w:val="16"/>
                <w:szCs w:val="16"/>
              </w:rPr>
              <w:framePr w:hSpace="180" w:wrap="around" w:vAnchor="text" w:hAnchor="margin" w:x="-919" w:y="194"/>
            </w:pP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</w:tc>
        <w:tc>
          <w:tcPr>
            <w:tcW w:w="1628" w:type="dxa"/>
            <w:vAlign w:val="center"/>
            <w:vMerge w:val="continue"/>
            <w:textDirection w:val="lrTb"/>
            <w:noWrap w:val="false"/>
          </w:tcPr>
          <w:p>
            <w:pPr>
              <w:pStyle w:val="865"/>
              <w:jc w:val="center"/>
              <w:spacing w:line="0" w:lineRule="atLeast"/>
              <w:rPr>
                <w:sz w:val="16"/>
                <w:szCs w:val="16"/>
              </w:rPr>
              <w:framePr w:hSpace="180" w:wrap="around" w:vAnchor="text" w:hAnchor="margin" w:x="-919" w:y="194"/>
            </w:pP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</w:tc>
        <w:tc>
          <w:tcPr>
            <w:tcW w:w="1276" w:type="dxa"/>
            <w:vAlign w:val="center"/>
            <w:textDirection w:val="lrTb"/>
            <w:noWrap w:val="false"/>
          </w:tcPr>
          <w:p>
            <w:pPr>
              <w:pStyle w:val="865"/>
              <w:jc w:val="center"/>
              <w:spacing w:line="0" w:lineRule="atLeast"/>
              <w:rPr>
                <w:b/>
                <w:sz w:val="16"/>
                <w:szCs w:val="16"/>
              </w:rPr>
              <w:framePr w:hSpace="180" w:wrap="around" w:vAnchor="text" w:hAnchor="margin" w:x="-919" w:y="194"/>
            </w:pPr>
            <w:r>
              <w:rPr>
                <w:b/>
                <w:sz w:val="16"/>
                <w:szCs w:val="16"/>
              </w:rPr>
              <w:t xml:space="preserve">Исполнитель №1</w:t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</w:p>
        </w:tc>
        <w:tc>
          <w:tcPr>
            <w:tcW w:w="1276" w:type="dxa"/>
            <w:vAlign w:val="center"/>
            <w:textDirection w:val="lrTb"/>
            <w:noWrap w:val="false"/>
          </w:tcPr>
          <w:p>
            <w:pPr>
              <w:pStyle w:val="865"/>
              <w:jc w:val="center"/>
              <w:spacing w:line="0" w:lineRule="atLeast"/>
              <w:rPr>
                <w:b/>
                <w:sz w:val="16"/>
                <w:szCs w:val="16"/>
              </w:rPr>
              <w:framePr w:hSpace="180" w:wrap="around" w:vAnchor="text" w:hAnchor="margin" w:x="-919" w:y="194"/>
            </w:pPr>
            <w:r>
              <w:rPr>
                <w:b/>
                <w:sz w:val="16"/>
                <w:szCs w:val="16"/>
              </w:rPr>
              <w:t xml:space="preserve">Исполнитель №2</w:t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</w:p>
        </w:tc>
        <w:tc>
          <w:tcPr>
            <w:tcW w:w="1276" w:type="dxa"/>
            <w:vAlign w:val="center"/>
            <w:textDirection w:val="lrTb"/>
            <w:noWrap w:val="false"/>
          </w:tcPr>
          <w:p>
            <w:pPr>
              <w:pStyle w:val="865"/>
              <w:jc w:val="center"/>
              <w:spacing w:line="0" w:lineRule="atLeast"/>
              <w:rPr>
                <w:b/>
                <w:sz w:val="16"/>
                <w:szCs w:val="16"/>
              </w:rPr>
              <w:framePr w:hSpace="180" w:wrap="around" w:vAnchor="text" w:hAnchor="margin" w:x="-919" w:y="194"/>
            </w:pPr>
            <w:r>
              <w:rPr>
                <w:b/>
                <w:sz w:val="16"/>
                <w:szCs w:val="16"/>
              </w:rPr>
              <w:t xml:space="preserve">Исполнитель №3</w:t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</w:p>
        </w:tc>
        <w:tc>
          <w:tcPr>
            <w:tcW w:w="850" w:type="dxa"/>
            <w:vAlign w:val="top"/>
            <w:vMerge w:val="continue"/>
            <w:textDirection w:val="lrTb"/>
            <w:noWrap w:val="false"/>
          </w:tcPr>
          <w:p>
            <w:pPr>
              <w:pStyle w:val="865"/>
              <w:jc w:val="center"/>
              <w:spacing w:line="0" w:lineRule="atLeast"/>
              <w:rPr>
                <w:b/>
                <w:sz w:val="16"/>
                <w:szCs w:val="16"/>
              </w:rPr>
              <w:framePr w:hSpace="180" w:wrap="around" w:vAnchor="text" w:hAnchor="margin" w:x="-919" w:y="194"/>
            </w:pP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</w:p>
        </w:tc>
        <w:tc>
          <w:tcPr>
            <w:tcW w:w="1276" w:type="dxa"/>
            <w:vAlign w:val="top"/>
            <w:vMerge w:val="continue"/>
            <w:textDirection w:val="lrTb"/>
            <w:noWrap w:val="false"/>
          </w:tcPr>
          <w:p>
            <w:pPr>
              <w:pStyle w:val="865"/>
              <w:jc w:val="center"/>
              <w:spacing w:line="0" w:lineRule="atLeast"/>
              <w:rPr>
                <w:b/>
                <w:sz w:val="16"/>
                <w:szCs w:val="16"/>
              </w:rPr>
              <w:framePr w:hSpace="180" w:wrap="around" w:vAnchor="text" w:hAnchor="margin" w:x="-919" w:y="194"/>
            </w:pP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</w:p>
        </w:tc>
        <w:tc>
          <w:tcPr>
            <w:tcW w:w="1417" w:type="dxa"/>
            <w:vAlign w:val="top"/>
            <w:vMerge w:val="continue"/>
            <w:textDirection w:val="lrTb"/>
            <w:noWrap w:val="false"/>
          </w:tcPr>
          <w:p>
            <w:pPr>
              <w:pStyle w:val="865"/>
              <w:jc w:val="center"/>
              <w:spacing w:line="0" w:lineRule="atLeast"/>
              <w:rPr>
                <w:b/>
                <w:sz w:val="16"/>
                <w:szCs w:val="16"/>
              </w:rPr>
              <w:framePr w:hSpace="180" w:wrap="around" w:vAnchor="text" w:hAnchor="margin" w:x="-919" w:y="194"/>
            </w:pP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</w:p>
        </w:tc>
        <w:tc>
          <w:tcPr>
            <w:tcW w:w="1843" w:type="dxa"/>
            <w:vAlign w:val="top"/>
            <w:vMerge w:val="continue"/>
            <w:textDirection w:val="lrTb"/>
            <w:noWrap w:val="false"/>
          </w:tcPr>
          <w:p>
            <w:pPr>
              <w:pStyle w:val="865"/>
              <w:jc w:val="center"/>
              <w:spacing w:line="0" w:lineRule="atLeast"/>
              <w:rPr>
                <w:b/>
                <w:sz w:val="16"/>
                <w:szCs w:val="16"/>
              </w:rPr>
              <w:framePr w:hSpace="180" w:wrap="around" w:vAnchor="text" w:hAnchor="margin" w:x="-919" w:y="194"/>
            </w:pP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243"/>
        </w:trPr>
        <w:tc>
          <w:tcPr>
            <w:tcW w:w="390" w:type="dxa"/>
            <w:vAlign w:val="center"/>
            <w:textDirection w:val="lrTb"/>
            <w:noWrap w:val="false"/>
          </w:tcPr>
          <w:p>
            <w:pPr>
              <w:pStyle w:val="865"/>
              <w:jc w:val="center"/>
              <w:spacing w:line="0" w:lineRule="atLeast"/>
              <w:rPr>
                <w:sz w:val="16"/>
                <w:szCs w:val="16"/>
              </w:rPr>
              <w:framePr w:hSpace="180" w:wrap="around" w:vAnchor="text" w:hAnchor="margin" w:x="-919" w:y="194"/>
            </w:pPr>
            <w:r>
              <w:rPr>
                <w:sz w:val="16"/>
                <w:szCs w:val="16"/>
              </w:rPr>
              <w:t xml:space="preserve">1</w: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</w:tc>
        <w:tc>
          <w:tcPr>
            <w:tcW w:w="1628" w:type="dxa"/>
            <w:vAlign w:val="center"/>
            <w:textDirection w:val="lrTb"/>
            <w:noWrap w:val="false"/>
          </w:tcPr>
          <w:p>
            <w:pPr>
              <w:pStyle w:val="865"/>
              <w:jc w:val="both"/>
              <w:spacing w:line="0" w:lineRule="atLeast"/>
              <w:rPr>
                <w:b w:val="0"/>
                <w:bCs w:val="0"/>
                <w:sz w:val="16"/>
                <w:szCs w:val="16"/>
              </w:rPr>
              <w:framePr w:x="-919"/>
            </w:pPr>
            <w:r>
              <w:rPr>
                <w:sz w:val="16"/>
                <w:szCs w:val="16"/>
              </w:rPr>
              <w:t xml:space="preserve">Оказание услуг по </w:t>
            </w:r>
            <w:r>
              <w:rPr>
                <w:sz w:val="16"/>
                <w:szCs w:val="16"/>
              </w:rPr>
              <w:t xml:space="preserve">проверке технического состояния дымоходов и </w:t>
            </w:r>
            <w:r>
              <w:rPr>
                <w:sz w:val="16"/>
                <w:szCs w:val="16"/>
              </w:rPr>
              <w:t xml:space="preserve">вентиляционных канало</w:t>
            </w:r>
            <w:r>
              <w:rPr>
                <w:b w:val="0"/>
                <w:bCs w:val="0"/>
                <w:sz w:val="16"/>
                <w:szCs w:val="16"/>
              </w:rPr>
              <w:t xml:space="preserve">в  </w:t>
            </w:r>
            <w:r>
              <w:rPr>
                <w:rFonts w:ascii="Times New Roman" w:hAnsi="Times New Roman"/>
                <w:b w:val="0"/>
                <w:bCs w:val="0"/>
                <w:sz w:val="16"/>
                <w:szCs w:val="16"/>
              </w:rPr>
              <w:t xml:space="preserve">ст. Староминская, ул. Кольцовская, д. 25</w:t>
            </w:r>
            <w:r>
              <w:rPr>
                <w:b w:val="0"/>
                <w:bCs w:val="0"/>
                <w:sz w:val="16"/>
                <w:szCs w:val="16"/>
              </w:rPr>
            </w:r>
            <w:r>
              <w:rPr>
                <w:b w:val="0"/>
                <w:bCs w:val="0"/>
                <w:sz w:val="16"/>
                <w:szCs w:val="16"/>
              </w:rPr>
            </w:r>
          </w:p>
        </w:tc>
        <w:tc>
          <w:tcPr>
            <w:tcW w:w="127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6"/>
                <w:u w:val="none"/>
                <w:vertAlign w:val="baseline"/>
              </w:rPr>
              <w:t xml:space="preserve">3 500,00</w:t>
            </w:r>
            <w:r/>
            <w:r/>
          </w:p>
        </w:tc>
        <w:tc>
          <w:tcPr>
            <w:tcW w:w="127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6"/>
                <w:u w:val="none"/>
                <w:vertAlign w:val="baseline"/>
              </w:rPr>
              <w:t xml:space="preserve">3 860,00</w:t>
            </w:r>
            <w:r/>
            <w:r/>
          </w:p>
        </w:tc>
        <w:tc>
          <w:tcPr>
            <w:tcW w:w="127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6"/>
                <w:u w:val="none"/>
                <w:vertAlign w:val="baseline"/>
              </w:rPr>
              <w:t xml:space="preserve">3 950,00</w:t>
            </w:r>
            <w:r/>
            <w:r/>
          </w:p>
        </w:tc>
        <w:tc>
          <w:tcPr>
            <w:tcW w:w="85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6"/>
                <w:u w:val="none"/>
                <w:vertAlign w:val="baseline"/>
              </w:rPr>
              <w:t xml:space="preserve">3 770,00</w:t>
            </w:r>
            <w:r/>
            <w:r/>
          </w:p>
        </w:tc>
        <w:tc>
          <w:tcPr>
            <w:tcW w:w="127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6"/>
                <w:u w:val="none"/>
                <w:vertAlign w:val="baseline"/>
              </w:rPr>
              <w:t xml:space="preserve">238,12</w:t>
            </w:r>
            <w:r/>
            <w:r/>
          </w:p>
        </w:tc>
        <w:tc>
          <w:tcPr>
            <w:tcW w:w="141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6"/>
                <w:u w:val="none"/>
                <w:vertAlign w:val="baseline"/>
              </w:rPr>
              <w:t xml:space="preserve">6,32</w:t>
            </w:r>
            <w:r/>
            <w:r/>
          </w:p>
        </w:tc>
        <w:tc>
          <w:tcPr>
            <w:tcW w:w="184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6"/>
                <w:u w:val="none"/>
                <w:vertAlign w:val="baseline"/>
              </w:rPr>
              <w:t xml:space="preserve">3 770,00</w:t>
            </w:r>
            <w:r/>
            <w:r/>
          </w:p>
        </w:tc>
      </w:tr>
    </w:tbl>
    <w:p>
      <w:pPr>
        <w:pStyle w:val="865"/>
        <w:jc w:val="both"/>
        <w:spacing w:line="0" w:lineRule="atLeast"/>
      </w:pPr>
      <w:r/>
      <w:r/>
    </w:p>
    <w:p>
      <w:pPr>
        <w:pStyle w:val="865"/>
        <w:ind w:firstLine="708"/>
        <w:jc w:val="both"/>
        <w:spacing w:line="0" w:lineRule="atLeast"/>
        <w:rPr>
          <w:highlight w:val="none"/>
        </w:rPr>
      </w:pPr>
      <w:r>
        <w:t xml:space="preserve">В соответствии с Распоряжение Правительства РФ от 28 апреля 2018 г. № 824-р «О создании единого агрегатора торговли, с использованием которого заказчики вправе осуществлять закупки для обеспечения государственных и муниципальных нужд» </w:t>
      </w:r>
      <w:r>
        <w:t xml:space="preserve">договор</w:t>
      </w:r>
      <w:r>
        <w:t xml:space="preserve"> будет заключен путем проведения закупочной сессии с использованием единого агрегатора торговли.</w:t>
      </w:r>
      <w:r>
        <w:rPr>
          <w:highlight w:val="none"/>
        </w:rPr>
      </w:r>
      <w:r>
        <w:rPr>
          <w:highlight w:val="none"/>
        </w:rPr>
      </w:r>
    </w:p>
    <w:p>
      <w:pPr>
        <w:ind w:firstLine="708"/>
        <w:jc w:val="both"/>
        <w:spacing w:line="0" w:lineRule="atLeast"/>
      </w:pPr>
      <w:r>
        <w:rPr>
          <w:highlight w:val="none"/>
        </w:rPr>
        <w:t xml:space="preserve">В целях экономии средств федерального бюджета, стартовая цена контракта для объявления закупочной сессии составит:</w:t>
      </w:r>
      <w:r>
        <w:rPr>
          <w:b/>
        </w:rPr>
        <w:t xml:space="preserve"> 3 500</w:t>
      </w:r>
      <w:r>
        <w:rPr>
          <w:b/>
        </w:rPr>
        <w:t xml:space="preserve">,00</w:t>
      </w:r>
      <w:r>
        <w:rPr>
          <w:b/>
        </w:rPr>
        <w:t xml:space="preserve"> (Три тысячи пятьсот</w:t>
      </w:r>
      <w:r>
        <w:rPr>
          <w:b/>
        </w:rPr>
        <w:t xml:space="preserve">)</w:t>
      </w:r>
      <w:r>
        <w:rPr>
          <w:b/>
        </w:rPr>
        <w:t xml:space="preserve"> рублей</w:t>
      </w:r>
      <w:r>
        <w:rPr>
          <w:b/>
        </w:rPr>
        <w:t xml:space="preserve"> 00</w:t>
      </w:r>
      <w:r>
        <w:rPr>
          <w:b/>
        </w:rPr>
        <w:t xml:space="preserve"> копее</w:t>
      </w:r>
      <w:r>
        <w:rPr>
          <w:b/>
        </w:rPr>
        <w:t xml:space="preserve">к</w:t>
      </w:r>
      <w:r>
        <w:rPr>
          <w:b/>
        </w:rPr>
        <w:t xml:space="preserve">.</w:t>
      </w:r>
      <w:r>
        <w:rPr>
          <w:b/>
        </w:rPr>
      </w:r>
      <w:r/>
    </w:p>
    <w:p>
      <w:pPr>
        <w:pStyle w:val="865"/>
        <w:spacing w:line="0" w:lineRule="atLeast"/>
      </w:pPr>
      <w:r/>
      <w:r/>
    </w:p>
    <w:p>
      <w:pPr>
        <w:pStyle w:val="865"/>
        <w:spacing w:line="0" w:lineRule="atLeast"/>
      </w:pPr>
      <w:r/>
      <w:r/>
    </w:p>
    <w:p>
      <w:pPr>
        <w:pStyle w:val="865"/>
        <w:spacing w:line="0" w:lineRule="atLeast"/>
      </w:pPr>
      <w:r/>
      <w:r/>
    </w:p>
    <w:p>
      <w:pPr>
        <w:pStyle w:val="865"/>
        <w:jc w:val="both"/>
        <w:spacing w:line="0" w:lineRule="atLeast"/>
      </w:pPr>
      <w:r>
        <w:t xml:space="preserve">Н</w:t>
      </w:r>
      <w:r>
        <w:t xml:space="preserve">ачальник отдела </w:t>
      </w:r>
      <w:r/>
    </w:p>
    <w:p>
      <w:pPr>
        <w:pStyle w:val="865"/>
        <w:jc w:val="both"/>
        <w:spacing w:line="0" w:lineRule="atLeast"/>
      </w:pPr>
      <w:r>
        <w:t xml:space="preserve">государственных закупок</w:t>
      </w:r>
      <w:r>
        <w:tab/>
        <w:t xml:space="preserve">                               </w:t>
      </w:r>
      <w:r>
        <w:t xml:space="preserve">                                                      </w:t>
      </w:r>
      <w:r>
        <w:t xml:space="preserve"> </w:t>
      </w:r>
      <w:r>
        <w:t xml:space="preserve">    О.В. Власенко</w:t>
      </w:r>
      <w:r/>
    </w:p>
    <w:p>
      <w:pPr>
        <w:pStyle w:val="865"/>
        <w:jc w:val="both"/>
        <w:spacing w:line="0" w:lineRule="atLeast"/>
      </w:pPr>
      <w:r/>
      <w:r/>
    </w:p>
    <w:p>
      <w:pPr>
        <w:pStyle w:val="865"/>
        <w:jc w:val="both"/>
        <w:spacing w:line="0" w:lineRule="atLeast"/>
      </w:pPr>
      <w:r>
        <w:t xml:space="preserve">Начальник отдела</w:t>
      </w:r>
      <w:r/>
    </w:p>
    <w:p>
      <w:pPr>
        <w:pStyle w:val="865"/>
        <w:jc w:val="both"/>
        <w:spacing w:line="0" w:lineRule="atLeast"/>
      </w:pPr>
      <w:r>
        <w:t xml:space="preserve">материально-технического обеспечения</w:t>
      </w:r>
      <w:r>
        <w:t xml:space="preserve">                                      </w:t>
      </w:r>
      <w:r>
        <w:t xml:space="preserve">  </w:t>
      </w:r>
      <w:r>
        <w:t xml:space="preserve">        </w:t>
      </w:r>
      <w:r>
        <w:t xml:space="preserve">          </w:t>
      </w:r>
      <w:r>
        <w:t xml:space="preserve">  </w:t>
      </w:r>
      <w:r>
        <w:t xml:space="preserve">          </w:t>
      </w:r>
      <w:r>
        <w:t xml:space="preserve"> </w:t>
      </w:r>
      <w:r>
        <w:t xml:space="preserve">К.С. Соболев</w:t>
      </w:r>
      <w:r/>
    </w:p>
    <w:p>
      <w:pPr>
        <w:pStyle w:val="865"/>
        <w:jc w:val="both"/>
        <w:rPr>
          <w:sz w:val="18"/>
          <w:szCs w:val="18"/>
        </w:rPr>
      </w:pPr>
      <w:r>
        <w:rPr>
          <w:sz w:val="18"/>
          <w:szCs w:val="18"/>
        </w:rPr>
      </w:r>
      <w:r>
        <w:rPr>
          <w:sz w:val="18"/>
          <w:szCs w:val="18"/>
        </w:rPr>
      </w:r>
      <w:r>
        <w:rPr>
          <w:sz w:val="18"/>
          <w:szCs w:val="18"/>
        </w:rPr>
      </w:r>
    </w:p>
    <w:p>
      <w:pPr>
        <w:pStyle w:val="865"/>
        <w:jc w:val="both"/>
        <w:rPr>
          <w:sz w:val="18"/>
          <w:szCs w:val="18"/>
        </w:rPr>
      </w:pPr>
      <w:r>
        <w:rPr>
          <w:sz w:val="18"/>
          <w:szCs w:val="18"/>
        </w:rPr>
      </w:r>
      <w:r>
        <w:rPr>
          <w:sz w:val="18"/>
          <w:szCs w:val="18"/>
        </w:rPr>
      </w:r>
      <w:r>
        <w:rPr>
          <w:sz w:val="18"/>
          <w:szCs w:val="18"/>
        </w:rPr>
      </w:r>
    </w:p>
    <w:p>
      <w:pPr>
        <w:pStyle w:val="865"/>
        <w:jc w:val="both"/>
      </w:pPr>
      <w:r>
        <w:t xml:space="preserve">Согласовано:</w:t>
      </w:r>
      <w:r/>
    </w:p>
    <w:p>
      <w:pPr>
        <w:pStyle w:val="865"/>
        <w:jc w:val="both"/>
      </w:pPr>
      <w:r/>
      <w:r/>
    </w:p>
    <w:p>
      <w:pPr>
        <w:pStyle w:val="865"/>
        <w:jc w:val="both"/>
      </w:pPr>
      <w:r>
        <w:t xml:space="preserve">Заместитель руководителя                                                                                          К.Д. Байбутлов</w:t>
      </w:r>
      <w:r/>
    </w:p>
    <w:p>
      <w:pPr>
        <w:pStyle w:val="865"/>
        <w:jc w:val="both"/>
      </w:pPr>
      <w:r/>
      <w:r/>
    </w:p>
    <w:p>
      <w:pPr>
        <w:pStyle w:val="865"/>
        <w:jc w:val="both"/>
      </w:pPr>
      <w:r>
        <w:t xml:space="preserve">Н</w:t>
      </w:r>
      <w:r>
        <w:t xml:space="preserve">ачальник финансово-</w:t>
      </w:r>
      <w:r/>
    </w:p>
    <w:p>
      <w:pPr>
        <w:pStyle w:val="865"/>
        <w:jc w:val="both"/>
        <w:rPr>
          <w:highlight w:val="none"/>
        </w:rPr>
      </w:pPr>
      <w:r>
        <w:t xml:space="preserve">экономического отдела                                                                                        </w:t>
      </w:r>
      <w:r>
        <w:t xml:space="preserve"> </w:t>
      </w:r>
      <w:r>
        <w:t xml:space="preserve">      </w:t>
      </w:r>
      <w:r>
        <w:t xml:space="preserve">Е.В. Сутормина</w:t>
      </w:r>
      <w:r>
        <w:rPr>
          <w:highlight w:val="none"/>
        </w:rPr>
      </w:r>
      <w:r>
        <w:rPr>
          <w:highlight w:val="none"/>
        </w:rPr>
      </w:r>
    </w:p>
    <w:p>
      <w:pPr>
        <w:jc w:val="both"/>
      </w:pPr>
      <w:r>
        <w:rPr>
          <w:highlight w:val="none"/>
        </w:rPr>
      </w:r>
      <w:r>
        <w:rPr>
          <w:highlight w:val="none"/>
        </w:rPr>
      </w:r>
      <w:r/>
    </w:p>
    <w:p>
      <w:pPr>
        <w:pStyle w:val="865"/>
        <w:jc w:val="both"/>
      </w:pPr>
      <w:r/>
      <w:r/>
    </w:p>
    <w:p>
      <w:pPr>
        <w:pStyle w:val="865"/>
        <w:jc w:val="both"/>
      </w:pPr>
      <w:r>
        <w:t xml:space="preserve">Заместитель начальника финансово-</w:t>
      </w:r>
      <w:r/>
    </w:p>
    <w:p>
      <w:pPr>
        <w:pStyle w:val="865"/>
        <w:jc w:val="both"/>
      </w:pPr>
      <w:r>
        <w:t xml:space="preserve">экономического отдела                                                                                                   Э.А. Смалиус                                                        </w:t>
      </w:r>
      <w:r>
        <w:t xml:space="preserve">                             </w:t>
      </w:r>
      <w:r>
        <w:t xml:space="preserve"> </w:t>
      </w:r>
      <w:r>
        <w:t xml:space="preserve">   </w:t>
      </w:r>
      <w:r>
        <w:t xml:space="preserve">    </w:t>
      </w:r>
      <w:r/>
    </w:p>
    <w:p>
      <w:pPr>
        <w:pStyle w:val="865"/>
        <w:jc w:val="both"/>
      </w:pPr>
      <w:r/>
      <w:r/>
    </w:p>
    <w:p>
      <w:pPr>
        <w:pStyle w:val="865"/>
        <w:jc w:val="both"/>
        <w:rPr>
          <w:sz w:val="18"/>
          <w:szCs w:val="18"/>
        </w:rPr>
      </w:pPr>
      <w:r>
        <w:rPr>
          <w:sz w:val="18"/>
          <w:szCs w:val="18"/>
        </w:rPr>
      </w:r>
      <w:r>
        <w:rPr>
          <w:sz w:val="18"/>
          <w:szCs w:val="18"/>
        </w:rPr>
      </w:r>
      <w:r>
        <w:rPr>
          <w:sz w:val="18"/>
          <w:szCs w:val="18"/>
        </w:rPr>
      </w:r>
    </w:p>
    <w:p>
      <w:pPr>
        <w:pStyle w:val="865"/>
        <w:jc w:val="both"/>
        <w:rPr>
          <w:sz w:val="18"/>
          <w:szCs w:val="18"/>
        </w:rPr>
      </w:pPr>
      <w:r>
        <w:rPr>
          <w:sz w:val="18"/>
          <w:szCs w:val="18"/>
        </w:rPr>
      </w:r>
      <w:r>
        <w:rPr>
          <w:sz w:val="18"/>
          <w:szCs w:val="18"/>
        </w:rPr>
      </w:r>
      <w:r>
        <w:rPr>
          <w:sz w:val="18"/>
          <w:szCs w:val="18"/>
        </w:rPr>
      </w:r>
    </w:p>
    <w:p>
      <w:pPr>
        <w:pStyle w:val="865"/>
        <w:jc w:val="both"/>
        <w:rPr>
          <w:sz w:val="18"/>
          <w:szCs w:val="18"/>
        </w:rPr>
      </w:pPr>
      <w:r>
        <w:rPr>
          <w:sz w:val="18"/>
          <w:szCs w:val="18"/>
        </w:rPr>
      </w:r>
      <w:r>
        <w:rPr>
          <w:sz w:val="18"/>
          <w:szCs w:val="18"/>
        </w:rPr>
      </w:r>
      <w:r>
        <w:rPr>
          <w:sz w:val="18"/>
          <w:szCs w:val="18"/>
        </w:rPr>
      </w:r>
    </w:p>
    <w:p>
      <w:pPr>
        <w:pStyle w:val="865"/>
        <w:jc w:val="both"/>
        <w:rPr>
          <w:sz w:val="18"/>
          <w:szCs w:val="18"/>
        </w:rPr>
      </w:pPr>
      <w:r>
        <w:rPr>
          <w:sz w:val="18"/>
          <w:szCs w:val="18"/>
        </w:rPr>
      </w:r>
      <w:r>
        <w:rPr>
          <w:sz w:val="18"/>
          <w:szCs w:val="18"/>
        </w:rPr>
      </w:r>
      <w:r>
        <w:rPr>
          <w:sz w:val="18"/>
          <w:szCs w:val="18"/>
        </w:rPr>
      </w:r>
    </w:p>
    <w:p>
      <w:pPr>
        <w:pStyle w:val="865"/>
        <w:jc w:val="both"/>
        <w:rPr>
          <w:sz w:val="18"/>
          <w:szCs w:val="18"/>
        </w:rPr>
      </w:pPr>
      <w:r>
        <w:rPr>
          <w:sz w:val="18"/>
          <w:szCs w:val="18"/>
        </w:rPr>
      </w:r>
      <w:r>
        <w:rPr>
          <w:sz w:val="18"/>
          <w:szCs w:val="18"/>
        </w:rPr>
      </w:r>
      <w:r>
        <w:rPr>
          <w:sz w:val="18"/>
          <w:szCs w:val="18"/>
        </w:rPr>
      </w:r>
    </w:p>
    <w:p>
      <w:pPr>
        <w:pStyle w:val="865"/>
        <w:jc w:val="both"/>
        <w:rPr>
          <w:sz w:val="18"/>
          <w:szCs w:val="18"/>
        </w:rPr>
      </w:pPr>
      <w:r>
        <w:rPr>
          <w:sz w:val="18"/>
          <w:szCs w:val="18"/>
        </w:rPr>
      </w:r>
      <w:r>
        <w:rPr>
          <w:sz w:val="18"/>
          <w:szCs w:val="18"/>
        </w:rPr>
      </w:r>
      <w:r>
        <w:rPr>
          <w:sz w:val="18"/>
          <w:szCs w:val="18"/>
        </w:rPr>
      </w:r>
    </w:p>
    <w:p>
      <w:pPr>
        <w:pStyle w:val="865"/>
        <w:jc w:val="both"/>
        <w:rPr>
          <w:sz w:val="18"/>
          <w:szCs w:val="18"/>
        </w:rPr>
      </w:pPr>
      <w:r>
        <w:rPr>
          <w:sz w:val="18"/>
          <w:szCs w:val="18"/>
        </w:rPr>
      </w:r>
      <w:r>
        <w:rPr>
          <w:sz w:val="18"/>
          <w:szCs w:val="18"/>
        </w:rPr>
      </w:r>
      <w:r>
        <w:rPr>
          <w:sz w:val="18"/>
          <w:szCs w:val="18"/>
        </w:rPr>
      </w:r>
    </w:p>
    <w:p>
      <w:pPr>
        <w:pStyle w:val="865"/>
        <w:jc w:val="both"/>
        <w:rPr>
          <w:sz w:val="18"/>
          <w:szCs w:val="18"/>
        </w:rPr>
      </w:pPr>
      <w:r>
        <w:rPr>
          <w:sz w:val="18"/>
          <w:szCs w:val="18"/>
        </w:rPr>
      </w:r>
      <w:r>
        <w:rPr>
          <w:sz w:val="18"/>
          <w:szCs w:val="18"/>
        </w:rPr>
      </w:r>
      <w:r>
        <w:rPr>
          <w:sz w:val="18"/>
          <w:szCs w:val="18"/>
        </w:rPr>
      </w:r>
    </w:p>
    <w:p>
      <w:pPr>
        <w:jc w:val="both"/>
        <w:rPr>
          <w:sz w:val="18"/>
          <w:szCs w:val="18"/>
        </w:rPr>
      </w:pPr>
      <w:r>
        <w:rPr>
          <w:sz w:val="18"/>
          <w:szCs w:val="18"/>
        </w:rPr>
      </w:r>
      <w:r>
        <w:rPr>
          <w:sz w:val="18"/>
          <w:szCs w:val="18"/>
        </w:rPr>
      </w:r>
    </w:p>
    <w:p>
      <w:pPr>
        <w:jc w:val="both"/>
        <w:rPr>
          <w:sz w:val="18"/>
          <w:szCs w:val="18"/>
        </w:rPr>
      </w:pPr>
      <w:r>
        <w:rPr>
          <w:sz w:val="18"/>
          <w:szCs w:val="18"/>
        </w:rPr>
      </w:r>
      <w:r>
        <w:rPr>
          <w:sz w:val="18"/>
          <w:szCs w:val="18"/>
        </w:rPr>
      </w:r>
    </w:p>
    <w:p>
      <w:pPr>
        <w:jc w:val="both"/>
        <w:rPr>
          <w:sz w:val="18"/>
          <w:szCs w:val="18"/>
        </w:rPr>
      </w:pPr>
      <w:r>
        <w:rPr>
          <w:sz w:val="18"/>
          <w:szCs w:val="18"/>
        </w:rPr>
      </w:r>
      <w:r>
        <w:rPr>
          <w:sz w:val="18"/>
          <w:szCs w:val="18"/>
        </w:rPr>
      </w:r>
    </w:p>
    <w:p>
      <w:pPr>
        <w:jc w:val="both"/>
        <w:rPr>
          <w:sz w:val="18"/>
          <w:szCs w:val="18"/>
        </w:rPr>
      </w:pPr>
      <w:r>
        <w:rPr>
          <w:sz w:val="18"/>
          <w:szCs w:val="18"/>
        </w:rPr>
      </w:r>
      <w:r>
        <w:rPr>
          <w:sz w:val="18"/>
          <w:szCs w:val="18"/>
        </w:rPr>
      </w:r>
    </w:p>
    <w:p>
      <w:pPr>
        <w:jc w:val="both"/>
        <w:rPr>
          <w:sz w:val="18"/>
          <w:szCs w:val="18"/>
        </w:rPr>
      </w:pPr>
      <w:r>
        <w:rPr>
          <w:sz w:val="18"/>
          <w:szCs w:val="18"/>
        </w:rPr>
      </w:r>
      <w:r>
        <w:rPr>
          <w:sz w:val="18"/>
          <w:szCs w:val="18"/>
        </w:rPr>
      </w:r>
    </w:p>
    <w:p>
      <w:pPr>
        <w:jc w:val="both"/>
        <w:rPr>
          <w:sz w:val="18"/>
          <w:szCs w:val="18"/>
        </w:rPr>
      </w:pPr>
      <w:r>
        <w:rPr>
          <w:sz w:val="18"/>
          <w:szCs w:val="18"/>
        </w:rPr>
      </w:r>
      <w:r>
        <w:rPr>
          <w:sz w:val="18"/>
          <w:szCs w:val="18"/>
        </w:rPr>
      </w:r>
    </w:p>
    <w:p>
      <w:pPr>
        <w:jc w:val="both"/>
        <w:rPr>
          <w:sz w:val="18"/>
          <w:szCs w:val="18"/>
        </w:rPr>
      </w:pPr>
      <w:r>
        <w:rPr>
          <w:sz w:val="18"/>
          <w:szCs w:val="18"/>
        </w:rPr>
      </w:r>
      <w:r>
        <w:rPr>
          <w:sz w:val="18"/>
          <w:szCs w:val="18"/>
        </w:rPr>
      </w:r>
    </w:p>
    <w:p>
      <w:pPr>
        <w:jc w:val="both"/>
        <w:rPr>
          <w:sz w:val="18"/>
          <w:szCs w:val="18"/>
        </w:rPr>
      </w:pPr>
      <w:r>
        <w:rPr>
          <w:sz w:val="18"/>
          <w:szCs w:val="18"/>
        </w:rPr>
      </w:r>
      <w:r>
        <w:rPr>
          <w:sz w:val="18"/>
          <w:szCs w:val="18"/>
        </w:rPr>
      </w:r>
    </w:p>
    <w:p>
      <w:pPr>
        <w:jc w:val="both"/>
        <w:rPr>
          <w:sz w:val="18"/>
          <w:szCs w:val="18"/>
        </w:rPr>
      </w:pPr>
      <w:r>
        <w:rPr>
          <w:sz w:val="18"/>
          <w:szCs w:val="18"/>
        </w:rPr>
      </w:r>
      <w:r>
        <w:rPr>
          <w:sz w:val="18"/>
          <w:szCs w:val="18"/>
        </w:rPr>
      </w:r>
    </w:p>
    <w:p>
      <w:pPr>
        <w:jc w:val="both"/>
        <w:rPr>
          <w:sz w:val="18"/>
          <w:szCs w:val="18"/>
        </w:rPr>
      </w:pPr>
      <w:r>
        <w:rPr>
          <w:sz w:val="18"/>
          <w:szCs w:val="18"/>
        </w:rPr>
      </w:r>
      <w:r>
        <w:rPr>
          <w:sz w:val="18"/>
          <w:szCs w:val="18"/>
        </w:rPr>
      </w:r>
    </w:p>
    <w:p>
      <w:pPr>
        <w:jc w:val="both"/>
        <w:rPr>
          <w:sz w:val="18"/>
          <w:szCs w:val="18"/>
        </w:rPr>
      </w:pPr>
      <w:r>
        <w:rPr>
          <w:sz w:val="18"/>
          <w:szCs w:val="18"/>
        </w:rPr>
      </w:r>
      <w:r>
        <w:rPr>
          <w:sz w:val="18"/>
          <w:szCs w:val="18"/>
        </w:rPr>
      </w:r>
    </w:p>
    <w:p>
      <w:pPr>
        <w:jc w:val="both"/>
        <w:rPr>
          <w:sz w:val="18"/>
          <w:szCs w:val="18"/>
        </w:rPr>
      </w:pPr>
      <w:r>
        <w:rPr>
          <w:sz w:val="18"/>
          <w:szCs w:val="18"/>
        </w:rPr>
      </w:r>
      <w:r>
        <w:rPr>
          <w:sz w:val="18"/>
          <w:szCs w:val="18"/>
        </w:rPr>
      </w:r>
    </w:p>
    <w:p>
      <w:pPr>
        <w:jc w:val="both"/>
        <w:rPr>
          <w:sz w:val="18"/>
          <w:szCs w:val="18"/>
        </w:rPr>
      </w:pPr>
      <w:r>
        <w:rPr>
          <w:sz w:val="18"/>
          <w:szCs w:val="18"/>
        </w:rPr>
      </w:r>
      <w:r>
        <w:rPr>
          <w:sz w:val="18"/>
          <w:szCs w:val="18"/>
        </w:rPr>
      </w:r>
    </w:p>
    <w:p>
      <w:pPr>
        <w:jc w:val="both"/>
        <w:rPr>
          <w:sz w:val="18"/>
          <w:szCs w:val="18"/>
        </w:rPr>
      </w:pPr>
      <w:r>
        <w:rPr>
          <w:sz w:val="18"/>
          <w:szCs w:val="18"/>
        </w:rPr>
      </w:r>
      <w:r>
        <w:rPr>
          <w:sz w:val="18"/>
          <w:szCs w:val="18"/>
        </w:rPr>
      </w:r>
    </w:p>
    <w:p>
      <w:pPr>
        <w:jc w:val="both"/>
        <w:rPr>
          <w:sz w:val="18"/>
          <w:szCs w:val="18"/>
        </w:rPr>
      </w:pPr>
      <w:r>
        <w:rPr>
          <w:sz w:val="18"/>
          <w:szCs w:val="18"/>
        </w:rPr>
      </w:r>
      <w:r>
        <w:rPr>
          <w:sz w:val="18"/>
          <w:szCs w:val="18"/>
        </w:rPr>
      </w:r>
    </w:p>
    <w:p>
      <w:pPr>
        <w:jc w:val="both"/>
        <w:rPr>
          <w:sz w:val="18"/>
          <w:szCs w:val="18"/>
        </w:rPr>
      </w:pPr>
      <w:r>
        <w:rPr>
          <w:sz w:val="18"/>
          <w:szCs w:val="18"/>
        </w:rPr>
      </w:r>
      <w:r>
        <w:rPr>
          <w:sz w:val="18"/>
          <w:szCs w:val="18"/>
        </w:rPr>
      </w:r>
    </w:p>
    <w:p>
      <w:pPr>
        <w:jc w:val="both"/>
        <w:rPr>
          <w:sz w:val="18"/>
          <w:szCs w:val="18"/>
        </w:rPr>
      </w:pPr>
      <w:r>
        <w:rPr>
          <w:sz w:val="18"/>
          <w:szCs w:val="18"/>
        </w:rPr>
      </w:r>
      <w:r>
        <w:rPr>
          <w:sz w:val="18"/>
          <w:szCs w:val="18"/>
        </w:rPr>
      </w:r>
    </w:p>
    <w:p>
      <w:pPr>
        <w:jc w:val="both"/>
        <w:rPr>
          <w:sz w:val="18"/>
          <w:szCs w:val="18"/>
        </w:rPr>
      </w:pPr>
      <w:r>
        <w:rPr>
          <w:sz w:val="18"/>
          <w:szCs w:val="18"/>
        </w:rPr>
      </w:r>
      <w:r>
        <w:rPr>
          <w:sz w:val="18"/>
          <w:szCs w:val="18"/>
        </w:rPr>
      </w:r>
    </w:p>
    <w:p>
      <w:pPr>
        <w:jc w:val="both"/>
        <w:rPr>
          <w:sz w:val="18"/>
          <w:szCs w:val="18"/>
        </w:rPr>
      </w:pPr>
      <w:r>
        <w:rPr>
          <w:sz w:val="18"/>
          <w:szCs w:val="18"/>
        </w:rPr>
      </w:r>
      <w:r>
        <w:rPr>
          <w:sz w:val="18"/>
          <w:szCs w:val="18"/>
        </w:rPr>
      </w:r>
    </w:p>
    <w:p>
      <w:pPr>
        <w:jc w:val="both"/>
        <w:rPr>
          <w:sz w:val="18"/>
          <w:szCs w:val="18"/>
        </w:rPr>
      </w:pPr>
      <w:r>
        <w:rPr>
          <w:sz w:val="18"/>
          <w:szCs w:val="18"/>
        </w:rPr>
      </w:r>
      <w:r>
        <w:rPr>
          <w:sz w:val="18"/>
          <w:szCs w:val="18"/>
        </w:rPr>
      </w:r>
    </w:p>
    <w:p>
      <w:pPr>
        <w:jc w:val="both"/>
        <w:rPr>
          <w:sz w:val="18"/>
          <w:szCs w:val="18"/>
        </w:rPr>
      </w:pPr>
      <w:r>
        <w:rPr>
          <w:sz w:val="18"/>
          <w:szCs w:val="18"/>
        </w:rPr>
      </w:r>
      <w:r>
        <w:rPr>
          <w:sz w:val="18"/>
          <w:szCs w:val="18"/>
        </w:rPr>
      </w:r>
    </w:p>
    <w:p>
      <w:pPr>
        <w:jc w:val="both"/>
        <w:rPr>
          <w:sz w:val="18"/>
          <w:szCs w:val="18"/>
        </w:rPr>
      </w:pPr>
      <w:r>
        <w:rPr>
          <w:sz w:val="18"/>
          <w:szCs w:val="18"/>
        </w:rPr>
      </w:r>
      <w:r>
        <w:rPr>
          <w:sz w:val="18"/>
          <w:szCs w:val="18"/>
        </w:rPr>
      </w:r>
    </w:p>
    <w:p>
      <w:pPr>
        <w:pStyle w:val="865"/>
        <w:jc w:val="both"/>
        <w:rPr>
          <w:sz w:val="18"/>
          <w:szCs w:val="18"/>
        </w:rPr>
      </w:pPr>
      <w:r>
        <w:rPr>
          <w:sz w:val="18"/>
          <w:szCs w:val="18"/>
        </w:rPr>
      </w:r>
      <w:r>
        <w:rPr>
          <w:sz w:val="18"/>
          <w:szCs w:val="18"/>
        </w:rPr>
      </w:r>
      <w:r>
        <w:rPr>
          <w:sz w:val="18"/>
          <w:szCs w:val="18"/>
        </w:rPr>
      </w:r>
    </w:p>
    <w:p>
      <w:pPr>
        <w:pStyle w:val="865"/>
        <w:jc w:val="both"/>
        <w:rPr>
          <w:sz w:val="18"/>
          <w:szCs w:val="18"/>
        </w:rPr>
      </w:pPr>
      <w:r>
        <w:rPr>
          <w:sz w:val="18"/>
          <w:szCs w:val="18"/>
        </w:rPr>
      </w:r>
      <w:r>
        <w:rPr>
          <w:sz w:val="18"/>
          <w:szCs w:val="18"/>
        </w:rPr>
      </w:r>
      <w:r>
        <w:rPr>
          <w:sz w:val="18"/>
          <w:szCs w:val="18"/>
        </w:rPr>
      </w:r>
    </w:p>
    <w:p>
      <w:pPr>
        <w:pStyle w:val="865"/>
        <w:jc w:val="both"/>
        <w:rPr>
          <w:sz w:val="18"/>
          <w:szCs w:val="18"/>
        </w:rPr>
      </w:pPr>
      <w:r>
        <w:rPr>
          <w:sz w:val="18"/>
          <w:szCs w:val="18"/>
        </w:rPr>
      </w:r>
      <w:r>
        <w:rPr>
          <w:sz w:val="18"/>
          <w:szCs w:val="18"/>
        </w:rPr>
      </w:r>
      <w:r>
        <w:rPr>
          <w:sz w:val="18"/>
          <w:szCs w:val="18"/>
        </w:rPr>
      </w:r>
    </w:p>
    <w:p>
      <w:pPr>
        <w:pStyle w:val="865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Исп.: Надточий Анна Владимировна</w:t>
      </w:r>
      <w:r>
        <w:rPr>
          <w:sz w:val="18"/>
          <w:szCs w:val="18"/>
        </w:rPr>
        <w:t xml:space="preserve"> </w:t>
      </w:r>
      <w:r>
        <w:rPr>
          <w:sz w:val="18"/>
          <w:szCs w:val="18"/>
        </w:rPr>
      </w:r>
      <w:r>
        <w:rPr>
          <w:sz w:val="18"/>
          <w:szCs w:val="18"/>
        </w:rPr>
      </w:r>
    </w:p>
    <w:p>
      <w:pPr>
        <w:pStyle w:val="865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8 (861) 250-18-3</w:t>
      </w:r>
      <w:r>
        <w:rPr>
          <w:sz w:val="18"/>
          <w:szCs w:val="18"/>
        </w:rPr>
        <w:t xml:space="preserve">5</w:t>
      </w:r>
      <w:r>
        <w:rPr>
          <w:sz w:val="18"/>
          <w:szCs w:val="18"/>
        </w:rPr>
        <w:t xml:space="preserve"> (доб.3615</w:t>
      </w:r>
      <w:r>
        <w:rPr>
          <w:sz w:val="18"/>
          <w:szCs w:val="18"/>
        </w:rPr>
        <w:t xml:space="preserve">)</w:t>
      </w:r>
      <w:r>
        <w:rPr>
          <w:sz w:val="18"/>
          <w:szCs w:val="18"/>
        </w:rPr>
      </w:r>
      <w:r>
        <w:rPr>
          <w:sz w:val="18"/>
          <w:szCs w:val="18"/>
        </w:rPr>
      </w:r>
    </w:p>
    <w:sectPr>
      <w:footnotePr/>
      <w:endnotePr/>
      <w:type w:val="nextPage"/>
      <w:pgSz w:w="11906" w:h="16838" w:orient="portrait"/>
      <w:pgMar w:top="567" w:right="680" w:bottom="993" w:left="1418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409020205020404"/>
  </w:font>
  <w:font w:name="Symbol">
    <w:panose1 w:val="05010000000000000000"/>
  </w:font>
  <w:font w:name="Gelvetsky 12pt">
    <w:panose1 w:val="02000603000000000000"/>
  </w:font>
  <w:font w:name="Calibri">
    <w:panose1 w:val="020F0502020204030204"/>
  </w:font>
  <w:font w:name="Arial">
    <w:panose1 w:val="020B0604020202020204"/>
  </w:font>
  <w:font w:name="Tahoma">
    <w:panose1 w:val="020B0604030504040204"/>
  </w:font>
  <w:font w:name="Times New Roman">
    <w:panose1 w:val="02020603050405020304"/>
  </w:font>
  <w:font w:name="Calibri Light">
    <w:panose1 w:val="020F0502020204030204"/>
  </w:font>
  <w:font w:name="Wingdings">
    <w:panose1 w:val="05010000000000000000"/>
  </w:font>
  <w:font w:name="Liberation Sans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80" w:hanging="360"/>
        <w:tabs>
          <w:tab w:val="num" w:pos="108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  <w:tabs>
          <w:tab w:val="num" w:pos="180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  <w:tabs>
          <w:tab w:val="num" w:pos="252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  <w:tabs>
          <w:tab w:val="num" w:pos="324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  <w:tabs>
          <w:tab w:val="num" w:pos="396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  <w:tabs>
          <w:tab w:val="num" w:pos="468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  <w:tabs>
          <w:tab w:val="num" w:pos="540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  <w:tabs>
          <w:tab w:val="num" w:pos="612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  <w:tabs>
          <w:tab w:val="num" w:pos="6840" w:leader="none"/>
        </w:tabs>
      </w:pPr>
    </w:lvl>
  </w:abstractNum>
  <w:abstractNum w:abstractNumId="3">
    <w:multiLevelType w:val="hybridMultilevel"/>
    <w:lvl w:ilvl="0">
      <w:start w:val="0"/>
      <w:numFmt w:val="bullet"/>
      <w:isLgl w:val="false"/>
      <w:suff w:val="tab"/>
      <w:lvlText w:val=""/>
      <w:lvlJc w:val="left"/>
      <w:pPr>
        <w:ind w:left="720" w:hanging="360"/>
      </w:pPr>
      <w:rPr>
        <w:rFonts w:ascii="Symbol" w:hAnsi="Symbol" w:eastAsia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11" w:hanging="360"/>
      </w:p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080" w:hanging="360"/>
        <w:tabs>
          <w:tab w:val="num" w:pos="108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1800" w:hanging="180"/>
        <w:tabs>
          <w:tab w:val="num" w:pos="180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520" w:hanging="360"/>
        <w:tabs>
          <w:tab w:val="num" w:pos="252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240" w:hanging="360"/>
        <w:tabs>
          <w:tab w:val="num" w:pos="324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3960" w:hanging="180"/>
        <w:tabs>
          <w:tab w:val="num" w:pos="396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4680" w:hanging="360"/>
        <w:tabs>
          <w:tab w:val="num" w:pos="468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400" w:hanging="360"/>
        <w:tabs>
          <w:tab w:val="num" w:pos="540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120" w:hanging="180"/>
        <w:tabs>
          <w:tab w:val="num" w:pos="6120" w:leader="none"/>
        </w:tabs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80" w:hanging="360"/>
        <w:tabs>
          <w:tab w:val="num" w:pos="108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  <w:tabs>
          <w:tab w:val="num" w:pos="180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  <w:tabs>
          <w:tab w:val="num" w:pos="252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  <w:tabs>
          <w:tab w:val="num" w:pos="324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  <w:tabs>
          <w:tab w:val="num" w:pos="396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  <w:tabs>
          <w:tab w:val="num" w:pos="468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  <w:tabs>
          <w:tab w:val="num" w:pos="540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  <w:tabs>
          <w:tab w:val="num" w:pos="612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  <w:tabs>
          <w:tab w:val="num" w:pos="6840" w:leader="none"/>
        </w:tabs>
      </w:p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2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8" w:hanging="180"/>
      </w:p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7"/>
  </w:num>
  <w:num w:numId="3">
    <w:abstractNumId w:val="2"/>
  </w:num>
  <w:num w:numId="4">
    <w:abstractNumId w:val="10"/>
  </w:num>
  <w:num w:numId="5">
    <w:abstractNumId w:val="12"/>
  </w:num>
  <w:num w:numId="6">
    <w:abstractNumId w:val="3"/>
  </w:num>
  <w:num w:numId="7">
    <w:abstractNumId w:val="6"/>
  </w:num>
  <w:num w:numId="8">
    <w:abstractNumId w:val="9"/>
  </w:num>
  <w:num w:numId="9">
    <w:abstractNumId w:val="1"/>
  </w:num>
  <w:num w:numId="10">
    <w:abstractNumId w:val="13"/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4"/>
  </w:num>
  <w:num w:numId="13">
    <w:abstractNumId w:val="0"/>
  </w:num>
  <w:num w:numId="14">
    <w:abstractNumId w:val="4"/>
  </w:num>
  <w:num w:numId="15">
    <w:abstractNumId w:val="8"/>
  </w:num>
  <w:num w:numId="1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87">
    <w:name w:val="Heading 1"/>
    <w:basedOn w:val="865"/>
    <w:next w:val="865"/>
    <w:link w:val="688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688">
    <w:name w:val="Heading 1 Char"/>
    <w:link w:val="687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689">
    <w:name w:val="Heading 2"/>
    <w:basedOn w:val="865"/>
    <w:next w:val="865"/>
    <w:link w:val="690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690">
    <w:name w:val="Heading 2 Char"/>
    <w:link w:val="689"/>
    <w:uiPriority w:val="9"/>
    <w:rPr>
      <w:rFonts w:ascii="Liberation Sans" w:hAnsi="Liberation Sans" w:eastAsia="Liberation Sans" w:cs="Liberation Sans"/>
      <w:sz w:val="34"/>
    </w:rPr>
  </w:style>
  <w:style w:type="paragraph" w:styleId="691">
    <w:name w:val="Heading 3"/>
    <w:basedOn w:val="865"/>
    <w:next w:val="865"/>
    <w:link w:val="692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692">
    <w:name w:val="Heading 3 Char"/>
    <w:link w:val="691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693">
    <w:name w:val="Heading 4"/>
    <w:basedOn w:val="865"/>
    <w:next w:val="865"/>
    <w:link w:val="694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694">
    <w:name w:val="Heading 4 Char"/>
    <w:link w:val="693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695">
    <w:name w:val="Heading 5"/>
    <w:basedOn w:val="865"/>
    <w:next w:val="865"/>
    <w:link w:val="696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696">
    <w:name w:val="Heading 5 Char"/>
    <w:link w:val="695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697">
    <w:name w:val="Heading 6"/>
    <w:basedOn w:val="865"/>
    <w:next w:val="865"/>
    <w:link w:val="698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698">
    <w:name w:val="Heading 6 Char"/>
    <w:link w:val="697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699">
    <w:name w:val="Heading 7"/>
    <w:basedOn w:val="865"/>
    <w:next w:val="865"/>
    <w:link w:val="700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700">
    <w:name w:val="Heading 7 Char"/>
    <w:link w:val="699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701">
    <w:name w:val="Heading 8"/>
    <w:basedOn w:val="865"/>
    <w:next w:val="865"/>
    <w:link w:val="702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702">
    <w:name w:val="Heading 8 Char"/>
    <w:link w:val="701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703">
    <w:name w:val="Heading 9"/>
    <w:basedOn w:val="865"/>
    <w:next w:val="865"/>
    <w:link w:val="704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704">
    <w:name w:val="Heading 9 Char"/>
    <w:link w:val="703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705">
    <w:name w:val="List Paragraph"/>
    <w:basedOn w:val="865"/>
    <w:uiPriority w:val="34"/>
    <w:qFormat/>
    <w:pPr>
      <w:contextualSpacing/>
      <w:ind w:left="720"/>
    </w:pPr>
  </w:style>
  <w:style w:type="paragraph" w:styleId="706">
    <w:name w:val="No Spacing"/>
    <w:uiPriority w:val="1"/>
    <w:qFormat/>
    <w:pPr>
      <w:spacing w:before="0" w:after="0" w:line="240" w:lineRule="auto"/>
    </w:pPr>
  </w:style>
  <w:style w:type="paragraph" w:styleId="707">
    <w:name w:val="Title"/>
    <w:basedOn w:val="865"/>
    <w:next w:val="865"/>
    <w:link w:val="708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08">
    <w:name w:val="Title Char"/>
    <w:link w:val="707"/>
    <w:uiPriority w:val="10"/>
    <w:rPr>
      <w:sz w:val="48"/>
      <w:szCs w:val="48"/>
    </w:rPr>
  </w:style>
  <w:style w:type="paragraph" w:styleId="709">
    <w:name w:val="Subtitle"/>
    <w:basedOn w:val="865"/>
    <w:next w:val="865"/>
    <w:link w:val="710"/>
    <w:uiPriority w:val="11"/>
    <w:qFormat/>
    <w:pPr>
      <w:spacing w:before="200" w:after="200"/>
    </w:pPr>
    <w:rPr>
      <w:sz w:val="24"/>
      <w:szCs w:val="24"/>
    </w:rPr>
  </w:style>
  <w:style w:type="character" w:styleId="710">
    <w:name w:val="Subtitle Char"/>
    <w:link w:val="709"/>
    <w:uiPriority w:val="11"/>
    <w:rPr>
      <w:sz w:val="24"/>
      <w:szCs w:val="24"/>
    </w:rPr>
  </w:style>
  <w:style w:type="paragraph" w:styleId="711">
    <w:name w:val="Quote"/>
    <w:basedOn w:val="865"/>
    <w:next w:val="865"/>
    <w:link w:val="712"/>
    <w:uiPriority w:val="29"/>
    <w:qFormat/>
    <w:pPr>
      <w:ind w:left="720" w:right="720"/>
    </w:pPr>
    <w:rPr>
      <w:i/>
    </w:rPr>
  </w:style>
  <w:style w:type="character" w:styleId="712">
    <w:name w:val="Quote Char"/>
    <w:link w:val="711"/>
    <w:uiPriority w:val="29"/>
    <w:rPr>
      <w:i/>
    </w:rPr>
  </w:style>
  <w:style w:type="paragraph" w:styleId="713">
    <w:name w:val="Intense Quote"/>
    <w:basedOn w:val="865"/>
    <w:next w:val="865"/>
    <w:link w:val="714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14">
    <w:name w:val="Intense Quote Char"/>
    <w:link w:val="713"/>
    <w:uiPriority w:val="30"/>
    <w:rPr>
      <w:i/>
    </w:rPr>
  </w:style>
  <w:style w:type="paragraph" w:styleId="715">
    <w:name w:val="Header"/>
    <w:basedOn w:val="865"/>
    <w:link w:val="71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16">
    <w:name w:val="Header Char"/>
    <w:link w:val="715"/>
    <w:uiPriority w:val="99"/>
  </w:style>
  <w:style w:type="paragraph" w:styleId="717">
    <w:name w:val="Footer"/>
    <w:basedOn w:val="865"/>
    <w:link w:val="718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18">
    <w:name w:val="Footer Char"/>
    <w:link w:val="717"/>
    <w:uiPriority w:val="99"/>
  </w:style>
  <w:style w:type="paragraph" w:styleId="719">
    <w:name w:val="Caption"/>
    <w:basedOn w:val="865"/>
    <w:next w:val="865"/>
    <w:link w:val="720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20">
    <w:name w:val="Caption Char"/>
    <w:link w:val="719"/>
    <w:uiPriority w:val="35"/>
    <w:rPr>
      <w:b/>
      <w:bCs/>
      <w:color w:val="4f81bd" w:themeColor="accent1"/>
      <w:sz w:val="18"/>
      <w:szCs w:val="18"/>
    </w:rPr>
  </w:style>
  <w:style w:type="table" w:styleId="721">
    <w:name w:val="Table Grid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2">
    <w:name w:val="Table Grid Light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3">
    <w:name w:val="Plain Table 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724">
    <w:name w:val="Plain Table 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725">
    <w:name w:val="Plain Table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26">
    <w:name w:val="Plain Table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7">
    <w:name w:val="Plain Table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28">
    <w:name w:val="Grid Table 1 Light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9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0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1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2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3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4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5">
    <w:name w:val="Grid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Grid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Grid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Grid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Grid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Grid Table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50">
    <w:name w:val="Grid Table 4 - Accent 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51">
    <w:name w:val="Grid Table 4 - Accent 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52">
    <w:name w:val="Grid Table 4 - Accent 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53">
    <w:name w:val="Grid Table 4 - Accent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54">
    <w:name w:val="Grid Table 4 - Accent 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55">
    <w:name w:val="Grid Table 4 - Accent 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56">
    <w:name w:val="Grid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57">
    <w:name w:val="Grid Table 5 Dark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58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59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60">
    <w:name w:val="Grid Table 5 Dark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61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62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63">
    <w:name w:val="Grid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764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765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766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767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768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69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70">
    <w:name w:val="Grid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3e70a3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5c702f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7" w:themeColor="accent5" w:themeShade="95"/>
        <w:sz w:val="22"/>
      </w:rPr>
    </w:tblStylePr>
    <w:tblStylePr w:type="firstCol">
      <w:rPr>
        <w:rFonts w:ascii="Liberation Sans" w:hAnsi="Liberation Sans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05307" w:themeColor="accent6" w:themeShade="95"/>
        <w:sz w:val="22"/>
      </w:rPr>
    </w:tblStylePr>
    <w:tblStylePr w:type="firstCol">
      <w:rPr>
        <w:rFonts w:ascii="Liberation Sans" w:hAnsi="Liberation Sans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>
    <w:name w:val="List Table 1 Light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>
    <w:name w:val="List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>
    <w:name w:val="List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>
    <w:name w:val="List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>
    <w:name w:val="List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>
    <w:name w:val="List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>
    <w:name w:val="List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>
    <w:name w:val="List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85">
    <w:name w:val="List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86">
    <w:name w:val="List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87">
    <w:name w:val="List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88">
    <w:name w:val="List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89">
    <w:name w:val="List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90">
    <w:name w:val="List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91">
    <w:name w:val="List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List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>
    <w:name w:val="List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>
    <w:name w:val="List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5">
    <w:name w:val="List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6">
    <w:name w:val="List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>
    <w:name w:val="List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>
    <w:name w:val="List Table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>
    <w:name w:val="List Table 4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0">
    <w:name w:val="List Table 4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1">
    <w:name w:val="List Table 4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2">
    <w:name w:val="List Table 4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3">
    <w:name w:val="List Table 4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4">
    <w:name w:val="List Table 4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5">
    <w:name w:val="List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06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07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08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09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10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11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12">
    <w:name w:val="List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13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14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15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16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17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18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19">
    <w:name w:val="List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820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2a4b71" w:themeColor="accent1" w:themeShade="95"/>
        <w:sz w:val="22"/>
      </w:rPr>
    </w:tblStylePr>
    <w:tblStylePr w:type="firstCol">
      <w:rPr>
        <w:rFonts w:ascii="Liberation Sans" w:hAnsi="Liberation Sans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2a4b71" w:themeColor="accent1" w:themeShade="95"/>
        <w:sz w:val="22"/>
      </w:rPr>
    </w:tblStylePr>
  </w:style>
  <w:style w:type="table" w:styleId="821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9c3a37" w:themeColor="accent2" w:themeTint="97" w:themeShade="95"/>
        <w:sz w:val="22"/>
      </w:rPr>
    </w:tblStylePr>
  </w:style>
  <w:style w:type="table" w:styleId="822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7c983f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7c983f" w:themeColor="accent3" w:themeTint="98" w:themeShade="95"/>
        <w:sz w:val="22"/>
      </w:rPr>
    </w:tblStylePr>
  </w:style>
  <w:style w:type="table" w:styleId="823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664f82" w:themeColor="accent4" w:themeTint="9A" w:themeShade="95"/>
        <w:sz w:val="22"/>
      </w:rPr>
    </w:tblStylePr>
  </w:style>
  <w:style w:type="table" w:styleId="824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338aa0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338aa0" w:themeColor="accent5" w:themeTint="9A" w:themeShade="95"/>
        <w:sz w:val="22"/>
      </w:rPr>
    </w:tblStylePr>
  </w:style>
  <w:style w:type="table" w:styleId="825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d9680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d9680c" w:themeColor="accent6" w:themeTint="98" w:themeShade="95"/>
        <w:sz w:val="22"/>
      </w:rPr>
    </w:tblStylePr>
  </w:style>
  <w:style w:type="table" w:styleId="826">
    <w:name w:val="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7">
    <w:name w:val="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28">
    <w:name w:val="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29">
    <w:name w:val="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30">
    <w:name w:val="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31">
    <w:name w:val="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32">
    <w:name w:val="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33">
    <w:name w:val="Bordered &amp; 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34">
    <w:name w:val="Bordered &amp; 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35">
    <w:name w:val="Bordered &amp; 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36">
    <w:name w:val="Bordered &amp; 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37">
    <w:name w:val="Bordered &amp; 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38">
    <w:name w:val="Bordered &amp; 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39">
    <w:name w:val="Bordered &amp; 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40">
    <w:name w:val="Bordered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41">
    <w:name w:val="Bordered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42">
    <w:name w:val="Bordered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43">
    <w:name w:val="Bordered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44">
    <w:name w:val="Bordered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45">
    <w:name w:val="Bordered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46">
    <w:name w:val="Bordered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47">
    <w:name w:val="Hyperlink"/>
    <w:uiPriority w:val="99"/>
    <w:unhideWhenUsed/>
    <w:rPr>
      <w:color w:val="0000ff" w:themeColor="hyperlink"/>
      <w:u w:val="single"/>
    </w:rPr>
  </w:style>
  <w:style w:type="paragraph" w:styleId="848">
    <w:name w:val="footnote text"/>
    <w:basedOn w:val="865"/>
    <w:link w:val="849"/>
    <w:uiPriority w:val="99"/>
    <w:semiHidden/>
    <w:unhideWhenUsed/>
    <w:pPr>
      <w:spacing w:after="40" w:line="240" w:lineRule="auto"/>
    </w:pPr>
    <w:rPr>
      <w:sz w:val="18"/>
    </w:rPr>
  </w:style>
  <w:style w:type="character" w:styleId="849">
    <w:name w:val="Footnote Text Char"/>
    <w:link w:val="848"/>
    <w:uiPriority w:val="99"/>
    <w:rPr>
      <w:sz w:val="18"/>
    </w:rPr>
  </w:style>
  <w:style w:type="character" w:styleId="850">
    <w:name w:val="footnote reference"/>
    <w:uiPriority w:val="99"/>
    <w:unhideWhenUsed/>
    <w:rPr>
      <w:vertAlign w:val="superscript"/>
    </w:rPr>
  </w:style>
  <w:style w:type="paragraph" w:styleId="851">
    <w:name w:val="endnote text"/>
    <w:basedOn w:val="865"/>
    <w:link w:val="852"/>
    <w:uiPriority w:val="99"/>
    <w:semiHidden/>
    <w:unhideWhenUsed/>
    <w:pPr>
      <w:spacing w:after="0" w:line="240" w:lineRule="auto"/>
    </w:pPr>
    <w:rPr>
      <w:sz w:val="20"/>
    </w:rPr>
  </w:style>
  <w:style w:type="character" w:styleId="852">
    <w:name w:val="Endnote Text Char"/>
    <w:link w:val="851"/>
    <w:uiPriority w:val="99"/>
    <w:rPr>
      <w:sz w:val="20"/>
    </w:rPr>
  </w:style>
  <w:style w:type="character" w:styleId="853">
    <w:name w:val="endnote reference"/>
    <w:uiPriority w:val="99"/>
    <w:semiHidden/>
    <w:unhideWhenUsed/>
    <w:rPr>
      <w:vertAlign w:val="superscript"/>
    </w:rPr>
  </w:style>
  <w:style w:type="paragraph" w:styleId="854">
    <w:name w:val="toc 1"/>
    <w:basedOn w:val="865"/>
    <w:next w:val="865"/>
    <w:uiPriority w:val="39"/>
    <w:unhideWhenUsed/>
    <w:pPr>
      <w:ind w:left="0" w:right="0" w:firstLine="0"/>
      <w:spacing w:after="57"/>
    </w:pPr>
  </w:style>
  <w:style w:type="paragraph" w:styleId="855">
    <w:name w:val="toc 2"/>
    <w:basedOn w:val="865"/>
    <w:next w:val="865"/>
    <w:uiPriority w:val="39"/>
    <w:unhideWhenUsed/>
    <w:pPr>
      <w:ind w:left="283" w:right="0" w:firstLine="0"/>
      <w:spacing w:after="57"/>
    </w:pPr>
  </w:style>
  <w:style w:type="paragraph" w:styleId="856">
    <w:name w:val="toc 3"/>
    <w:basedOn w:val="865"/>
    <w:next w:val="865"/>
    <w:uiPriority w:val="39"/>
    <w:unhideWhenUsed/>
    <w:pPr>
      <w:ind w:left="567" w:right="0" w:firstLine="0"/>
      <w:spacing w:after="57"/>
    </w:pPr>
  </w:style>
  <w:style w:type="paragraph" w:styleId="857">
    <w:name w:val="toc 4"/>
    <w:basedOn w:val="865"/>
    <w:next w:val="865"/>
    <w:uiPriority w:val="39"/>
    <w:unhideWhenUsed/>
    <w:pPr>
      <w:ind w:left="850" w:right="0" w:firstLine="0"/>
      <w:spacing w:after="57"/>
    </w:pPr>
  </w:style>
  <w:style w:type="paragraph" w:styleId="858">
    <w:name w:val="toc 5"/>
    <w:basedOn w:val="865"/>
    <w:next w:val="865"/>
    <w:uiPriority w:val="39"/>
    <w:unhideWhenUsed/>
    <w:pPr>
      <w:ind w:left="1134" w:right="0" w:firstLine="0"/>
      <w:spacing w:after="57"/>
    </w:pPr>
  </w:style>
  <w:style w:type="paragraph" w:styleId="859">
    <w:name w:val="toc 6"/>
    <w:basedOn w:val="865"/>
    <w:next w:val="865"/>
    <w:uiPriority w:val="39"/>
    <w:unhideWhenUsed/>
    <w:pPr>
      <w:ind w:left="1417" w:right="0" w:firstLine="0"/>
      <w:spacing w:after="57"/>
    </w:pPr>
  </w:style>
  <w:style w:type="paragraph" w:styleId="860">
    <w:name w:val="toc 7"/>
    <w:basedOn w:val="865"/>
    <w:next w:val="865"/>
    <w:uiPriority w:val="39"/>
    <w:unhideWhenUsed/>
    <w:pPr>
      <w:ind w:left="1701" w:right="0" w:firstLine="0"/>
      <w:spacing w:after="57"/>
    </w:pPr>
  </w:style>
  <w:style w:type="paragraph" w:styleId="861">
    <w:name w:val="toc 8"/>
    <w:basedOn w:val="865"/>
    <w:next w:val="865"/>
    <w:uiPriority w:val="39"/>
    <w:unhideWhenUsed/>
    <w:pPr>
      <w:ind w:left="1984" w:right="0" w:firstLine="0"/>
      <w:spacing w:after="57"/>
    </w:pPr>
  </w:style>
  <w:style w:type="paragraph" w:styleId="862">
    <w:name w:val="toc 9"/>
    <w:basedOn w:val="865"/>
    <w:next w:val="865"/>
    <w:uiPriority w:val="39"/>
    <w:unhideWhenUsed/>
    <w:pPr>
      <w:ind w:left="2268" w:right="0" w:firstLine="0"/>
      <w:spacing w:after="57"/>
    </w:pPr>
  </w:style>
  <w:style w:type="paragraph" w:styleId="863">
    <w:name w:val="TOC Heading"/>
    <w:uiPriority w:val="39"/>
    <w:unhideWhenUsed/>
  </w:style>
  <w:style w:type="paragraph" w:styleId="864">
    <w:name w:val="table of figures"/>
    <w:basedOn w:val="865"/>
    <w:next w:val="865"/>
    <w:uiPriority w:val="99"/>
    <w:unhideWhenUsed/>
    <w:pPr>
      <w:spacing w:after="0" w:afterAutospacing="0"/>
    </w:pPr>
  </w:style>
  <w:style w:type="paragraph" w:styleId="865" w:default="1">
    <w:name w:val="Normal"/>
    <w:next w:val="865"/>
    <w:link w:val="865"/>
    <w:qFormat/>
    <w:rPr>
      <w:sz w:val="24"/>
      <w:szCs w:val="24"/>
      <w:lang w:val="ru-RU" w:eastAsia="ru-RU" w:bidi="ar-SA"/>
    </w:rPr>
  </w:style>
  <w:style w:type="paragraph" w:styleId="866">
    <w:name w:val="Заголовок 1"/>
    <w:basedOn w:val="865"/>
    <w:next w:val="865"/>
    <w:link w:val="874"/>
    <w:qFormat/>
    <w:pPr>
      <w:jc w:val="center"/>
      <w:keepNext/>
      <w:tabs>
        <w:tab w:val="left" w:pos="0" w:leader="none"/>
      </w:tabs>
      <w:outlineLvl w:val="0"/>
    </w:pPr>
    <w:rPr>
      <w:b/>
      <w:sz w:val="20"/>
      <w:szCs w:val="20"/>
    </w:rPr>
  </w:style>
  <w:style w:type="paragraph" w:styleId="867">
    <w:name w:val="Заголовок 2"/>
    <w:basedOn w:val="865"/>
    <w:next w:val="865"/>
    <w:link w:val="880"/>
    <w:semiHidden/>
    <w:unhideWhenUsed/>
    <w:qFormat/>
    <w:pPr>
      <w:keepNext/>
      <w:spacing w:before="240" w:after="60"/>
      <w:outlineLvl w:val="1"/>
    </w:pPr>
    <w:rPr>
      <w:rFonts w:ascii="Calibri Light" w:hAnsi="Calibri Light" w:eastAsia="Times New Roman" w:cs="Times New Roman"/>
      <w:b/>
      <w:bCs/>
      <w:i/>
      <w:iCs/>
      <w:sz w:val="28"/>
      <w:szCs w:val="28"/>
    </w:rPr>
  </w:style>
  <w:style w:type="character" w:styleId="868">
    <w:name w:val="Основной шрифт абзаца"/>
    <w:next w:val="868"/>
    <w:link w:val="865"/>
    <w:semiHidden/>
  </w:style>
  <w:style w:type="table" w:styleId="869">
    <w:name w:val="Обычная таблица"/>
    <w:next w:val="869"/>
    <w:link w:val="865"/>
    <w:semiHidden/>
    <w:tblPr/>
  </w:style>
  <w:style w:type="numbering" w:styleId="870">
    <w:name w:val="Нет списка"/>
    <w:next w:val="870"/>
    <w:link w:val="865"/>
    <w:semiHidden/>
  </w:style>
  <w:style w:type="table" w:styleId="871">
    <w:name w:val="Сетка таблицы"/>
    <w:basedOn w:val="869"/>
    <w:next w:val="871"/>
    <w:link w:val="865"/>
    <w:tblPr/>
  </w:style>
  <w:style w:type="paragraph" w:styleId="872">
    <w:name w:val="Текст выноски"/>
    <w:basedOn w:val="865"/>
    <w:next w:val="872"/>
    <w:link w:val="865"/>
    <w:semiHidden/>
    <w:rPr>
      <w:rFonts w:ascii="Tahoma" w:hAnsi="Tahoma" w:cs="Tahoma"/>
      <w:sz w:val="16"/>
      <w:szCs w:val="16"/>
    </w:rPr>
  </w:style>
  <w:style w:type="character" w:styleId="873">
    <w:name w:val="Гиперссылка"/>
    <w:next w:val="873"/>
    <w:link w:val="865"/>
    <w:unhideWhenUsed/>
    <w:rPr>
      <w:color w:val="0000ff"/>
      <w:u w:val="single"/>
    </w:rPr>
  </w:style>
  <w:style w:type="character" w:styleId="874">
    <w:name w:val="Заголовок 1 Знак"/>
    <w:next w:val="874"/>
    <w:link w:val="866"/>
    <w:rPr>
      <w:b/>
    </w:rPr>
  </w:style>
  <w:style w:type="paragraph" w:styleId="875">
    <w:name w:val="ConsPlusNormal"/>
    <w:next w:val="875"/>
    <w:link w:val="865"/>
    <w:rPr>
      <w:rFonts w:ascii="Arial" w:hAnsi="Arial" w:eastAsia="Calibri" w:cs="Arial"/>
      <w:lang w:val="ru-RU" w:eastAsia="en-US" w:bidi="ar-SA"/>
    </w:rPr>
  </w:style>
  <w:style w:type="paragraph" w:styleId="876">
    <w:name w:val="текст сноски"/>
    <w:basedOn w:val="865"/>
    <w:next w:val="876"/>
    <w:link w:val="865"/>
    <w:pPr>
      <w:widowControl w:val="off"/>
    </w:pPr>
    <w:rPr>
      <w:rFonts w:ascii="Gelvetsky 12pt" w:hAnsi="Gelvetsky 12pt"/>
      <w:szCs w:val="20"/>
      <w:lang w:val="en-US"/>
    </w:rPr>
  </w:style>
  <w:style w:type="character" w:styleId="877">
    <w:name w:val="Font Style11"/>
    <w:next w:val="877"/>
    <w:link w:val="865"/>
    <w:rPr>
      <w:rFonts w:ascii="Times New Roman" w:hAnsi="Times New Roman" w:cs="Times New Roman"/>
      <w:sz w:val="18"/>
      <w:szCs w:val="18"/>
    </w:rPr>
  </w:style>
  <w:style w:type="paragraph" w:styleId="878">
    <w:name w:val="Без интервала"/>
    <w:next w:val="878"/>
    <w:link w:val="865"/>
    <w:uiPriority w:val="99"/>
    <w:qFormat/>
    <w:rPr>
      <w:rFonts w:ascii="Calibri" w:hAnsi="Calibri" w:eastAsia="Calibri"/>
      <w:sz w:val="22"/>
      <w:szCs w:val="22"/>
      <w:lang w:val="ru-RU" w:eastAsia="en-US" w:bidi="ar-SA"/>
    </w:rPr>
  </w:style>
  <w:style w:type="character" w:styleId="879">
    <w:name w:val="blk"/>
    <w:next w:val="879"/>
    <w:link w:val="865"/>
  </w:style>
  <w:style w:type="character" w:styleId="880">
    <w:name w:val="Заголовок 2 Знак"/>
    <w:next w:val="880"/>
    <w:link w:val="867"/>
    <w:semiHidden/>
    <w:rPr>
      <w:rFonts w:ascii="Calibri Light" w:hAnsi="Calibri Light" w:eastAsia="Times New Roman" w:cs="Times New Roman"/>
      <w:b/>
      <w:bCs/>
      <w:i/>
      <w:iCs/>
      <w:sz w:val="28"/>
      <w:szCs w:val="28"/>
    </w:rPr>
  </w:style>
  <w:style w:type="character" w:styleId="881" w:default="1">
    <w:name w:val="Default Paragraph Font"/>
    <w:uiPriority w:val="1"/>
    <w:semiHidden/>
    <w:unhideWhenUsed/>
  </w:style>
  <w:style w:type="numbering" w:styleId="882" w:default="1">
    <w:name w:val="No List"/>
    <w:uiPriority w:val="99"/>
    <w:semiHidden/>
    <w:unhideWhenUsed/>
  </w:style>
  <w:style w:type="table" w:styleId="883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image" Target="media/image1.png"/><Relationship Id="rId10" Type="http://schemas.openxmlformats.org/officeDocument/2006/relationships/image" Target="media/media1.svg"/><Relationship Id="rId11" Type="http://schemas.openxmlformats.org/officeDocument/2006/relationships/image" Target="media/image2.png"/><Relationship Id="rId12" Type="http://schemas.openxmlformats.org/officeDocument/2006/relationships/image" Target="media/media2.svg"/><Relationship Id="rId13" Type="http://schemas.openxmlformats.org/officeDocument/2006/relationships/image" Target="media/image3.png"/><Relationship Id="rId14" Type="http://schemas.openxmlformats.org/officeDocument/2006/relationships/image" Target="media/media3.sv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Liberation Sans"/>
        <a:ea typeface="Liberation Sans"/>
        <a:cs typeface="Liberation Sans"/>
      </a:majorFont>
      <a:minorFont>
        <a:latin typeface="Liberation Sans"/>
        <a:ea typeface="Liberation Sans"/>
        <a:cs typeface="Liberation Sans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>Your Company Name</Company>
  <DocSecurity>0</DocSecurity>
  <HyperlinksChanged>false</HyperlinksChanged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Отдел обеспечения деятельности</dc:title>
  <dc:creator>Олейник АН</dc:creator>
  <cp:lastModifiedBy>a.nadtochij</cp:lastModifiedBy>
  <cp:revision>111</cp:revision>
  <dcterms:created xsi:type="dcterms:W3CDTF">2019-08-29T13:37:00Z</dcterms:created>
  <dcterms:modified xsi:type="dcterms:W3CDTF">2026-09-10T12:29:20Z</dcterms:modified>
  <cp:version>1048576</cp:version>
</cp:coreProperties>
</file>