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center" w:pos="4725" w:leader="none"/>
        </w:tabs>
        <w:ind w:left="567"/>
        <w:jc w:val="center"/>
        <w:rPr>
          <w:rFonts w:ascii="PT Astra Serif" w:hAnsi="PT Astra Serif"/>
          <w:b/>
          <w:sz w:val="16"/>
          <w:szCs w:val="16"/>
        </w:rPr>
      </w:pPr>
      <w:r>
        <w:rPr>
          <w:rFonts w:ascii="PT Astra Serif" w:hAnsi="PT Astra Serif"/>
          <w:b/>
          <w:sz w:val="16"/>
          <w:szCs w:val="16"/>
        </w:rPr>
        <w:t xml:space="preserve">ГОСУДАРСТВЕННЫЙ КОНТРАКТ № </w:t>
      </w:r>
      <w:r>
        <w:rPr>
          <w:rFonts w:ascii="PT Astra Serif" w:hAnsi="PT Astra Serif"/>
          <w:sz w:val="16"/>
          <w:szCs w:val="16"/>
        </w:rPr>
        <w:t>___________________</w:t>
      </w:r>
    </w:p>
    <w:p>
      <w:pPr>
        <w:pStyle w:val="Normal"/>
        <w:ind w:left="567"/>
        <w:jc w:val="center"/>
        <w:textAlignment w:val="baseline"/>
        <w:rPr>
          <w:b/>
          <w:bCs/>
          <w:sz w:val="18"/>
          <w:szCs w:val="18"/>
        </w:rPr>
      </w:pPr>
      <w:r>
        <w:rPr>
          <w:b/>
          <w:bCs/>
          <w:sz w:val="18"/>
          <w:szCs w:val="18"/>
        </w:rPr>
        <w:t>на оказание услуг по транспортно-экспедиторскому обслуживанию перевозки железнодорожным транспортом нефтепродуктов</w:t>
      </w:r>
    </w:p>
    <w:p>
      <w:pPr>
        <w:pStyle w:val="Normal"/>
        <w:ind w:left="567" w:right="566"/>
        <w:jc w:val="center"/>
        <w:rPr>
          <w:rFonts w:ascii="PT Astra Serif" w:hAnsi="PT Astra Serif"/>
          <w:sz w:val="18"/>
          <w:szCs w:val="18"/>
        </w:rPr>
      </w:pPr>
      <w:r>
        <w:rPr>
          <w:rFonts w:ascii="PT Astra Serif" w:hAnsi="PT Astra Serif"/>
          <w:sz w:val="18"/>
          <w:szCs w:val="18"/>
        </w:rPr>
        <w:t>ИКЗ 261130808227013080100100180000000244</w:t>
      </w:r>
    </w:p>
    <w:p>
      <w:pPr>
        <w:pStyle w:val="Normal"/>
        <w:ind w:left="567"/>
        <w:jc w:val="both"/>
        <w:rPr>
          <w:rFonts w:ascii="PT Astra Serif" w:hAnsi="PT Astra Serif"/>
          <w:sz w:val="18"/>
          <w:szCs w:val="18"/>
        </w:rPr>
      </w:pPr>
      <w:r>
        <w:rPr>
          <w:rFonts w:ascii="PT Astra Serif" w:hAnsi="PT Astra Serif"/>
          <w:sz w:val="18"/>
          <w:szCs w:val="18"/>
        </w:rPr>
        <w:t>Республика Мордовия р.п. Явас</w:t>
        <w:tab/>
        <w:tab/>
        <w:tab/>
        <w:tab/>
        <w:tab/>
        <w:tab/>
        <w:tab/>
        <w:t xml:space="preserve">         «____» _______ 2026 г.</w:t>
      </w:r>
    </w:p>
    <w:p>
      <w:pPr>
        <w:pStyle w:val="Normal"/>
        <w:ind w:left="567"/>
        <w:jc w:val="both"/>
        <w:rPr>
          <w:rFonts w:ascii="PT Astra Serif" w:hAnsi="PT Astra Serif"/>
          <w:sz w:val="16"/>
          <w:szCs w:val="16"/>
        </w:rPr>
      </w:pPr>
      <w:r>
        <w:rPr>
          <w:rFonts w:ascii="PT Astra Serif" w:hAnsi="PT Astra Serif"/>
          <w:sz w:val="16"/>
          <w:szCs w:val="16"/>
        </w:rPr>
      </w:r>
    </w:p>
    <w:p>
      <w:pPr>
        <w:pStyle w:val="Normal"/>
        <w:ind w:left="567"/>
        <w:jc w:val="both"/>
        <w:textAlignment w:val="baseline"/>
        <w:rPr>
          <w:sz w:val="18"/>
          <w:szCs w:val="18"/>
        </w:rPr>
      </w:pPr>
      <w:r>
        <w:rPr>
          <w:rFonts w:ascii="PT Astra Serif" w:hAnsi="PT Astra Serif"/>
          <w:sz w:val="16"/>
          <w:szCs w:val="16"/>
        </w:rPr>
        <w:tab/>
      </w:r>
    </w:p>
    <w:p>
      <w:pPr>
        <w:pStyle w:val="Normal"/>
        <w:ind w:left="567"/>
        <w:jc w:val="both"/>
        <w:textAlignment w:val="baseline"/>
        <w:rPr>
          <w:sz w:val="18"/>
          <w:szCs w:val="18"/>
        </w:rPr>
      </w:pPr>
      <w:r>
        <w:rPr>
          <w:color w:val="000000"/>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w:t>
      </w:r>
      <w:r>
        <w:rPr>
          <w:b/>
          <w:color w:val="000000"/>
          <w:sz w:val="18"/>
          <w:szCs w:val="18"/>
        </w:rPr>
        <w:t>Государственный заказчик</w:t>
      </w:r>
      <w:r>
        <w:rPr>
          <w:color w:val="000000"/>
          <w:sz w:val="18"/>
          <w:szCs w:val="18"/>
        </w:rPr>
        <w:t>», в лице    н</w:t>
      </w:r>
      <w:r>
        <w:rPr>
          <w:sz w:val="18"/>
          <w:szCs w:val="18"/>
        </w:rPr>
        <w:t xml:space="preserve">ачальника Аношкина Евгения Александровича, действующего  на основании  </w:t>
      </w:r>
      <w:r>
        <w:rPr>
          <w:color w:val="000000"/>
          <w:sz w:val="18"/>
          <w:szCs w:val="18"/>
        </w:rPr>
        <w:t>Устава</w:t>
      </w:r>
      <w:r>
        <w:rPr>
          <w:sz w:val="18"/>
          <w:szCs w:val="18"/>
        </w:rPr>
        <w:t>, с одной стороны и ______________(сокращенное наименование __________), именуемое в дальнейшем «</w:t>
      </w:r>
      <w:r>
        <w:rPr>
          <w:b/>
          <w:bCs/>
          <w:sz w:val="18"/>
          <w:szCs w:val="18"/>
        </w:rPr>
        <w:t>Исполнитель</w:t>
      </w:r>
      <w:r>
        <w:rPr>
          <w:sz w:val="18"/>
          <w:szCs w:val="18"/>
        </w:rPr>
        <w:t xml:space="preserve">»,   в лице ___________________, действующего на основании __________, с другой стороны, вместе именуемые «Стороны», руководствуясь </w:t>
      </w:r>
      <w:r>
        <w:rPr>
          <w:rFonts w:eastAsia="Lucida Sans Unicode"/>
          <w:bCs/>
          <w:kern w:val="2"/>
          <w:sz w:val="18"/>
          <w:szCs w:val="18"/>
          <w:lang w:eastAsia="ar-SA"/>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pPr>
        <w:pStyle w:val="Normal"/>
        <w:snapToGrid w:val="false"/>
        <w:spacing w:before="0" w:after="0"/>
        <w:ind w:left="567" w:right="-74"/>
        <w:contextualSpacing/>
        <w:jc w:val="both"/>
        <w:rPr>
          <w:sz w:val="18"/>
          <w:szCs w:val="18"/>
        </w:rPr>
      </w:pPr>
      <w:r>
        <w:rPr>
          <w:sz w:val="18"/>
          <w:szCs w:val="18"/>
        </w:rPr>
      </w:r>
    </w:p>
    <w:p>
      <w:pPr>
        <w:pStyle w:val="Normal"/>
        <w:ind w:left="567" w:right="-75"/>
        <w:jc w:val="center"/>
        <w:textAlignment w:val="baseline"/>
        <w:rPr>
          <w:b/>
          <w:sz w:val="18"/>
          <w:szCs w:val="18"/>
        </w:rPr>
      </w:pPr>
      <w:r>
        <w:rPr>
          <w:b/>
          <w:sz w:val="18"/>
          <w:szCs w:val="18"/>
        </w:rPr>
        <w:t xml:space="preserve">1. </w:t>
      </w:r>
      <w:r>
        <w:rPr>
          <w:b/>
          <w:bCs/>
          <w:sz w:val="18"/>
          <w:szCs w:val="18"/>
        </w:rPr>
        <w:t>Предмет контракта</w:t>
      </w:r>
    </w:p>
    <w:p>
      <w:pPr>
        <w:pStyle w:val="Normal"/>
        <w:ind w:left="567"/>
        <w:jc w:val="both"/>
        <w:textAlignment w:val="baseline"/>
        <w:rPr>
          <w:sz w:val="18"/>
          <w:szCs w:val="18"/>
        </w:rPr>
      </w:pPr>
      <w:r>
        <w:rPr>
          <w:sz w:val="18"/>
          <w:szCs w:val="18"/>
        </w:rPr>
        <w:t>1.1.</w:t>
      </w:r>
      <w:r>
        <w:rPr>
          <w:sz w:val="21"/>
          <w:szCs w:val="21"/>
        </w:rPr>
        <w:t xml:space="preserve"> Исполнитель обязуется оказать услугу Государственному заказчику по транспортно-</w:t>
      </w:r>
      <w:r>
        <w:rPr>
          <w:sz w:val="18"/>
          <w:szCs w:val="18"/>
        </w:rPr>
        <w:t xml:space="preserve">экспедиторскому обслуживанию перевозки железнодорожным транспортом нефтепродуктов, по цене согласно спецификации (Приложение № 1) и в количестве и характеристикамустановленным в Техническом задании </w:t>
      </w:r>
      <w:r>
        <w:rPr>
          <w:color w:themeColor="text1" w:val="000000"/>
          <w:sz w:val="18"/>
          <w:szCs w:val="18"/>
        </w:rPr>
        <w:t>(</w:t>
      </w:r>
      <w:hyperlink w:anchor="P389">
        <w:r>
          <w:rPr>
            <w:rStyle w:val="Style8"/>
            <w:color w:themeColor="text1" w:val="000000"/>
            <w:sz w:val="18"/>
            <w:szCs w:val="18"/>
          </w:rPr>
          <w:t>Приложение № 2</w:t>
        </w:r>
      </w:hyperlink>
      <w:r>
        <w:rPr>
          <w:sz w:val="18"/>
          <w:szCs w:val="18"/>
        </w:rPr>
        <w:t xml:space="preserve"> к настоящему Контракту), а Заказчик обязуется принять и оплатить услугу в срок, предусмотренный настоящим Контрактом.</w:t>
      </w:r>
    </w:p>
    <w:p>
      <w:pPr>
        <w:pStyle w:val="Normal"/>
        <w:ind w:left="567"/>
        <w:jc w:val="both"/>
        <w:rPr>
          <w:sz w:val="18"/>
          <w:szCs w:val="18"/>
        </w:rPr>
      </w:pPr>
      <w:r>
        <w:rPr>
          <w:sz w:val="18"/>
          <w:szCs w:val="18"/>
        </w:rPr>
        <w:tab/>
        <w:t xml:space="preserve">1.2. Услуга оказывается силами и за счет собственных средств Исполнителя от </w:t>
      </w:r>
      <w:r>
        <w:rPr>
          <w:rFonts w:ascii="XO Thames" w:hAnsi="XO Thames"/>
          <w:color w:val="000000"/>
          <w:sz w:val="18"/>
          <w:szCs w:val="18"/>
        </w:rPr>
        <w:t>ФГКУ «Складской терминал</w:t>
      </w:r>
      <w:r>
        <w:rPr>
          <w:rFonts w:ascii="XO Thames" w:hAnsi="XO Thames"/>
          <w:color w:val="000000"/>
        </w:rPr>
        <w:t xml:space="preserve"> </w:t>
      </w:r>
      <w:r>
        <w:rPr>
          <w:rFonts w:ascii="XO Thames" w:hAnsi="XO Thames"/>
          <w:color w:val="000000"/>
          <w:sz w:val="18"/>
          <w:szCs w:val="18"/>
        </w:rPr>
        <w:t xml:space="preserve">№ 12»                        ст. Грязовец (код 303209), </w:t>
      </w:r>
      <w:r>
        <w:rPr>
          <w:sz w:val="18"/>
          <w:szCs w:val="18"/>
        </w:rPr>
        <w:t>до адреса:</w:t>
      </w:r>
      <w:r>
        <w:rPr>
          <w:rFonts w:ascii="XO Thames" w:hAnsi="XO Thames"/>
          <w:sz w:val="18"/>
          <w:szCs w:val="18"/>
        </w:rPr>
        <w:t xml:space="preserve">Стенькино-2/ДТЛ </w:t>
      </w:r>
      <w:r>
        <w:rPr>
          <w:rFonts w:ascii="XO Thames" w:hAnsi="XO Thames"/>
          <w:color w:val="000000"/>
          <w:sz w:val="18"/>
          <w:szCs w:val="18"/>
        </w:rPr>
        <w:t>(код станции 223108).</w:t>
      </w:r>
    </w:p>
    <w:p>
      <w:pPr>
        <w:pStyle w:val="Normal"/>
        <w:ind w:left="567"/>
        <w:jc w:val="center"/>
        <w:rPr>
          <w:b/>
          <w:sz w:val="18"/>
          <w:szCs w:val="18"/>
        </w:rPr>
      </w:pPr>
      <w:r>
        <w:rPr>
          <w:b/>
          <w:sz w:val="18"/>
          <w:szCs w:val="18"/>
        </w:rPr>
        <w:t>2. Права и обязанности Сторон</w:t>
      </w:r>
    </w:p>
    <w:p>
      <w:pPr>
        <w:pStyle w:val="Normal"/>
        <w:ind w:left="567"/>
        <w:jc w:val="both"/>
        <w:rPr>
          <w:sz w:val="18"/>
          <w:szCs w:val="18"/>
        </w:rPr>
      </w:pPr>
      <w:r>
        <w:rPr>
          <w:b/>
          <w:sz w:val="18"/>
          <w:szCs w:val="18"/>
          <w:u w:val="single"/>
        </w:rPr>
        <w:t>2.1. Государственный заказчик обязуется:</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2.1.1.  Обеспечить приемку услуг в соответствии с условиями раздела 5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2.1.2.  Обеспечить оплату услуг в соответствии с условиями раздела 3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2.1.3  Выполнять иные обязанности, предусмотренные законодательством Российской Федерации и контрактом.</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2.1.4. Взыскивать пеню и штраф, а также требовать возмещения убытков в соответствии с условиями настоящего контракта.</w:t>
      </w:r>
    </w:p>
    <w:p>
      <w:pPr>
        <w:pStyle w:val="Normal"/>
        <w:ind w:left="567"/>
        <w:jc w:val="both"/>
        <w:rPr>
          <w:b/>
          <w:sz w:val="18"/>
          <w:szCs w:val="18"/>
          <w:u w:val="single"/>
        </w:rPr>
      </w:pPr>
      <w:r>
        <w:rPr>
          <w:b/>
          <w:sz w:val="18"/>
          <w:szCs w:val="18"/>
          <w:u w:val="single"/>
        </w:rPr>
        <w:t>2.2. Государственный заказчик имеет право:</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 xml:space="preserve">2.2.1. </w:t>
      </w:r>
      <w:bookmarkStart w:id="0" w:name="OLE_LINK13"/>
      <w:bookmarkStart w:id="1" w:name="OLE_LINK12"/>
      <w:bookmarkStart w:id="2" w:name="OLE_LINK11"/>
      <w:r>
        <w:rPr>
          <w:rFonts w:ascii="Times New Roman" w:hAnsi="Times New Roman"/>
          <w:sz w:val="18"/>
          <w:szCs w:val="18"/>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2.2.4.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pPr>
        <w:pStyle w:val="15"/>
        <w:shd w:val="clear" w:color="auto" w:fill="auto"/>
        <w:tabs>
          <w:tab w:val="clear" w:pos="708"/>
          <w:tab w:val="left" w:pos="1375" w:leader="none"/>
        </w:tabs>
        <w:spacing w:lineRule="auto" w:line="240"/>
        <w:ind w:hanging="0" w:left="567"/>
        <w:jc w:val="both"/>
        <w:rPr>
          <w:rFonts w:eastAsia="Calibri" w:eastAsiaTheme="minorHAnsi"/>
          <w:sz w:val="18"/>
          <w:szCs w:val="18"/>
        </w:rPr>
      </w:pPr>
      <w:r>
        <w:rPr>
          <w:rFonts w:eastAsia="Calibri" w:eastAsiaTheme="minorHAnsi"/>
          <w:sz w:val="18"/>
          <w:szCs w:val="18"/>
        </w:rPr>
        <w:t>2.2.4. Производить оплату за оказанную услугу за вычетом суммы неустойки подлежащей взысканию с поставщика.</w:t>
      </w:r>
      <w:bookmarkEnd w:id="0"/>
      <w:bookmarkEnd w:id="1"/>
      <w:bookmarkEnd w:id="2"/>
    </w:p>
    <w:p>
      <w:pPr>
        <w:pStyle w:val="Normal"/>
        <w:ind w:left="567"/>
        <w:jc w:val="both"/>
        <w:rPr>
          <w:b/>
          <w:sz w:val="18"/>
          <w:szCs w:val="18"/>
          <w:u w:val="single"/>
        </w:rPr>
      </w:pPr>
      <w:r>
        <w:rPr>
          <w:b/>
          <w:sz w:val="18"/>
          <w:szCs w:val="18"/>
          <w:u w:val="single"/>
        </w:rPr>
        <w:t>2.3. Исполнитель обязуется:</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2.3.1.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2.3.3.Оказать услуги в порядке и в сроки, указанные в разделе 4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2.3.4.Оказать услуги и в момент подписания акта оказанных услуг передать комплект документации, относящейся к ним, оговоренный в пункте 3.6.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2.3.5. Передать Государственному заказчику платежные и иные документы в порядке и на условиях, установленных пунктом 3.6.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2.3.7. Выполнять иные обязанности, предусмотренные законодательством Российской Федерации и контрактом.</w:t>
      </w:r>
    </w:p>
    <w:p>
      <w:pPr>
        <w:pStyle w:val="NoSpacing"/>
        <w:tabs>
          <w:tab w:val="clear" w:pos="708"/>
          <w:tab w:val="left" w:pos="709" w:leader="none"/>
        </w:tabs>
        <w:ind w:left="567"/>
        <w:jc w:val="both"/>
        <w:rPr>
          <w:rFonts w:ascii="Times New Roman" w:hAnsi="Times New Roman"/>
          <w:sz w:val="18"/>
          <w:szCs w:val="18"/>
        </w:rPr>
      </w:pPr>
      <w:r>
        <w:rPr>
          <w:rFonts w:ascii="Times New Roman" w:hAnsi="Times New Roman"/>
          <w:sz w:val="18"/>
          <w:szCs w:val="18"/>
        </w:rPr>
        <w:t>2.3.8. Безвозмездно устранить по требованию Государственного заказчика недостатки, выявленные в ходе приемки оказанных услуг.</w:t>
      </w:r>
    </w:p>
    <w:p>
      <w:pPr>
        <w:pStyle w:val="12"/>
        <w:numPr>
          <w:ilvl w:val="1"/>
          <w:numId w:val="7"/>
        </w:numPr>
        <w:suppressAutoHyphens w:val="false"/>
        <w:snapToGrid w:val="false"/>
        <w:spacing w:lineRule="auto" w:line="240"/>
        <w:ind w:hanging="0" w:left="567"/>
        <w:rPr>
          <w:b/>
          <w:sz w:val="18"/>
          <w:szCs w:val="18"/>
        </w:rPr>
      </w:pPr>
      <w:r>
        <w:rPr>
          <w:b/>
          <w:sz w:val="18"/>
          <w:szCs w:val="18"/>
        </w:rPr>
        <w:t>Исполнитель вправе:</w:t>
      </w:r>
    </w:p>
    <w:p>
      <w:pPr>
        <w:pStyle w:val="NoSpacing"/>
        <w:tabs>
          <w:tab w:val="clear" w:pos="708"/>
          <w:tab w:val="left" w:pos="1134" w:leader="none"/>
        </w:tabs>
        <w:ind w:left="567"/>
        <w:jc w:val="both"/>
        <w:rPr>
          <w:rFonts w:ascii="Times New Roman" w:hAnsi="Times New Roman"/>
          <w:sz w:val="18"/>
          <w:szCs w:val="18"/>
        </w:rPr>
      </w:pPr>
      <w:r>
        <w:rPr>
          <w:rFonts w:ascii="Times New Roman" w:hAnsi="Times New Roman"/>
          <w:sz w:val="18"/>
          <w:szCs w:val="18"/>
        </w:rPr>
        <w:t>2.4.1.Требовать оплату за оказанные услуги в соответствии с условиями контракта.</w:t>
      </w:r>
    </w:p>
    <w:p>
      <w:pPr>
        <w:pStyle w:val="NoSpacing"/>
        <w:ind w:left="567"/>
        <w:jc w:val="both"/>
        <w:rPr>
          <w:rFonts w:ascii="Times New Roman" w:hAnsi="Times New Roman"/>
          <w:sz w:val="18"/>
          <w:szCs w:val="18"/>
        </w:rPr>
      </w:pPr>
      <w:r>
        <w:rPr>
          <w:rFonts w:ascii="Times New Roman" w:hAnsi="Times New Roman"/>
          <w:sz w:val="18"/>
          <w:szCs w:val="18"/>
        </w:rPr>
        <w:t>2.4.2. Требовать уплату пеней, а также возмещения убытков, согласно условиям настоящего контракта.</w:t>
      </w:r>
    </w:p>
    <w:p>
      <w:pPr>
        <w:pStyle w:val="NoSpacing"/>
        <w:ind w:left="567"/>
        <w:jc w:val="both"/>
        <w:rPr>
          <w:rFonts w:ascii="Times New Roman" w:hAnsi="Times New Roman"/>
          <w:sz w:val="18"/>
          <w:szCs w:val="18"/>
        </w:rPr>
      </w:pPr>
      <w:r>
        <w:rPr>
          <w:rFonts w:ascii="Times New Roman" w:hAnsi="Times New Roman"/>
          <w:sz w:val="18"/>
          <w:szCs w:val="18"/>
        </w:rPr>
      </w:r>
    </w:p>
    <w:p>
      <w:pPr>
        <w:pStyle w:val="14"/>
        <w:keepNext w:val="true"/>
        <w:keepLines/>
        <w:numPr>
          <w:ilvl w:val="0"/>
          <w:numId w:val="7"/>
        </w:numPr>
        <w:shd w:val="clear" w:color="auto" w:fill="auto"/>
        <w:tabs>
          <w:tab w:val="clear" w:pos="708"/>
          <w:tab w:val="left" w:pos="355" w:leader="none"/>
        </w:tabs>
        <w:spacing w:before="0" w:after="0"/>
        <w:ind w:hanging="0" w:left="567"/>
        <w:rPr>
          <w:sz w:val="18"/>
          <w:szCs w:val="18"/>
        </w:rPr>
      </w:pPr>
      <w:r>
        <w:rPr>
          <w:sz w:val="18"/>
          <w:szCs w:val="18"/>
        </w:rPr>
        <w:t>Обоснование цены контракта и порядок расчетов</w:t>
      </w:r>
    </w:p>
    <w:p>
      <w:pPr>
        <w:pStyle w:val="14"/>
        <w:keepNext w:val="true"/>
        <w:keepLines/>
        <w:shd w:val="clear" w:color="auto" w:fill="auto"/>
        <w:tabs>
          <w:tab w:val="clear" w:pos="708"/>
          <w:tab w:val="left" w:pos="355" w:leader="none"/>
        </w:tabs>
        <w:spacing w:before="0" w:after="0"/>
        <w:ind w:left="567"/>
        <w:jc w:val="both"/>
        <w:rPr>
          <w:b w:val="false"/>
          <w:color w:themeColor="text1" w:val="000000"/>
          <w:sz w:val="18"/>
          <w:szCs w:val="18"/>
        </w:rPr>
      </w:pPr>
      <w:r>
        <w:rPr>
          <w:b w:val="false"/>
          <w:sz w:val="18"/>
          <w:szCs w:val="18"/>
        </w:rPr>
        <w:t>3.1.</w:t>
      </w:r>
      <w:r>
        <w:rPr>
          <w:b w:val="false"/>
          <w:color w:themeColor="text1" w:val="000000"/>
          <w:sz w:val="18"/>
          <w:szCs w:val="18"/>
        </w:rPr>
        <w:t xml:space="preserve"> </w:t>
      </w:r>
      <w:r>
        <w:rPr>
          <w:sz w:val="18"/>
          <w:szCs w:val="18"/>
        </w:rPr>
        <w:t>Цена контракта определена по итогам закупочной сессии на едином агрегаторе торговли «Березка»                                            и составлет </w:t>
      </w:r>
      <w:r>
        <w:rPr>
          <w:sz w:val="18"/>
          <w:szCs w:val="18"/>
          <w:shd w:fill="FFFFFF" w:val="clear"/>
        </w:rPr>
        <w:t>________</w:t>
      </w:r>
      <w:r>
        <w:rPr>
          <w:sz w:val="18"/>
          <w:szCs w:val="18"/>
        </w:rPr>
        <w:t>(</w:t>
      </w:r>
      <w:r>
        <w:rPr>
          <w:sz w:val="18"/>
          <w:szCs w:val="18"/>
          <w:shd w:fill="FFFFFF" w:val="clear"/>
        </w:rPr>
        <w:t>__________</w:t>
      </w:r>
      <w:r>
        <w:rPr>
          <w:sz w:val="18"/>
          <w:szCs w:val="18"/>
        </w:rPr>
        <w:t>) рублей ______ копеек, в том числе НДС ___% (при необходимости),                                     что составляет_________ (__________) рублей _________копеек.</w:t>
      </w:r>
    </w:p>
    <w:p>
      <w:pPr>
        <w:pStyle w:val="Normal"/>
        <w:ind w:left="567"/>
        <w:jc w:val="both"/>
        <w:rPr>
          <w:sz w:val="18"/>
          <w:szCs w:val="18"/>
        </w:rPr>
      </w:pPr>
      <w:bookmarkStart w:id="3" w:name="sub_3203"/>
      <w:bookmarkEnd w:id="3"/>
      <w:r>
        <w:rPr>
          <w:sz w:val="18"/>
          <w:szCs w:val="18"/>
        </w:rPr>
        <w:t>3.2. Цена Контракта включает в себя: стоимость услуги, расходы, связанные с доставкой, разгрузкой - погрузкой, установкой,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Normal"/>
        <w:ind w:left="567"/>
        <w:jc w:val="both"/>
        <w:rPr>
          <w:sz w:val="18"/>
          <w:szCs w:val="18"/>
        </w:rPr>
      </w:pPr>
      <w:bookmarkStart w:id="4" w:name="sub_3203"/>
      <w:bookmarkStart w:id="5" w:name="sub_3204"/>
      <w:bookmarkEnd w:id="4"/>
      <w:bookmarkEnd w:id="5"/>
      <w:r>
        <w:rPr>
          <w:sz w:val="18"/>
          <w:szCs w:val="18"/>
        </w:rPr>
        <w:t xml:space="preserve">3.3. Цена Контракта является твердой и определяется на весь срок исполнения Контракта, за исключением случаев, установленных </w:t>
      </w:r>
      <w:r>
        <w:rPr>
          <w:color w:val="000000"/>
          <w:sz w:val="18"/>
          <w:szCs w:val="18"/>
        </w:rPr>
        <w:t>Федеральным законом</w:t>
      </w:r>
      <w:r>
        <w:rPr>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Normal"/>
        <w:ind w:left="567"/>
        <w:jc w:val="both"/>
        <w:rPr>
          <w:color w:val="000000"/>
          <w:sz w:val="18"/>
          <w:szCs w:val="18"/>
        </w:rPr>
      </w:pPr>
      <w:bookmarkStart w:id="6" w:name="sub_3204"/>
      <w:bookmarkStart w:id="7" w:name="sub_3205"/>
      <w:bookmarkEnd w:id="6"/>
      <w:r>
        <w:rPr>
          <w:color w:val="000000"/>
          <w:sz w:val="18"/>
          <w:szCs w:val="18"/>
        </w:rPr>
        <w:t>3.4. Источник финансирования Контракта - Федеральный бюджет Российской Федерации.</w:t>
      </w:r>
      <w:bookmarkStart w:id="8" w:name="sub_3206"/>
      <w:bookmarkEnd w:id="7"/>
      <w:r>
        <w:rPr>
          <w:rFonts w:cs="PT Astra Serif" w:ascii="PT Astra Serif" w:hAnsi="PT Astra Serif"/>
          <w:sz w:val="18"/>
          <w:szCs w:val="18"/>
          <w:shd w:fill="FFFFFF" w:val="clear"/>
        </w:rPr>
        <w:t xml:space="preserve">Исполнения контракта осуществляется за счет средств </w:t>
      </w:r>
      <w:r>
        <w:rPr>
          <w:rFonts w:cs="PT Astra Serif" w:ascii="PT Astra Serif" w:hAnsi="PT Astra Serif"/>
          <w:b/>
          <w:sz w:val="18"/>
          <w:szCs w:val="18"/>
          <w:shd w:fill="FFFFFF" w:val="clear"/>
        </w:rPr>
        <w:t>выделенных на оказание транспортных услуг для доставки дизельного топлива</w:t>
      </w:r>
      <w:r>
        <w:rPr>
          <w:rFonts w:cs="PT Astra Serif" w:ascii="PT Astra Serif" w:hAnsi="PT Astra Serif"/>
          <w:sz w:val="18"/>
          <w:szCs w:val="18"/>
          <w:shd w:fill="FFFFFF" w:val="clear"/>
        </w:rPr>
        <w:t xml:space="preserve">,  в пределах утвержденных и доведенных лимитов бюджетных обязательств на 2026 год согласно </w:t>
      </w:r>
      <w:r>
        <w:rPr>
          <w:b/>
          <w:color w:val="000000"/>
          <w:sz w:val="18"/>
          <w:szCs w:val="18"/>
        </w:rPr>
        <w:t>КБК: 320 0305 4240690049 244</w:t>
      </w:r>
      <w:r>
        <w:rPr>
          <w:color w:val="000000"/>
          <w:sz w:val="18"/>
          <w:szCs w:val="18"/>
        </w:rPr>
        <w:t>, при наличии предельных объемов финансирования на счете Государственного заказчика. Выплата аванса не предусмотрена.</w:t>
      </w:r>
    </w:p>
    <w:p>
      <w:pPr>
        <w:pStyle w:val="Normal"/>
        <w:ind w:left="567"/>
        <w:jc w:val="both"/>
        <w:rPr>
          <w:kern w:val="2"/>
          <w:sz w:val="18"/>
          <w:szCs w:val="18"/>
        </w:rPr>
      </w:pPr>
      <w:r>
        <w:rPr>
          <w:color w:val="000000"/>
          <w:sz w:val="18"/>
          <w:szCs w:val="18"/>
        </w:rPr>
        <w:t xml:space="preserve">3.5. </w:t>
      </w:r>
      <w:bookmarkStart w:id="9" w:name="sub_3207"/>
      <w:bookmarkEnd w:id="8"/>
      <w:r>
        <w:rPr>
          <w:kern w:val="2"/>
          <w:sz w:val="18"/>
          <w:szCs w:val="18"/>
        </w:rPr>
        <w:t>Расчеты между Государственным заказчиком и Исполнителем за оказанную услугупроизводятсяв течение 10 (десяти) рабочих дней, начиная с даты предоставления Исполнителем Государственному заказчику документов, подтверждающих факт оказанной услуги и предоставления Исполнителем Государственному заказчику полного комплекта документов.</w:t>
      </w:r>
    </w:p>
    <w:p>
      <w:pPr>
        <w:pStyle w:val="Normal"/>
        <w:ind w:left="567"/>
        <w:jc w:val="both"/>
        <w:rPr>
          <w:kern w:val="2"/>
          <w:sz w:val="18"/>
          <w:szCs w:val="18"/>
        </w:rPr>
      </w:pPr>
      <w:r>
        <w:rPr>
          <w:kern w:val="2"/>
          <w:sz w:val="18"/>
          <w:szCs w:val="18"/>
        </w:rPr>
        <w:t>3.6. По факту оказанной услугиИсполнитель предоставляет Государственному заказчику полный комплект документов:</w:t>
      </w:r>
      <w:bookmarkEnd w:id="9"/>
    </w:p>
    <w:p>
      <w:pPr>
        <w:pStyle w:val="Normal"/>
        <w:ind w:left="567"/>
        <w:jc w:val="both"/>
        <w:rPr>
          <w:color w:val="000000"/>
          <w:sz w:val="18"/>
          <w:szCs w:val="18"/>
        </w:rPr>
      </w:pPr>
      <w:r>
        <w:rPr>
          <w:color w:val="000000"/>
          <w:sz w:val="18"/>
          <w:szCs w:val="18"/>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pPr>
        <w:pStyle w:val="Normal"/>
        <w:ind w:left="567"/>
        <w:jc w:val="both"/>
        <w:rPr>
          <w:color w:val="000000"/>
          <w:sz w:val="18"/>
          <w:szCs w:val="18"/>
        </w:rPr>
      </w:pPr>
      <w:r>
        <w:rPr>
          <w:color w:val="000000"/>
          <w:sz w:val="18"/>
          <w:szCs w:val="18"/>
        </w:rPr>
        <w:t>- счет-фактуру, оформленную в 2-х экземплярах (по одному для Исполнителя и Государственного заказчика) или счет;  </w:t>
      </w:r>
    </w:p>
    <w:p>
      <w:pPr>
        <w:pStyle w:val="Normal"/>
        <w:ind w:left="567"/>
        <w:jc w:val="both"/>
        <w:rPr>
          <w:color w:val="000000"/>
          <w:sz w:val="18"/>
          <w:szCs w:val="18"/>
        </w:rPr>
      </w:pPr>
      <w:r>
        <w:rPr>
          <w:color w:val="000000"/>
          <w:sz w:val="18"/>
          <w:szCs w:val="18"/>
        </w:rPr>
        <w:t>- акт оказанных услуг, оформленный в 2-х экземплярах (по одному для Исполнителя и Государственного заказчика) с печатью Исполнителя (при наличии); </w:t>
      </w:r>
      <w:r>
        <w:rPr>
          <w:sz w:val="18"/>
          <w:szCs w:val="18"/>
        </w:rPr>
        <w:t>Указанный комплект документов передается Исполнителем Заказчику по фактическому оказанию услуги. Услуга в документах должна быть указана в соответствии с наименованием, количеством и единицами измерения, содержащимися в спецификации (приложение № 1 к Контракту). 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pPr>
        <w:pStyle w:val="Normal"/>
        <w:ind w:left="567"/>
        <w:jc w:val="both"/>
        <w:textAlignment w:val="baseline"/>
        <w:rPr>
          <w:sz w:val="18"/>
          <w:szCs w:val="18"/>
        </w:rPr>
      </w:pPr>
      <w:r>
        <w:rPr>
          <w:sz w:val="18"/>
          <w:szCs w:val="18"/>
        </w:rPr>
        <w:t>3.7. Предъявляемые Заказчику для оплаты документы должны содержать ссылки на номер настоящего Контракта. </w:t>
      </w:r>
    </w:p>
    <w:p>
      <w:pPr>
        <w:pStyle w:val="Normal"/>
        <w:ind w:left="567"/>
        <w:jc w:val="both"/>
        <w:textAlignment w:val="baseline"/>
        <w:rPr>
          <w:sz w:val="18"/>
          <w:szCs w:val="18"/>
        </w:rPr>
      </w:pPr>
      <w:r>
        <w:rPr>
          <w:sz w:val="18"/>
          <w:szCs w:val="18"/>
        </w:rPr>
        <w:t>3.8. Суммы, подлежащие уплате Государственным заказчиком Исполнителю, в том числе зарегистрированному в качестве индивидуального предпринимателя, 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ind w:left="567"/>
        <w:jc w:val="both"/>
        <w:textAlignment w:val="baseline"/>
        <w:rPr>
          <w:sz w:val="18"/>
          <w:szCs w:val="18"/>
        </w:rPr>
      </w:pPr>
      <w:r>
        <w:rPr>
          <w:sz w:val="18"/>
          <w:szCs w:val="18"/>
        </w:rPr>
        <w:t>3.9. В случае изменения банковских реквизитов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pPr>
        <w:pStyle w:val="Normal"/>
        <w:ind w:left="567"/>
        <w:jc w:val="both"/>
        <w:textAlignment w:val="baseline"/>
        <w:rPr>
          <w:sz w:val="18"/>
          <w:szCs w:val="18"/>
        </w:rPr>
      </w:pPr>
      <w:r>
        <w:rPr>
          <w:sz w:val="18"/>
          <w:szCs w:val="18"/>
        </w:rPr>
        <w:t>3.10. Обязательства по оплате оказанной услуги считаются выполненными в день списания денежных средств со счетов Государственного заказчика. </w:t>
      </w:r>
    </w:p>
    <w:p>
      <w:pPr>
        <w:pStyle w:val="Normal"/>
        <w:numPr>
          <w:ilvl w:val="0"/>
          <w:numId w:val="5"/>
        </w:numPr>
        <w:suppressAutoHyphens w:val="false"/>
        <w:ind w:hanging="0" w:left="567"/>
        <w:jc w:val="center"/>
        <w:textAlignment w:val="baseline"/>
        <w:rPr>
          <w:sz w:val="18"/>
          <w:szCs w:val="18"/>
        </w:rPr>
      </w:pPr>
      <w:r>
        <w:rPr>
          <w:b/>
          <w:bCs/>
          <w:sz w:val="18"/>
          <w:szCs w:val="18"/>
        </w:rPr>
        <w:t>Сроки и порядок оказания услуги</w:t>
      </w:r>
      <w:r>
        <w:rPr>
          <w:sz w:val="18"/>
          <w:szCs w:val="18"/>
        </w:rPr>
        <w:t> </w:t>
      </w:r>
    </w:p>
    <w:p>
      <w:pPr>
        <w:pStyle w:val="Normal"/>
        <w:tabs>
          <w:tab w:val="clear" w:pos="708"/>
          <w:tab w:val="left" w:pos="993" w:leader="none"/>
        </w:tabs>
        <w:ind w:left="567"/>
        <w:jc w:val="both"/>
        <w:rPr>
          <w:sz w:val="18"/>
          <w:szCs w:val="18"/>
        </w:rPr>
      </w:pPr>
      <w:r>
        <w:rPr>
          <w:sz w:val="18"/>
          <w:szCs w:val="18"/>
        </w:rPr>
        <w:t xml:space="preserve">4.1. Исполнитель обязуется оказывать услуги собственными силами с момента подписания контракта </w:t>
      </w:r>
      <w:r>
        <w:rPr>
          <w:b/>
          <w:sz w:val="18"/>
          <w:szCs w:val="18"/>
        </w:rPr>
        <w:t>до 25.10.2026 г.</w:t>
      </w:r>
    </w:p>
    <w:p>
      <w:pPr>
        <w:pStyle w:val="Normal"/>
        <w:tabs>
          <w:tab w:val="clear" w:pos="708"/>
          <w:tab w:val="left" w:pos="993" w:leader="none"/>
        </w:tabs>
        <w:ind w:left="567"/>
        <w:jc w:val="both"/>
        <w:rPr>
          <w:sz w:val="18"/>
          <w:szCs w:val="18"/>
        </w:rPr>
      </w:pPr>
      <w:r>
        <w:rPr>
          <w:sz w:val="18"/>
          <w:szCs w:val="18"/>
        </w:rPr>
        <w:t>4.2.</w:t>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pPr>
        <w:pStyle w:val="Normal"/>
        <w:ind w:left="567"/>
        <w:jc w:val="both"/>
        <w:rPr>
          <w:sz w:val="18"/>
          <w:szCs w:val="18"/>
        </w:rPr>
      </w:pPr>
      <w:r>
        <w:rPr>
          <w:sz w:val="18"/>
          <w:szCs w:val="18"/>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pPr>
        <w:pStyle w:val="Normal"/>
        <w:ind w:left="567"/>
        <w:jc w:val="both"/>
        <w:rPr>
          <w:sz w:val="18"/>
          <w:szCs w:val="18"/>
        </w:rPr>
      </w:pPr>
      <w:r>
        <w:rPr>
          <w:sz w:val="18"/>
          <w:szCs w:val="18"/>
        </w:rPr>
      </w:r>
    </w:p>
    <w:p>
      <w:pPr>
        <w:pStyle w:val="Normal"/>
        <w:ind w:left="567"/>
        <w:jc w:val="center"/>
        <w:rPr>
          <w:b/>
          <w:sz w:val="18"/>
          <w:szCs w:val="18"/>
        </w:rPr>
      </w:pPr>
      <w:r>
        <w:rPr>
          <w:b/>
          <w:sz w:val="18"/>
          <w:szCs w:val="18"/>
        </w:rPr>
        <w:t xml:space="preserve">5. </w:t>
      </w:r>
      <w:r>
        <w:rPr>
          <w:b/>
          <w:iCs/>
          <w:sz w:val="18"/>
          <w:szCs w:val="18"/>
        </w:rPr>
        <w:t>Качество и безопасность услуг, порядок приемки</w:t>
      </w:r>
    </w:p>
    <w:p>
      <w:pPr>
        <w:pStyle w:val="Normal"/>
        <w:ind w:left="567"/>
        <w:jc w:val="both"/>
        <w:rPr>
          <w:sz w:val="18"/>
          <w:szCs w:val="18"/>
        </w:rPr>
      </w:pPr>
      <w:r>
        <w:rPr>
          <w:sz w:val="18"/>
          <w:szCs w:val="18"/>
        </w:rPr>
        <w:t>5.1.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pPr>
        <w:pStyle w:val="Normal"/>
        <w:ind w:left="567"/>
        <w:jc w:val="both"/>
        <w:rPr>
          <w:rFonts w:eastAsia="Calibri"/>
          <w:sz w:val="18"/>
          <w:szCs w:val="18"/>
        </w:rPr>
      </w:pPr>
      <w:r>
        <w:rPr>
          <w:color w:val="222222"/>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r>
        <w:rPr>
          <w:sz w:val="18"/>
          <w:szCs w:val="18"/>
        </w:rPr>
        <w:t>Акт приемки (ф. 0510452) составляется в двух экземплярах, по одному экземпляру для каждой из Сторон.</w:t>
      </w:r>
    </w:p>
    <w:p>
      <w:pPr>
        <w:pStyle w:val="Normal"/>
        <w:widowControl w:val="false"/>
        <w:tabs>
          <w:tab w:val="clear" w:pos="708"/>
          <w:tab w:val="left" w:pos="1134" w:leader="none"/>
        </w:tabs>
        <w:snapToGrid w:val="false"/>
        <w:ind w:left="567"/>
        <w:jc w:val="both"/>
        <w:rPr>
          <w:sz w:val="18"/>
          <w:szCs w:val="18"/>
        </w:rPr>
      </w:pPr>
      <w:r>
        <w:rPr>
          <w:sz w:val="18"/>
          <w:szCs w:val="18"/>
        </w:rPr>
        <w:t xml:space="preserve">В случае наличия у 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pPr>
        <w:pStyle w:val="Normal"/>
        <w:widowControl w:val="false"/>
        <w:tabs>
          <w:tab w:val="clear" w:pos="708"/>
          <w:tab w:val="left" w:pos="1134" w:leader="none"/>
        </w:tabs>
        <w:snapToGrid w:val="false"/>
        <w:ind w:left="567"/>
        <w:jc w:val="both"/>
        <w:rPr>
          <w:sz w:val="18"/>
          <w:szCs w:val="18"/>
        </w:rPr>
      </w:pPr>
      <w:r>
        <w:rPr>
          <w:sz w:val="18"/>
          <w:szCs w:val="18"/>
        </w:rPr>
        <w:t>Исполнитель с момента получения протокола разногласий, или требования об устранении недостатков, дефектов, обязан их устранить в течение 3 (трех) рабочих дней. Срок устранения недостатков не должен превышать срок оказания услуги.</w:t>
      </w:r>
    </w:p>
    <w:p>
      <w:pPr>
        <w:pStyle w:val="Normal"/>
        <w:widowControl w:val="false"/>
        <w:tabs>
          <w:tab w:val="clear" w:pos="708"/>
          <w:tab w:val="left" w:pos="1134" w:leader="none"/>
        </w:tabs>
        <w:snapToGrid w:val="false"/>
        <w:ind w:left="567"/>
        <w:jc w:val="both"/>
        <w:rPr>
          <w:sz w:val="18"/>
          <w:szCs w:val="18"/>
        </w:rPr>
      </w:pPr>
      <w:r>
        <w:rPr>
          <w:sz w:val="18"/>
          <w:szCs w:val="18"/>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pPr>
        <w:pStyle w:val="Normal"/>
        <w:widowControl w:val="false"/>
        <w:tabs>
          <w:tab w:val="clear" w:pos="708"/>
          <w:tab w:val="left" w:pos="1134" w:leader="none"/>
        </w:tabs>
        <w:snapToGrid w:val="false"/>
        <w:ind w:left="567"/>
        <w:jc w:val="both"/>
        <w:rPr>
          <w:sz w:val="18"/>
          <w:szCs w:val="18"/>
        </w:rPr>
      </w:pPr>
      <w:r>
        <w:rPr>
          <w:sz w:val="18"/>
          <w:szCs w:val="18"/>
        </w:rPr>
        <w:t>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7 (семи) календарных дней со дня получения соответствующего требования Государственного заказчика.</w:t>
      </w:r>
    </w:p>
    <w:p>
      <w:pPr>
        <w:pStyle w:val="Normal"/>
        <w:ind w:left="567"/>
        <w:jc w:val="both"/>
        <w:textAlignment w:val="baseline"/>
        <w:rPr>
          <w:sz w:val="18"/>
          <w:szCs w:val="18"/>
        </w:rPr>
      </w:pPr>
      <w:r>
        <w:rPr>
          <w:rFonts w:eastAsia="" w:eastAsiaTheme="minorEastAsia"/>
          <w:sz w:val="18"/>
          <w:szCs w:val="18"/>
        </w:rPr>
        <w:t xml:space="preserve">5.4. </w:t>
      </w:r>
      <w:r>
        <w:rPr>
          <w:sz w:val="18"/>
          <w:szCs w:val="18"/>
        </w:rPr>
        <w:t>Оформление и обмен документами о приемке услуги может осуществляться в форме электронных документов, подписанных электронной подписью. Документ о приемке оказанной услуги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pPr>
        <w:pStyle w:val="Normal"/>
        <w:ind w:left="567"/>
        <w:jc w:val="center"/>
        <w:rPr>
          <w:b/>
          <w:sz w:val="18"/>
          <w:szCs w:val="18"/>
        </w:rPr>
      </w:pPr>
      <w:r>
        <w:rPr>
          <w:b/>
          <w:bCs/>
          <w:sz w:val="18"/>
          <w:szCs w:val="18"/>
        </w:rPr>
        <w:t>6. Гарантии качества оказываемых услуг</w:t>
      </w:r>
    </w:p>
    <w:p>
      <w:pPr>
        <w:pStyle w:val="12"/>
        <w:numPr>
          <w:ilvl w:val="1"/>
          <w:numId w:val="6"/>
        </w:numPr>
        <w:suppressAutoHyphens w:val="false"/>
        <w:snapToGrid w:val="false"/>
        <w:spacing w:lineRule="auto" w:line="240"/>
        <w:ind w:hanging="0" w:left="567"/>
        <w:rPr>
          <w:sz w:val="18"/>
          <w:szCs w:val="18"/>
        </w:rPr>
      </w:pPr>
      <w:r>
        <w:rPr>
          <w:sz w:val="18"/>
          <w:szCs w:val="18"/>
        </w:rPr>
        <w:t>Качество оказываемых услуг должно соответствовать требованиям законодательства, предусмотренным для данного вида услуг.</w:t>
      </w:r>
    </w:p>
    <w:p>
      <w:pPr>
        <w:pStyle w:val="12"/>
        <w:spacing w:lineRule="auto" w:line="240"/>
        <w:ind w:hanging="0" w:left="567"/>
        <w:rPr>
          <w:sz w:val="18"/>
          <w:szCs w:val="18"/>
        </w:rPr>
      </w:pPr>
      <w:r>
        <w:rPr>
          <w:sz w:val="18"/>
          <w:szCs w:val="18"/>
        </w:rPr>
      </w:r>
    </w:p>
    <w:p>
      <w:pPr>
        <w:pStyle w:val="Normal"/>
        <w:shd w:val="clear" w:color="auto" w:fill="FFFFFF"/>
        <w:ind w:left="567"/>
        <w:jc w:val="center"/>
        <w:textAlignment w:val="baseline"/>
        <w:rPr>
          <w:sz w:val="18"/>
          <w:szCs w:val="18"/>
        </w:rPr>
      </w:pPr>
      <w:r>
        <w:rPr>
          <w:b/>
          <w:bCs/>
          <w:sz w:val="18"/>
          <w:szCs w:val="18"/>
        </w:rPr>
        <w:t>7. Ответственность сторон</w:t>
      </w:r>
      <w:r>
        <w:rPr>
          <w:sz w:val="18"/>
          <w:szCs w:val="18"/>
        </w:rPr>
        <w:t> </w:t>
      </w:r>
    </w:p>
    <w:p>
      <w:pPr>
        <w:pStyle w:val="Normal"/>
        <w:ind w:left="567"/>
        <w:jc w:val="both"/>
        <w:textAlignment w:val="baseline"/>
        <w:rPr>
          <w:sz w:val="18"/>
          <w:szCs w:val="18"/>
        </w:rPr>
      </w:pPr>
      <w:r>
        <w:rPr>
          <w:sz w:val="18"/>
          <w:szCs w:val="18"/>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pPr>
        <w:pStyle w:val="Normal"/>
        <w:ind w:left="567"/>
        <w:jc w:val="both"/>
        <w:textAlignment w:val="baseline"/>
        <w:rPr>
          <w:sz w:val="18"/>
          <w:szCs w:val="18"/>
        </w:rPr>
      </w:pPr>
      <w:r>
        <w:rPr>
          <w:sz w:val="18"/>
          <w:szCs w:val="18"/>
        </w:rPr>
        <w:t>7.2. 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pPr>
        <w:pStyle w:val="Normal"/>
        <w:ind w:left="567"/>
        <w:jc w:val="both"/>
        <w:textAlignment w:val="baseline"/>
        <w:rPr>
          <w:sz w:val="18"/>
          <w:szCs w:val="18"/>
        </w:rPr>
      </w:pPr>
      <w:r>
        <w:rPr>
          <w:sz w:val="18"/>
          <w:szCs w:val="18"/>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pPr>
        <w:pStyle w:val="15"/>
        <w:shd w:val="clear" w:color="auto" w:fill="auto"/>
        <w:tabs>
          <w:tab w:val="clear" w:pos="708"/>
          <w:tab w:val="left" w:pos="1338" w:leader="none"/>
        </w:tabs>
        <w:spacing w:lineRule="auto" w:line="240"/>
        <w:ind w:hanging="0" w:left="567"/>
        <w:jc w:val="both"/>
        <w:rPr>
          <w:sz w:val="18"/>
          <w:szCs w:val="18"/>
        </w:rPr>
      </w:pPr>
      <w:r>
        <w:rPr>
          <w:sz w:val="18"/>
          <w:szCs w:val="18"/>
        </w:rPr>
        <w:t>7.4.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567"/>
        <w:jc w:val="both"/>
        <w:textAlignment w:val="baseline"/>
        <w:rPr>
          <w:sz w:val="18"/>
          <w:szCs w:val="18"/>
        </w:rPr>
      </w:pPr>
      <w:r>
        <w:rPr>
          <w:sz w:val="18"/>
          <w:szCs w:val="18"/>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pPr>
        <w:pStyle w:val="Normal"/>
        <w:ind w:left="567"/>
        <w:jc w:val="both"/>
        <w:rPr>
          <w:rFonts w:eastAsia="Calibri"/>
          <w:sz w:val="18"/>
          <w:szCs w:val="18"/>
        </w:rPr>
      </w:pPr>
      <w:r>
        <w:rPr>
          <w:sz w:val="18"/>
          <w:szCs w:val="18"/>
        </w:rPr>
        <w:t xml:space="preserve">7.5. </w:t>
      </w:r>
      <w:r>
        <w:rPr>
          <w:rFonts w:eastAsia="Calibri"/>
          <w:sz w:val="18"/>
          <w:szCs w:val="18"/>
        </w:rPr>
        <w:t xml:space="preserve">За каждый факт неисполнения или ненадлежащего исполнения </w:t>
      </w:r>
      <w:r>
        <w:rPr>
          <w:rFonts w:eastAsia="Calibri"/>
          <w:bCs/>
          <w:sz w:val="18"/>
          <w:szCs w:val="18"/>
        </w:rPr>
        <w:t>Исполнителем</w:t>
      </w:r>
      <w:r>
        <w:rPr>
          <w:rFonts w:eastAsia="Calibri"/>
          <w:sz w:val="18"/>
          <w:szCs w:val="18"/>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
        <w:r>
          <w:rPr>
            <w:rStyle w:val="Hyperlink"/>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Pr>
          <w:rFonts w:eastAsia="Calibri"/>
          <w:bCs/>
          <w:sz w:val="18"/>
          <w:szCs w:val="18"/>
        </w:rPr>
        <w:t xml:space="preserve">Исполнитель </w:t>
      </w:r>
      <w:r>
        <w:rPr>
          <w:rFonts w:eastAsia="Calibri"/>
          <w:sz w:val="18"/>
          <w:szCs w:val="18"/>
        </w:rPr>
        <w:t>выплачивает Государственному заказчику штраф в размере 10 (Десяти) процентов.</w:t>
      </w:r>
    </w:p>
    <w:p>
      <w:pPr>
        <w:pStyle w:val="Normal"/>
        <w:ind w:left="567"/>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left="567"/>
        <w:jc w:val="both"/>
        <w:rPr>
          <w:sz w:val="18"/>
          <w:szCs w:val="18"/>
        </w:rPr>
      </w:pPr>
      <w:r>
        <w:rPr>
          <w:sz w:val="18"/>
          <w:szCs w:val="18"/>
        </w:rPr>
        <w:t>а) 10 процентов цены контракта (этапа) в случае, если цена контракта (этапа) не превышает 3 млн. рублей; </w:t>
      </w:r>
    </w:p>
    <w:p>
      <w:pPr>
        <w:pStyle w:val="Normal"/>
        <w:shd w:val="clear" w:color="auto" w:fill="FFFFFF"/>
        <w:ind w:left="567"/>
        <w:jc w:val="both"/>
        <w:textAlignment w:val="baseline"/>
        <w:rPr>
          <w:sz w:val="18"/>
          <w:szCs w:val="18"/>
        </w:rPr>
      </w:pPr>
      <w:r>
        <w:rPr>
          <w:sz w:val="18"/>
          <w:szCs w:val="18"/>
        </w:rPr>
        <w:t>б) 5 процентов цены контракта (этапа) в случае, если цена контракта (этапа) составляет от 3 млн. рублей до 50 млн. рублей (включительно); </w:t>
      </w:r>
    </w:p>
    <w:p>
      <w:pPr>
        <w:pStyle w:val="Normal"/>
        <w:shd w:val="clear" w:color="auto" w:fill="FFFFFF"/>
        <w:ind w:left="567"/>
        <w:jc w:val="both"/>
        <w:textAlignment w:val="baseline"/>
        <w:rPr>
          <w:sz w:val="18"/>
          <w:szCs w:val="18"/>
        </w:rPr>
      </w:pPr>
      <w:r>
        <w:rPr>
          <w:sz w:val="18"/>
          <w:szCs w:val="18"/>
        </w:rPr>
        <w:t>в) 1 процент цены контракта (этапа) в случае, если цена контракта (этапа) составляет от 50 млн. рублей до 100 млн. рублей (включительно); </w:t>
      </w:r>
    </w:p>
    <w:p>
      <w:pPr>
        <w:pStyle w:val="Normal"/>
        <w:shd w:val="clear" w:color="auto" w:fill="FFFFFF"/>
        <w:ind w:left="567"/>
        <w:jc w:val="both"/>
        <w:textAlignment w:val="baseline"/>
        <w:rPr>
          <w:sz w:val="18"/>
          <w:szCs w:val="18"/>
        </w:rPr>
      </w:pPr>
      <w:r>
        <w:rPr>
          <w:sz w:val="18"/>
          <w:szCs w:val="18"/>
        </w:rPr>
        <w:t>г) 0,5 процента цены контракта (этапа) в случае, если цена контракта (этапа) составляет от 100 млн. рублей до 500 млн. рублей (включительно); </w:t>
      </w:r>
    </w:p>
    <w:p>
      <w:pPr>
        <w:pStyle w:val="Normal"/>
        <w:shd w:val="clear" w:color="auto" w:fill="FFFFFF"/>
        <w:ind w:left="567"/>
        <w:jc w:val="both"/>
        <w:textAlignment w:val="baseline"/>
        <w:rPr>
          <w:sz w:val="18"/>
          <w:szCs w:val="18"/>
        </w:rPr>
      </w:pPr>
      <w:r>
        <w:rPr>
          <w:sz w:val="18"/>
          <w:szCs w:val="18"/>
        </w:rPr>
        <w:t>д) 0,4 процента цены контракта (этапа) в случае, если цена контракта (этапа) составляет от 500 млн. рублей до 1 млрд. рублей (включительно); </w:t>
      </w:r>
    </w:p>
    <w:p>
      <w:pPr>
        <w:pStyle w:val="Normal"/>
        <w:shd w:val="clear" w:color="auto" w:fill="FFFFFF"/>
        <w:ind w:left="567"/>
        <w:jc w:val="both"/>
        <w:textAlignment w:val="baseline"/>
        <w:rPr>
          <w:sz w:val="18"/>
          <w:szCs w:val="18"/>
        </w:rPr>
      </w:pPr>
      <w:r>
        <w:rPr>
          <w:sz w:val="18"/>
          <w:szCs w:val="18"/>
        </w:rPr>
        <w:t>е) 0,3 процента цены контракта (этапа) в случае, если цена контракта (этапа) составляет от 1 млрд. рублей до 2 млрд. рублей (включительно); </w:t>
      </w:r>
    </w:p>
    <w:p>
      <w:pPr>
        <w:pStyle w:val="Normal"/>
        <w:shd w:val="clear" w:color="auto" w:fill="FFFFFF"/>
        <w:ind w:left="567"/>
        <w:jc w:val="both"/>
        <w:textAlignment w:val="baseline"/>
        <w:rPr>
          <w:sz w:val="18"/>
          <w:szCs w:val="18"/>
        </w:rPr>
      </w:pPr>
      <w:r>
        <w:rPr>
          <w:sz w:val="18"/>
          <w:szCs w:val="18"/>
        </w:rPr>
        <w:t>ж) 0,25 процента цены контракта (этапа) в случае, если цена контракта (этапа) составляет от 2 млрд. рублей до 5 млрд. рублей (включительно); </w:t>
      </w:r>
    </w:p>
    <w:p>
      <w:pPr>
        <w:pStyle w:val="Normal"/>
        <w:shd w:val="clear" w:color="auto" w:fill="FFFFFF"/>
        <w:ind w:left="567"/>
        <w:jc w:val="both"/>
        <w:textAlignment w:val="baseline"/>
        <w:rPr>
          <w:sz w:val="18"/>
          <w:szCs w:val="18"/>
        </w:rPr>
      </w:pPr>
      <w:r>
        <w:rPr>
          <w:sz w:val="18"/>
          <w:szCs w:val="18"/>
        </w:rPr>
        <w:t>з) 0,2 процента цены контракта (этапа) в случае, если цена контракта (этапа) составляет от 5 млрд. рублей до 10 млрд. рублей (включительно); </w:t>
      </w:r>
    </w:p>
    <w:p>
      <w:pPr>
        <w:pStyle w:val="Normal"/>
        <w:shd w:val="clear" w:color="auto" w:fill="FFFFFF"/>
        <w:ind w:left="567"/>
        <w:jc w:val="both"/>
        <w:textAlignment w:val="baseline"/>
        <w:rPr>
          <w:sz w:val="18"/>
          <w:szCs w:val="18"/>
        </w:rPr>
      </w:pPr>
      <w:r>
        <w:rPr>
          <w:sz w:val="18"/>
          <w:szCs w:val="18"/>
        </w:rPr>
        <w:t>и) 0,1 процента цены контракта (этапа) в случае, если цена контракта (этапа) превышает 10 млрд. рублей. </w:t>
      </w:r>
    </w:p>
    <w:p>
      <w:pPr>
        <w:pStyle w:val="Normal"/>
        <w:shd w:val="clear" w:color="auto" w:fill="FFFFFF"/>
        <w:ind w:left="567"/>
        <w:jc w:val="both"/>
        <w:textAlignment w:val="baseline"/>
        <w:rPr>
          <w:sz w:val="18"/>
          <w:szCs w:val="18"/>
        </w:rPr>
      </w:pPr>
      <w:r>
        <w:rPr>
          <w:sz w:val="18"/>
          <w:szCs w:val="18"/>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pPr>
        <w:pStyle w:val="Normal"/>
        <w:shd w:val="clear" w:color="auto" w:fill="FFFFFF"/>
        <w:ind w:left="567"/>
        <w:jc w:val="both"/>
        <w:textAlignment w:val="baseline"/>
        <w:rPr>
          <w:sz w:val="18"/>
          <w:szCs w:val="18"/>
        </w:rPr>
      </w:pPr>
      <w:r>
        <w:rPr>
          <w:sz w:val="18"/>
          <w:szCs w:val="18"/>
        </w:rPr>
        <w:t>а) 1000 рублей, если цена контракта не превышает 3 млн. рублей; </w:t>
      </w:r>
    </w:p>
    <w:p>
      <w:pPr>
        <w:pStyle w:val="Normal"/>
        <w:shd w:val="clear" w:color="auto" w:fill="FFFFFF"/>
        <w:ind w:left="567"/>
        <w:jc w:val="both"/>
        <w:textAlignment w:val="baseline"/>
        <w:rPr>
          <w:sz w:val="18"/>
          <w:szCs w:val="18"/>
        </w:rPr>
      </w:pPr>
      <w:r>
        <w:rPr>
          <w:sz w:val="18"/>
          <w:szCs w:val="18"/>
        </w:rPr>
        <w:t>б) 5000 рублей, если цена контракта составляет от 3 млн. рублей до 50 млн. рублей (включительно); </w:t>
      </w:r>
    </w:p>
    <w:p>
      <w:pPr>
        <w:pStyle w:val="Normal"/>
        <w:shd w:val="clear" w:color="auto" w:fill="FFFFFF"/>
        <w:ind w:left="567"/>
        <w:jc w:val="both"/>
        <w:textAlignment w:val="baseline"/>
        <w:rPr>
          <w:sz w:val="18"/>
          <w:szCs w:val="18"/>
        </w:rPr>
      </w:pPr>
      <w:r>
        <w:rPr>
          <w:sz w:val="18"/>
          <w:szCs w:val="18"/>
        </w:rPr>
        <w:t>в) 10000 рублей, если цена контракта составляет от 50 млн. рублей до 100 млн. рублей (включительно); </w:t>
      </w:r>
    </w:p>
    <w:p>
      <w:pPr>
        <w:pStyle w:val="Normal"/>
        <w:shd w:val="clear" w:color="auto" w:fill="FFFFFF"/>
        <w:ind w:left="567"/>
        <w:jc w:val="both"/>
        <w:textAlignment w:val="baseline"/>
        <w:rPr>
          <w:sz w:val="18"/>
          <w:szCs w:val="18"/>
        </w:rPr>
      </w:pPr>
      <w:r>
        <w:rPr>
          <w:sz w:val="18"/>
          <w:szCs w:val="18"/>
        </w:rPr>
        <w:t>г) 100000 рублей, если цена контракта превышает 100 млн. рублей. </w:t>
      </w:r>
    </w:p>
    <w:p>
      <w:pPr>
        <w:pStyle w:val="Normal"/>
        <w:ind w:left="567"/>
        <w:jc w:val="both"/>
        <w:rPr>
          <w:rFonts w:eastAsia="Calibri"/>
          <w:sz w:val="18"/>
          <w:szCs w:val="18"/>
        </w:rPr>
      </w:pPr>
      <w:r>
        <w:rPr>
          <w:sz w:val="18"/>
          <w:szCs w:val="18"/>
        </w:rPr>
        <w:t xml:space="preserve">7.7. </w:t>
      </w:r>
      <w:r>
        <w:rPr>
          <w:rFonts w:eastAsia="Calibri"/>
          <w:sz w:val="18"/>
          <w:szCs w:val="1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 Одной тысячи) рублей 00 копеек..</w:t>
      </w:r>
    </w:p>
    <w:p>
      <w:pPr>
        <w:pStyle w:val="Normal"/>
        <w:ind w:left="567"/>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r>
        <w:rPr>
          <w:sz w:val="18"/>
          <w:szCs w:val="18"/>
        </w:rPr>
        <w:t>  </w:t>
      </w:r>
    </w:p>
    <w:p>
      <w:pPr>
        <w:pStyle w:val="Normal"/>
        <w:shd w:val="clear" w:color="auto" w:fill="FFFFFF"/>
        <w:ind w:left="567"/>
        <w:jc w:val="both"/>
        <w:textAlignment w:val="baseline"/>
        <w:rPr>
          <w:sz w:val="18"/>
          <w:szCs w:val="18"/>
        </w:rPr>
      </w:pPr>
      <w:r>
        <w:rPr>
          <w:sz w:val="18"/>
          <w:szCs w:val="18"/>
        </w:rPr>
        <w:t>а) 1000 рублей, если цена контракта не превышает 3 млн. рублей (включительно); </w:t>
      </w:r>
    </w:p>
    <w:p>
      <w:pPr>
        <w:pStyle w:val="Normal"/>
        <w:shd w:val="clear" w:color="auto" w:fill="FFFFFF"/>
        <w:ind w:left="567"/>
        <w:jc w:val="both"/>
        <w:textAlignment w:val="baseline"/>
        <w:rPr>
          <w:sz w:val="18"/>
          <w:szCs w:val="18"/>
        </w:rPr>
      </w:pPr>
      <w:r>
        <w:rPr>
          <w:sz w:val="18"/>
          <w:szCs w:val="18"/>
        </w:rPr>
        <w:t>б) 5000 рублей, если цена контракта составляет от 3 млн. рублей до 50 млн. рублей (включительно); </w:t>
      </w:r>
    </w:p>
    <w:p>
      <w:pPr>
        <w:pStyle w:val="Normal"/>
        <w:shd w:val="clear" w:color="auto" w:fill="FFFFFF"/>
        <w:ind w:left="567"/>
        <w:jc w:val="both"/>
        <w:textAlignment w:val="baseline"/>
        <w:rPr>
          <w:sz w:val="18"/>
          <w:szCs w:val="18"/>
        </w:rPr>
      </w:pPr>
      <w:r>
        <w:rPr>
          <w:sz w:val="18"/>
          <w:szCs w:val="18"/>
        </w:rPr>
        <w:t>в) 10000 рублей, если цена контракта составляет от 50 млн. рублей до 100 млн. рублей (включительно); </w:t>
      </w:r>
    </w:p>
    <w:p>
      <w:pPr>
        <w:pStyle w:val="Normal"/>
        <w:shd w:val="clear" w:color="auto" w:fill="FFFFFF"/>
        <w:ind w:left="567"/>
        <w:jc w:val="both"/>
        <w:textAlignment w:val="baseline"/>
        <w:rPr>
          <w:sz w:val="18"/>
          <w:szCs w:val="18"/>
        </w:rPr>
      </w:pPr>
      <w:r>
        <w:rPr>
          <w:sz w:val="18"/>
          <w:szCs w:val="18"/>
        </w:rPr>
        <w:t>г) 100000 рублей, если цена контракта превышает 100 млн. рублей. </w:t>
      </w:r>
    </w:p>
    <w:p>
      <w:pPr>
        <w:pStyle w:val="Normal"/>
        <w:shd w:val="clear" w:color="auto" w:fill="FFFFFF"/>
        <w:ind w:left="567"/>
        <w:jc w:val="both"/>
        <w:textAlignment w:val="baseline"/>
        <w:rPr>
          <w:sz w:val="18"/>
          <w:szCs w:val="18"/>
        </w:rPr>
      </w:pPr>
      <w:r>
        <w:rPr>
          <w:sz w:val="18"/>
          <w:szCs w:val="18"/>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pPr>
        <w:pStyle w:val="Normal"/>
        <w:shd w:val="clear" w:color="auto" w:fill="FFFFFF"/>
        <w:ind w:left="567"/>
        <w:jc w:val="both"/>
        <w:textAlignment w:val="baseline"/>
        <w:rPr>
          <w:sz w:val="18"/>
          <w:szCs w:val="18"/>
        </w:rPr>
      </w:pPr>
      <w:r>
        <w:rPr>
          <w:sz w:val="18"/>
          <w:szCs w:val="18"/>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pPr>
        <w:pStyle w:val="NoSpacing"/>
        <w:ind w:left="567"/>
        <w:jc w:val="both"/>
        <w:rPr>
          <w:rFonts w:ascii="Times New Roman" w:hAnsi="Times New Roman"/>
          <w:sz w:val="18"/>
          <w:szCs w:val="18"/>
        </w:rPr>
      </w:pPr>
      <w:r>
        <w:rPr>
          <w:color w:val="000000"/>
          <w:sz w:val="18"/>
          <w:szCs w:val="18"/>
          <w:shd w:fill="FFFFFF" w:val="clear"/>
        </w:rPr>
        <w:t>7</w:t>
      </w:r>
      <w:r>
        <w:rPr>
          <w:rFonts w:ascii="Times New Roman" w:hAnsi="Times New Roman"/>
          <w:color w:val="000000"/>
          <w:sz w:val="18"/>
          <w:szCs w:val="18"/>
          <w:shd w:fill="FFFFFF" w:val="clear"/>
        </w:rPr>
        <w:t xml:space="preserve">.10. </w:t>
      </w:r>
      <w:r>
        <w:rPr>
          <w:rFonts w:ascii="Times New Roman" w:hAnsi="Times New Roman"/>
          <w:sz w:val="18"/>
          <w:szCs w:val="18"/>
        </w:rPr>
        <w:t>Государственный заказчик с письменного согласия Исполнителя вправе производить оплату по государственному контракту за вычетом соответствующего размера неустойки (штрафа, пени).</w:t>
      </w:r>
    </w:p>
    <w:p>
      <w:pPr>
        <w:pStyle w:val="Normal"/>
        <w:shd w:val="clear" w:color="auto" w:fill="FFFFFF"/>
        <w:tabs>
          <w:tab w:val="clear" w:pos="708"/>
          <w:tab w:val="left" w:pos="426" w:leader="none"/>
          <w:tab w:val="left" w:pos="709" w:leader="none"/>
        </w:tabs>
        <w:ind w:left="567"/>
        <w:jc w:val="both"/>
        <w:rPr>
          <w:sz w:val="18"/>
          <w:szCs w:val="18"/>
        </w:rPr>
      </w:pPr>
      <w:r>
        <w:rPr>
          <w:sz w:val="18"/>
          <w:szCs w:val="18"/>
        </w:rPr>
        <w:t>7.11. Применение неустойки (штрафа, пени) не освобождает Стороны от исполнения обязательств по настоящему Контракту.</w:t>
      </w:r>
    </w:p>
    <w:p>
      <w:pPr>
        <w:pStyle w:val="Normal"/>
        <w:tabs>
          <w:tab w:val="clear" w:pos="708"/>
          <w:tab w:val="left" w:pos="426" w:leader="none"/>
          <w:tab w:val="left" w:pos="709" w:leader="none"/>
        </w:tabs>
        <w:ind w:left="567"/>
        <w:jc w:val="both"/>
        <w:rPr>
          <w:sz w:val="18"/>
          <w:szCs w:val="18"/>
        </w:rPr>
      </w:pPr>
      <w:r>
        <w:rPr>
          <w:sz w:val="18"/>
          <w:szCs w:val="18"/>
        </w:rPr>
        <w:t>7.12.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pPr>
        <w:pStyle w:val="Normal"/>
        <w:tabs>
          <w:tab w:val="clear" w:pos="708"/>
          <w:tab w:val="left" w:pos="426" w:leader="none"/>
          <w:tab w:val="left" w:pos="709" w:leader="none"/>
        </w:tabs>
        <w:ind w:left="567"/>
        <w:jc w:val="both"/>
        <w:rPr>
          <w:sz w:val="18"/>
          <w:szCs w:val="18"/>
        </w:rPr>
      </w:pPr>
      <w:r>
        <w:rPr>
          <w:sz w:val="18"/>
          <w:szCs w:val="18"/>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tabs>
          <w:tab w:val="clear" w:pos="708"/>
          <w:tab w:val="left" w:pos="426" w:leader="none"/>
          <w:tab w:val="left" w:pos="709" w:leader="none"/>
        </w:tabs>
        <w:ind w:left="567"/>
        <w:jc w:val="both"/>
        <w:rPr>
          <w:sz w:val="18"/>
          <w:szCs w:val="18"/>
        </w:rPr>
      </w:pPr>
      <w:r>
        <w:rPr>
          <w:sz w:val="18"/>
          <w:szCs w:val="18"/>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numPr>
          <w:ilvl w:val="0"/>
          <w:numId w:val="3"/>
        </w:numPr>
        <w:tabs>
          <w:tab w:val="clear" w:pos="708"/>
          <w:tab w:val="left" w:pos="284" w:leader="none"/>
        </w:tabs>
        <w:suppressAutoHyphens w:val="false"/>
        <w:spacing w:before="0" w:after="0"/>
        <w:ind w:hanging="0" w:left="567"/>
        <w:contextualSpacing/>
        <w:jc w:val="center"/>
        <w:rPr>
          <w:b/>
          <w:sz w:val="18"/>
          <w:szCs w:val="18"/>
        </w:rPr>
      </w:pPr>
      <w:r>
        <w:rPr>
          <w:b/>
          <w:sz w:val="18"/>
          <w:szCs w:val="18"/>
        </w:rPr>
        <w:t>Обстоятельства непреодолимой силы</w:t>
      </w:r>
    </w:p>
    <w:p>
      <w:pPr>
        <w:pStyle w:val="Normal"/>
        <w:ind w:left="567"/>
        <w:jc w:val="both"/>
        <w:rPr>
          <w:sz w:val="18"/>
          <w:szCs w:val="18"/>
        </w:rPr>
      </w:pPr>
      <w:r>
        <w:rPr>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ind w:left="567"/>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ind w:left="567"/>
        <w:jc w:val="both"/>
        <w:rPr>
          <w:sz w:val="18"/>
          <w:szCs w:val="18"/>
        </w:rPr>
      </w:pPr>
      <w:r>
        <w:rPr>
          <w:sz w:val="18"/>
          <w:szCs w:val="18"/>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ind w:left="567"/>
        <w:jc w:val="both"/>
        <w:rPr>
          <w:sz w:val="18"/>
          <w:szCs w:val="18"/>
        </w:rPr>
      </w:pPr>
      <w:r>
        <w:rPr>
          <w:sz w:val="18"/>
          <w:szCs w:val="18"/>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rmal"/>
        <w:ind w:left="567"/>
        <w:jc w:val="both"/>
        <w:rPr>
          <w:sz w:val="18"/>
          <w:szCs w:val="18"/>
        </w:rPr>
      </w:pPr>
      <w:r>
        <w:rPr>
          <w:sz w:val="18"/>
          <w:szCs w:val="18"/>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ind w:left="567"/>
        <w:jc w:val="both"/>
        <w:rPr>
          <w:sz w:val="18"/>
          <w:szCs w:val="18"/>
        </w:rPr>
      </w:pPr>
      <w:r>
        <w:rPr>
          <w:sz w:val="18"/>
          <w:szCs w:val="18"/>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ind w:left="567"/>
        <w:jc w:val="both"/>
        <w:rPr>
          <w:sz w:val="18"/>
          <w:szCs w:val="18"/>
        </w:rPr>
      </w:pPr>
      <w:r>
        <w:rPr>
          <w:sz w:val="18"/>
          <w:szCs w:val="18"/>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ind w:left="567"/>
        <w:jc w:val="both"/>
        <w:textAlignment w:val="baseline"/>
        <w:rPr>
          <w:sz w:val="18"/>
          <w:szCs w:val="18"/>
        </w:rPr>
      </w:pPr>
      <w:r>
        <w:rPr>
          <w:sz w:val="18"/>
          <w:szCs w:val="18"/>
        </w:rPr>
      </w:r>
    </w:p>
    <w:p>
      <w:pPr>
        <w:pStyle w:val="Normal"/>
        <w:numPr>
          <w:ilvl w:val="0"/>
          <w:numId w:val="3"/>
        </w:numPr>
        <w:tabs>
          <w:tab w:val="clear" w:pos="708"/>
          <w:tab w:val="left" w:pos="284" w:leader="none"/>
        </w:tabs>
        <w:suppressAutoHyphens w:val="false"/>
        <w:ind w:hanging="0" w:left="567"/>
        <w:jc w:val="center"/>
        <w:rPr>
          <w:b/>
          <w:sz w:val="18"/>
          <w:szCs w:val="18"/>
        </w:rPr>
      </w:pPr>
      <w:r>
        <w:rPr>
          <w:b/>
          <w:sz w:val="18"/>
          <w:szCs w:val="18"/>
        </w:rPr>
        <w:t>Изменение, расторжение контракта</w:t>
      </w:r>
    </w:p>
    <w:p>
      <w:pPr>
        <w:pStyle w:val="Normal"/>
        <w:widowControl w:val="false"/>
        <w:tabs>
          <w:tab w:val="clear" w:pos="708"/>
          <w:tab w:val="left" w:pos="1134" w:leader="none"/>
        </w:tabs>
        <w:snapToGrid w:val="false"/>
        <w:ind w:left="567"/>
        <w:jc w:val="both"/>
        <w:rPr>
          <w:sz w:val="18"/>
          <w:szCs w:val="18"/>
        </w:rPr>
      </w:pPr>
      <w:r>
        <w:rPr>
          <w:sz w:val="18"/>
          <w:szCs w:val="18"/>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pPr>
        <w:pStyle w:val="Normal"/>
        <w:widowControl w:val="false"/>
        <w:tabs>
          <w:tab w:val="clear" w:pos="708"/>
          <w:tab w:val="left" w:pos="1134" w:leader="none"/>
        </w:tabs>
        <w:snapToGrid w:val="false"/>
        <w:ind w:left="567"/>
        <w:jc w:val="both"/>
        <w:rPr>
          <w:sz w:val="18"/>
          <w:szCs w:val="18"/>
        </w:rPr>
      </w:pPr>
      <w:r>
        <w:rPr>
          <w:sz w:val="18"/>
          <w:szCs w:val="18"/>
        </w:rPr>
        <w:t>9.2. Все изменения к Контракту действительны, если они оформлены в виде дополнительного соглашения к Контракту и подписаны Сторонами.</w:t>
      </w:r>
    </w:p>
    <w:p>
      <w:pPr>
        <w:pStyle w:val="Normal"/>
        <w:widowControl w:val="false"/>
        <w:tabs>
          <w:tab w:val="clear" w:pos="708"/>
          <w:tab w:val="left" w:pos="1134" w:leader="none"/>
        </w:tabs>
        <w:snapToGrid w:val="false"/>
        <w:ind w:left="567"/>
        <w:jc w:val="both"/>
        <w:rPr>
          <w:sz w:val="18"/>
          <w:szCs w:val="18"/>
        </w:rPr>
      </w:pPr>
      <w:r>
        <w:rPr>
          <w:sz w:val="18"/>
          <w:szCs w:val="18"/>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pPr>
        <w:pStyle w:val="Normal"/>
        <w:widowControl w:val="false"/>
        <w:tabs>
          <w:tab w:val="clear" w:pos="708"/>
          <w:tab w:val="left" w:pos="1134" w:leader="none"/>
        </w:tabs>
        <w:snapToGrid w:val="false"/>
        <w:ind w:left="567"/>
        <w:jc w:val="both"/>
        <w:rPr>
          <w:sz w:val="18"/>
          <w:szCs w:val="18"/>
        </w:rPr>
      </w:pPr>
      <w:r>
        <w:rPr>
          <w:sz w:val="18"/>
          <w:szCs w:val="18"/>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pPr>
        <w:pStyle w:val="Normal"/>
        <w:widowControl w:val="false"/>
        <w:tabs>
          <w:tab w:val="clear" w:pos="708"/>
          <w:tab w:val="left" w:pos="1134" w:leader="none"/>
        </w:tabs>
        <w:snapToGrid w:val="false"/>
        <w:ind w:left="567"/>
        <w:jc w:val="both"/>
        <w:rPr>
          <w:sz w:val="18"/>
          <w:szCs w:val="18"/>
        </w:rPr>
      </w:pPr>
      <w:r>
        <w:rPr>
          <w:sz w:val="18"/>
          <w:szCs w:val="18"/>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tabs>
          <w:tab w:val="clear" w:pos="708"/>
          <w:tab w:val="left" w:pos="1134" w:leader="none"/>
        </w:tabs>
        <w:snapToGrid w:val="false"/>
        <w:ind w:left="567"/>
        <w:jc w:val="both"/>
        <w:rPr>
          <w:sz w:val="18"/>
          <w:szCs w:val="18"/>
        </w:rPr>
      </w:pPr>
      <w:r>
        <w:rPr>
          <w:sz w:val="18"/>
          <w:szCs w:val="18"/>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(работы, услуги) с привлечением экспертов, экспертных организаций и по результатам экспертизы товара (работы, услуги) в заключении эксперта, экспертной организации будут подтверждены нарушения условий контракта.</w:t>
      </w:r>
    </w:p>
    <w:p>
      <w:pPr>
        <w:pStyle w:val="Normal"/>
        <w:ind w:left="567"/>
        <w:jc w:val="both"/>
        <w:textAlignment w:val="baseline"/>
        <w:rPr>
          <w:sz w:val="18"/>
          <w:szCs w:val="18"/>
        </w:rPr>
      </w:pPr>
      <w:r>
        <w:rPr>
          <w:sz w:val="18"/>
          <w:szCs w:val="18"/>
        </w:rPr>
        <w:t> </w:t>
      </w:r>
      <w:r>
        <w:rPr>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(работы, услуги) с привлечением экспертов, экспертных организаций и по результатам экспертизы товара (работы, услуги) в заключении эксперта, экспертной организации будут подтверждены нарушения условий контракта.</w:t>
      </w:r>
    </w:p>
    <w:p>
      <w:pPr>
        <w:pStyle w:val="Normal"/>
        <w:widowControl w:val="false"/>
        <w:tabs>
          <w:tab w:val="clear" w:pos="708"/>
          <w:tab w:val="left" w:pos="1134" w:leader="none"/>
        </w:tabs>
        <w:snapToGrid w:val="false"/>
        <w:ind w:left="567"/>
        <w:jc w:val="both"/>
        <w:rPr>
          <w:sz w:val="18"/>
          <w:szCs w:val="18"/>
        </w:rPr>
      </w:pPr>
      <w:r>
        <w:rPr>
          <w:sz w:val="18"/>
          <w:szCs w:val="18"/>
        </w:rPr>
        <w:t xml:space="preserve"> </w:t>
      </w:r>
      <w:r>
        <w:rPr>
          <w:sz w:val="18"/>
          <w:szCs w:val="18"/>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(подрядчика, исполнителя) об одностороннем отказе от исполнения контракта.</w:t>
      </w:r>
    </w:p>
    <w:p>
      <w:pPr>
        <w:pStyle w:val="Normal"/>
        <w:widowControl w:val="false"/>
        <w:tabs>
          <w:tab w:val="clear" w:pos="708"/>
          <w:tab w:val="left" w:pos="1134" w:leader="none"/>
        </w:tabs>
        <w:snapToGrid w:val="false"/>
        <w:ind w:left="567"/>
        <w:jc w:val="center"/>
        <w:rPr>
          <w:sz w:val="18"/>
          <w:szCs w:val="18"/>
        </w:rPr>
      </w:pPr>
      <w:r>
        <w:rPr>
          <w:b/>
          <w:sz w:val="18"/>
          <w:szCs w:val="18"/>
        </w:rPr>
        <w:t>10. Порядок разрешения споров</w:t>
      </w:r>
    </w:p>
    <w:p>
      <w:pPr>
        <w:pStyle w:val="Normal"/>
        <w:widowControl w:val="false"/>
        <w:ind w:left="567"/>
        <w:jc w:val="both"/>
        <w:rPr>
          <w:sz w:val="18"/>
          <w:szCs w:val="18"/>
        </w:rPr>
      </w:pPr>
      <w:r>
        <w:rPr>
          <w:sz w:val="18"/>
          <w:szCs w:val="18"/>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ind w:left="567"/>
        <w:jc w:val="both"/>
        <w:rPr>
          <w:sz w:val="18"/>
          <w:szCs w:val="18"/>
        </w:rPr>
      </w:pPr>
      <w:r>
        <w:rPr>
          <w:sz w:val="18"/>
          <w:szCs w:val="18"/>
        </w:rPr>
        <w:t>10.2. Досудебный порядок урегулирования споров, предусматривающий направление претензии контрагенту, является обязательным.</w:t>
      </w:r>
    </w:p>
    <w:p>
      <w:pPr>
        <w:pStyle w:val="Normal"/>
        <w:widowControl w:val="false"/>
        <w:ind w:left="567"/>
        <w:jc w:val="both"/>
        <w:rPr>
          <w:sz w:val="18"/>
          <w:szCs w:val="18"/>
        </w:rPr>
      </w:pPr>
      <w:r>
        <w:rPr>
          <w:sz w:val="18"/>
          <w:szCs w:val="18"/>
        </w:rPr>
        <w:t>10.3. 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pPr>
        <w:pStyle w:val="Normal"/>
        <w:widowControl w:val="false"/>
        <w:ind w:left="567"/>
        <w:jc w:val="both"/>
        <w:rPr>
          <w:sz w:val="18"/>
          <w:szCs w:val="18"/>
        </w:rPr>
      </w:pPr>
      <w:r>
        <w:rPr>
          <w:sz w:val="18"/>
          <w:szCs w:val="18"/>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widowControl w:val="false"/>
        <w:ind w:left="567"/>
        <w:jc w:val="both"/>
        <w:rPr>
          <w:sz w:val="18"/>
          <w:szCs w:val="18"/>
        </w:rPr>
      </w:pPr>
      <w:r>
        <w:rPr>
          <w:sz w:val="18"/>
          <w:szCs w:val="18"/>
        </w:rPr>
        <w:t>10.5. Если претензионные требования подлежат денежной оценке, в претензии указывается требуемая сумма и ее полный и обоснованный расчет.</w:t>
      </w:r>
    </w:p>
    <w:p>
      <w:pPr>
        <w:pStyle w:val="Normal"/>
        <w:widowControl w:val="false"/>
        <w:ind w:left="567"/>
        <w:jc w:val="both"/>
        <w:rPr>
          <w:sz w:val="18"/>
          <w:szCs w:val="18"/>
        </w:rPr>
      </w:pPr>
      <w:r>
        <w:rPr>
          <w:sz w:val="18"/>
          <w:szCs w:val="18"/>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widowControl w:val="false"/>
        <w:ind w:left="567"/>
        <w:jc w:val="both"/>
        <w:rPr>
          <w:sz w:val="18"/>
          <w:szCs w:val="18"/>
        </w:rPr>
      </w:pPr>
      <w:r>
        <w:rPr>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ind w:left="567"/>
        <w:jc w:val="both"/>
        <w:rPr>
          <w:sz w:val="18"/>
          <w:szCs w:val="18"/>
        </w:rPr>
      </w:pPr>
      <w:r>
        <w:rPr>
          <w:sz w:val="18"/>
          <w:szCs w:val="18"/>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Мордовия в порядке, предусмотренном законодательством Российской Федерации.</w:t>
      </w:r>
    </w:p>
    <w:p>
      <w:pPr>
        <w:pStyle w:val="Normal"/>
        <w:tabs>
          <w:tab w:val="clear" w:pos="708"/>
          <w:tab w:val="left" w:pos="284" w:leader="none"/>
        </w:tabs>
        <w:spacing w:before="0" w:after="0"/>
        <w:ind w:left="567"/>
        <w:contextualSpacing/>
        <w:jc w:val="center"/>
        <w:rPr>
          <w:rFonts w:eastAsia="" w:eastAsiaTheme="minorEastAsia"/>
          <w:b/>
          <w:sz w:val="18"/>
          <w:szCs w:val="18"/>
        </w:rPr>
      </w:pPr>
      <w:r>
        <w:rPr>
          <w:rFonts w:eastAsia="" w:eastAsiaTheme="minorEastAsia"/>
          <w:b/>
          <w:sz w:val="18"/>
          <w:szCs w:val="18"/>
        </w:rPr>
        <w:t>11. Прочие условия.</w:t>
      </w:r>
    </w:p>
    <w:p>
      <w:pPr>
        <w:pStyle w:val="Normal"/>
        <w:ind w:left="567"/>
        <w:jc w:val="both"/>
        <w:rPr>
          <w:sz w:val="18"/>
          <w:szCs w:val="18"/>
        </w:rPr>
      </w:pPr>
      <w:r>
        <w:rPr>
          <w:sz w:val="18"/>
          <w:szCs w:val="18"/>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Normal"/>
        <w:ind w:left="567"/>
        <w:jc w:val="both"/>
        <w:rPr>
          <w:sz w:val="18"/>
          <w:szCs w:val="18"/>
        </w:rPr>
      </w:pPr>
      <w:r>
        <w:rPr>
          <w:sz w:val="18"/>
          <w:szCs w:val="18"/>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Normal"/>
        <w:widowControl w:val="false"/>
        <w:tabs>
          <w:tab w:val="clear" w:pos="708"/>
          <w:tab w:val="left" w:pos="1418" w:leader="none"/>
        </w:tabs>
        <w:spacing w:before="0" w:after="0"/>
        <w:ind w:left="567"/>
        <w:contextualSpacing/>
        <w:jc w:val="both"/>
        <w:rPr>
          <w:spacing w:val="-4"/>
          <w:sz w:val="18"/>
          <w:szCs w:val="18"/>
        </w:rPr>
      </w:pPr>
      <w:r>
        <w:rPr>
          <w:spacing w:val="-4"/>
          <w:sz w:val="18"/>
          <w:szCs w:val="18"/>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pPr>
        <w:pStyle w:val="Normal"/>
        <w:widowControl w:val="false"/>
        <w:tabs>
          <w:tab w:val="clear" w:pos="708"/>
          <w:tab w:val="left" w:pos="1418" w:leader="none"/>
        </w:tabs>
        <w:spacing w:before="0" w:after="0"/>
        <w:ind w:left="567"/>
        <w:contextualSpacing/>
        <w:jc w:val="both"/>
        <w:rPr>
          <w:spacing w:val="-4"/>
          <w:sz w:val="18"/>
          <w:szCs w:val="18"/>
        </w:rPr>
      </w:pPr>
      <w:r>
        <w:rPr>
          <w:sz w:val="18"/>
          <w:szCs w:val="18"/>
        </w:rPr>
        <w:t xml:space="preserve">11.4. </w:t>
      </w:r>
      <w:r>
        <w:rPr>
          <w:spacing w:val="-4"/>
          <w:sz w:val="18"/>
          <w:szCs w:val="18"/>
        </w:rPr>
        <w:t>Приложение к контракту, являющееся его неотъемлемой частью:</w:t>
      </w:r>
    </w:p>
    <w:p>
      <w:pPr>
        <w:pStyle w:val="Normal"/>
        <w:ind w:left="567"/>
        <w:jc w:val="both"/>
        <w:textAlignment w:val="baseline"/>
        <w:rPr>
          <w:sz w:val="18"/>
          <w:szCs w:val="18"/>
        </w:rPr>
      </w:pPr>
      <w:r>
        <w:rPr>
          <w:sz w:val="18"/>
          <w:szCs w:val="18"/>
        </w:rPr>
        <w:t>Приложение № 1 – Спецификация к Государственному контракту;</w:t>
      </w:r>
    </w:p>
    <w:p>
      <w:pPr>
        <w:pStyle w:val="Normal"/>
        <w:ind w:left="567"/>
        <w:jc w:val="both"/>
        <w:textAlignment w:val="baseline"/>
        <w:rPr>
          <w:sz w:val="18"/>
          <w:szCs w:val="18"/>
        </w:rPr>
      </w:pPr>
      <w:r>
        <w:rPr>
          <w:sz w:val="18"/>
          <w:szCs w:val="18"/>
        </w:rPr>
        <w:t>Приложение № 2 – Техническое задание;</w:t>
      </w:r>
    </w:p>
    <w:p>
      <w:pPr>
        <w:pStyle w:val="Normal"/>
        <w:ind w:left="567"/>
        <w:jc w:val="both"/>
        <w:rPr>
          <w:sz w:val="18"/>
          <w:szCs w:val="18"/>
        </w:rPr>
      </w:pPr>
      <w:r>
        <w:rPr>
          <w:sz w:val="18"/>
          <w:szCs w:val="18"/>
        </w:rPr>
        <w:t>11.5. Во всем остальном, что не предусмотрено Контрактом, Стороны руководствуются законодательством Российской Федерации.</w:t>
      </w:r>
    </w:p>
    <w:p>
      <w:pPr>
        <w:pStyle w:val="Normal"/>
        <w:tabs>
          <w:tab w:val="clear" w:pos="708"/>
          <w:tab w:val="left" w:pos="284" w:leader="none"/>
        </w:tabs>
        <w:suppressAutoHyphens w:val="false"/>
        <w:spacing w:before="0" w:after="0"/>
        <w:ind w:left="567"/>
        <w:contextualSpacing/>
        <w:rPr>
          <w:b/>
          <w:sz w:val="18"/>
          <w:szCs w:val="18"/>
        </w:rPr>
      </w:pPr>
      <w:r>
        <w:rPr>
          <w:b/>
          <w:sz w:val="18"/>
          <w:szCs w:val="18"/>
        </w:rPr>
        <w:t xml:space="preserve">                                                                             </w:t>
      </w:r>
      <w:r>
        <w:rPr>
          <w:b/>
          <w:sz w:val="18"/>
          <w:szCs w:val="18"/>
        </w:rPr>
        <w:t>12. Срок действия контракта</w:t>
      </w:r>
    </w:p>
    <w:p>
      <w:pPr>
        <w:pStyle w:val="Normal"/>
        <w:ind w:left="567"/>
        <w:jc w:val="both"/>
        <w:textAlignment w:val="baseline"/>
        <w:rPr>
          <w:sz w:val="18"/>
          <w:szCs w:val="18"/>
        </w:rPr>
      </w:pPr>
      <w:r>
        <w:rPr>
          <w:sz w:val="18"/>
          <w:szCs w:val="18"/>
        </w:rPr>
        <w:t>12.1. Контракт, вступает в силу с момента его подписания обеими Сторонами и действует по 31 декабря 2026г.,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pPr>
        <w:pStyle w:val="Normal"/>
        <w:ind w:left="567"/>
        <w:jc w:val="both"/>
        <w:textAlignment w:val="baseline"/>
        <w:rPr>
          <w:sz w:val="18"/>
          <w:szCs w:val="18"/>
        </w:rPr>
      </w:pPr>
      <w:r>
        <w:rPr>
          <w:sz w:val="18"/>
          <w:szCs w:val="18"/>
        </w:rPr>
      </w:r>
    </w:p>
    <w:p>
      <w:pPr>
        <w:pStyle w:val="Normal"/>
        <w:suppressAutoHyphens w:val="false"/>
        <w:ind w:left="567"/>
        <w:textAlignment w:val="baseline"/>
        <w:rPr>
          <w:sz w:val="18"/>
          <w:szCs w:val="18"/>
        </w:rPr>
      </w:pPr>
      <w:r>
        <w:rPr>
          <w:b/>
          <w:bCs/>
          <w:sz w:val="18"/>
          <w:szCs w:val="18"/>
        </w:rPr>
        <w:t xml:space="preserve">                                                 </w:t>
      </w:r>
      <w:r>
        <w:rPr>
          <w:b/>
          <w:bCs/>
          <w:sz w:val="18"/>
          <w:szCs w:val="18"/>
        </w:rPr>
        <w:t xml:space="preserve">13. Юридические адреса, банковские и отгрузочные реквизиты </w:t>
      </w:r>
    </w:p>
    <w:p>
      <w:pPr>
        <w:pStyle w:val="Normal"/>
        <w:ind w:left="567"/>
        <w:jc w:val="center"/>
        <w:textAlignment w:val="baseline"/>
        <w:rPr>
          <w:b/>
          <w:bCs/>
          <w:sz w:val="18"/>
          <w:szCs w:val="18"/>
        </w:rPr>
      </w:pPr>
      <w:r>
        <w:rPr>
          <w:b/>
          <w:bCs/>
          <w:sz w:val="18"/>
          <w:szCs w:val="18"/>
        </w:rPr>
        <w:t>Сторон на момент подписания контракта</w:t>
      </w:r>
    </w:p>
    <w:p>
      <w:pPr>
        <w:pStyle w:val="Normal"/>
        <w:ind w:left="567"/>
        <w:jc w:val="center"/>
        <w:textAlignment w:val="baseline"/>
        <w:rPr>
          <w:b/>
          <w:bCs/>
          <w:sz w:val="18"/>
          <w:szCs w:val="18"/>
        </w:rPr>
      </w:pPr>
      <w:r>
        <w:rPr>
          <w:b/>
          <w:bCs/>
          <w:sz w:val="18"/>
          <w:szCs w:val="18"/>
        </w:rPr>
      </w:r>
    </w:p>
    <w:tbl>
      <w:tblPr>
        <w:tblpPr w:vertAnchor="text" w:horzAnchor="margin" w:tblpXSpec="center" w:leftFromText="180" w:rightFromText="180" w:tblpY="1"/>
        <w:tblW w:w="9885" w:type="dxa"/>
        <w:jc w:val="center"/>
        <w:tblInd w:w="0" w:type="dxa"/>
        <w:tblLayout w:type="fixed"/>
        <w:tblCellMar>
          <w:top w:w="0" w:type="dxa"/>
          <w:left w:w="108" w:type="dxa"/>
          <w:bottom w:w="0" w:type="dxa"/>
          <w:right w:w="108" w:type="dxa"/>
        </w:tblCellMar>
        <w:tblLook w:val="04a0"/>
      </w:tblPr>
      <w:tblGrid>
        <w:gridCol w:w="4966"/>
        <w:gridCol w:w="4918"/>
      </w:tblGrid>
      <w:tr>
        <w:trPr/>
        <w:tc>
          <w:tcPr>
            <w:tcW w:w="4966" w:type="dxa"/>
            <w:tcBorders/>
            <w:vAlign w:val="center"/>
          </w:tcPr>
          <w:p>
            <w:pPr>
              <w:pStyle w:val="NoSpacing"/>
              <w:ind w:left="567"/>
              <w:rPr>
                <w:rFonts w:ascii="Times New Roman" w:hAnsi="Times New Roman"/>
                <w:sz w:val="18"/>
                <w:szCs w:val="18"/>
              </w:rPr>
            </w:pPr>
            <w:r>
              <w:rPr>
                <w:rFonts w:ascii="Times New Roman" w:hAnsi="Times New Roman"/>
                <w:sz w:val="18"/>
                <w:szCs w:val="18"/>
              </w:rPr>
              <w:t>«Государственный заказчик»:</w:t>
            </w:r>
          </w:p>
        </w:tc>
        <w:tc>
          <w:tcPr>
            <w:tcW w:w="4918" w:type="dxa"/>
            <w:tcBorders/>
            <w:vAlign w:val="center"/>
          </w:tcPr>
          <w:p>
            <w:pPr>
              <w:pStyle w:val="NoSpacing"/>
              <w:ind w:left="567"/>
              <w:rPr>
                <w:rFonts w:ascii="Times New Roman" w:hAnsi="Times New Roman"/>
                <w:sz w:val="18"/>
                <w:szCs w:val="18"/>
              </w:rPr>
            </w:pPr>
            <w:r>
              <w:rPr>
                <w:rFonts w:ascii="Times New Roman" w:hAnsi="Times New Roman"/>
                <w:sz w:val="18"/>
                <w:szCs w:val="18"/>
              </w:rPr>
              <w:t>«Исполнитель»:</w:t>
            </w:r>
          </w:p>
        </w:tc>
      </w:tr>
      <w:tr>
        <w:trPr/>
        <w:tc>
          <w:tcPr>
            <w:tcW w:w="4966" w:type="dxa"/>
            <w:tcBorders/>
          </w:tcPr>
          <w:p>
            <w:pPr>
              <w:pStyle w:val="NoSpacing"/>
              <w:rPr>
                <w:rFonts w:ascii="Times New Roman" w:hAnsi="Times New Roman"/>
                <w:b/>
                <w:color w:val="2C2D2E"/>
                <w:sz w:val="18"/>
                <w:szCs w:val="18"/>
              </w:rPr>
            </w:pPr>
            <w:r>
              <w:rPr>
                <w:rFonts w:ascii="Times New Roman" w:hAnsi="Times New Roman"/>
                <w:b/>
                <w:bCs/>
                <w:color w:val="2C2D2E"/>
                <w:sz w:val="18"/>
                <w:szCs w:val="18"/>
              </w:rPr>
              <w:t>ФКУ БМТиВС УФСИН России по Республике Мордовия</w:t>
            </w:r>
          </w:p>
          <w:p>
            <w:pPr>
              <w:pStyle w:val="NoSpacing"/>
              <w:rPr>
                <w:rFonts w:ascii="Times New Roman" w:hAnsi="Times New Roman"/>
                <w:bCs/>
                <w:iCs/>
                <w:sz w:val="18"/>
                <w:szCs w:val="18"/>
              </w:rPr>
            </w:pPr>
            <w:r>
              <w:rPr>
                <w:rFonts w:ascii="Times New Roman" w:hAnsi="Times New Roman"/>
                <w:b/>
                <w:bCs/>
                <w:iCs/>
                <w:sz w:val="18"/>
                <w:szCs w:val="18"/>
              </w:rPr>
              <w:t>Юридический адрес:</w:t>
            </w:r>
            <w:r>
              <w:rPr>
                <w:rFonts w:ascii="Times New Roman" w:hAnsi="Times New Roman"/>
                <w:bCs/>
                <w:iCs/>
                <w:sz w:val="18"/>
                <w:szCs w:val="18"/>
              </w:rPr>
              <w:t>431160, Республика Мордовия,</w:t>
            </w:r>
          </w:p>
          <w:p>
            <w:pPr>
              <w:pStyle w:val="NoSpacing"/>
              <w:rPr>
                <w:rFonts w:ascii="Times New Roman" w:hAnsi="Times New Roman"/>
                <w:bCs/>
                <w:iCs/>
                <w:sz w:val="18"/>
                <w:szCs w:val="18"/>
              </w:rPr>
            </w:pPr>
            <w:r>
              <w:rPr>
                <w:rFonts w:ascii="Times New Roman" w:hAnsi="Times New Roman"/>
                <w:bCs/>
                <w:iCs/>
                <w:sz w:val="18"/>
                <w:szCs w:val="18"/>
              </w:rPr>
              <w:t xml:space="preserve">Зубово-Полянский р-он, р.п. Явас, ул. Комсомольская, 25, </w:t>
            </w:r>
          </w:p>
          <w:p>
            <w:pPr>
              <w:pStyle w:val="NoSpacing"/>
              <w:rPr>
                <w:rFonts w:ascii="Times New Roman" w:hAnsi="Times New Roman"/>
                <w:bCs/>
                <w:iCs/>
                <w:sz w:val="18"/>
                <w:szCs w:val="18"/>
              </w:rPr>
            </w:pPr>
            <w:r>
              <w:rPr>
                <w:rFonts w:ascii="Times New Roman" w:hAnsi="Times New Roman"/>
                <w:bCs/>
                <w:iCs/>
                <w:sz w:val="18"/>
                <w:szCs w:val="18"/>
              </w:rPr>
              <w:t xml:space="preserve">тел. (83457) 2-25-25, эл. почта: </w:t>
            </w:r>
            <w:hyperlink r:id="rId3">
              <w:r>
                <w:rPr>
                  <w:rStyle w:val="Hyperlink"/>
                  <w:rFonts w:ascii="Times New Roman" w:hAnsi="Times New Roman"/>
                  <w:bCs/>
                  <w:iCs/>
                  <w:sz w:val="18"/>
                  <w:szCs w:val="18"/>
                </w:rPr>
                <w:t>bazaois@mail.ru</w:t>
              </w:r>
            </w:hyperlink>
          </w:p>
          <w:p>
            <w:pPr>
              <w:pStyle w:val="NoSpacing"/>
              <w:rPr>
                <w:rFonts w:ascii="Times New Roman" w:hAnsi="Times New Roman"/>
                <w:b/>
                <w:bCs/>
                <w:iCs/>
                <w:sz w:val="18"/>
                <w:szCs w:val="18"/>
              </w:rPr>
            </w:pPr>
            <w:r>
              <w:rPr>
                <w:rFonts w:ascii="Times New Roman" w:hAnsi="Times New Roman"/>
                <w:b/>
                <w:bCs/>
                <w:iCs/>
                <w:sz w:val="18"/>
                <w:szCs w:val="18"/>
              </w:rPr>
              <w:t>Банковские реквизиты:</w:t>
            </w:r>
          </w:p>
          <w:p>
            <w:pPr>
              <w:pStyle w:val="NoSpacing"/>
              <w:rPr>
                <w:rFonts w:ascii="Times New Roman" w:hAnsi="Times New Roman"/>
                <w:bCs/>
                <w:iCs/>
                <w:sz w:val="18"/>
                <w:szCs w:val="18"/>
              </w:rPr>
            </w:pPr>
            <w:r>
              <w:rPr>
                <w:rFonts w:ascii="Times New Roman" w:hAnsi="Times New Roman"/>
                <w:bCs/>
                <w:iCs/>
                <w:sz w:val="18"/>
                <w:szCs w:val="18"/>
              </w:rPr>
              <w:t>ИНН 1308082270;   КПП 130801001;   ОГРН  1051308006518; ОКПО  08927506;     ОКОГУ  13173;    ОКАТО  89221580000;</w:t>
            </w:r>
          </w:p>
          <w:p>
            <w:pPr>
              <w:pStyle w:val="NoSpacing"/>
              <w:rPr>
                <w:rFonts w:ascii="Times New Roman" w:hAnsi="Times New Roman"/>
                <w:bCs/>
                <w:iCs/>
                <w:sz w:val="18"/>
                <w:szCs w:val="18"/>
              </w:rPr>
            </w:pPr>
            <w:r>
              <w:rPr>
                <w:rFonts w:ascii="Times New Roman" w:hAnsi="Times New Roman"/>
                <w:bCs/>
                <w:iCs/>
                <w:sz w:val="18"/>
                <w:szCs w:val="18"/>
              </w:rPr>
              <w:t>ОГРЮЛ  1051308006518;     ОКВЭД  -  52.10, ОКФС – 12;     ОКОПФ  -  81,  ОКТМО 89621180051</w:t>
            </w:r>
          </w:p>
          <w:p>
            <w:pPr>
              <w:pStyle w:val="NoSpacing"/>
              <w:rPr>
                <w:rFonts w:ascii="Times New Roman" w:hAnsi="Times New Roman"/>
                <w:bCs/>
                <w:iCs/>
                <w:sz w:val="18"/>
                <w:szCs w:val="18"/>
              </w:rPr>
            </w:pPr>
            <w:r>
              <w:rPr>
                <w:rFonts w:ascii="Times New Roman" w:hAnsi="Times New Roman"/>
                <w:bCs/>
                <w:iCs/>
                <w:sz w:val="18"/>
                <w:szCs w:val="18"/>
              </w:rPr>
              <w:t>ЕКС  40102810745370000024</w:t>
            </w:r>
          </w:p>
          <w:p>
            <w:pPr>
              <w:pStyle w:val="NoSpacing"/>
              <w:rPr>
                <w:rFonts w:ascii="Times New Roman" w:hAnsi="Times New Roman"/>
                <w:bCs/>
                <w:iCs/>
                <w:sz w:val="18"/>
                <w:szCs w:val="18"/>
              </w:rPr>
            </w:pPr>
            <w:r>
              <w:rPr>
                <w:rFonts w:ascii="Times New Roman" w:hAnsi="Times New Roman"/>
                <w:bCs/>
                <w:iCs/>
                <w:sz w:val="18"/>
                <w:szCs w:val="18"/>
              </w:rPr>
              <w:t>Номер казначейского счета  03211643000000013232</w:t>
            </w:r>
          </w:p>
          <w:p>
            <w:pPr>
              <w:pStyle w:val="NoSpacing"/>
              <w:rPr>
                <w:rFonts w:ascii="Times New Roman" w:hAnsi="Times New Roman"/>
                <w:bCs/>
                <w:iCs/>
                <w:sz w:val="18"/>
                <w:szCs w:val="18"/>
              </w:rPr>
            </w:pPr>
            <w:r>
              <w:rPr>
                <w:rFonts w:ascii="Times New Roman" w:hAnsi="Times New Roman"/>
                <w:bCs/>
                <w:iCs/>
                <w:sz w:val="18"/>
                <w:szCs w:val="18"/>
              </w:rPr>
              <w:t>ОКЦ №1 ВВГУ Банка России//УФК по Нижегородской области, г. Нижний Новгород БИК  012202102</w:t>
            </w:r>
          </w:p>
          <w:p>
            <w:pPr>
              <w:pStyle w:val="NoSpacing"/>
              <w:rPr>
                <w:rFonts w:ascii="Times New Roman" w:hAnsi="Times New Roman"/>
                <w:bCs/>
                <w:iCs/>
                <w:sz w:val="18"/>
                <w:szCs w:val="18"/>
              </w:rPr>
            </w:pPr>
            <w:r>
              <w:rPr>
                <w:rFonts w:ascii="Times New Roman" w:hAnsi="Times New Roman"/>
                <w:bCs/>
                <w:iCs/>
                <w:sz w:val="18"/>
                <w:szCs w:val="18"/>
              </w:rPr>
              <w:t>УФК по Нижегородской области (ФКУ БМТиВС УФСИН России по Республике Мордовия, л\сч.03091717930)</w:t>
            </w:r>
          </w:p>
          <w:p>
            <w:pPr>
              <w:pStyle w:val="NoSpacing"/>
              <w:rPr>
                <w:rFonts w:ascii="Times New Roman" w:hAnsi="Times New Roman"/>
                <w:b/>
                <w:bCs/>
                <w:iCs/>
                <w:sz w:val="18"/>
                <w:szCs w:val="18"/>
              </w:rPr>
            </w:pPr>
            <w:r>
              <w:rPr>
                <w:rFonts w:ascii="Times New Roman" w:hAnsi="Times New Roman"/>
                <w:b/>
                <w:bCs/>
                <w:iCs/>
                <w:sz w:val="18"/>
                <w:szCs w:val="18"/>
              </w:rPr>
              <w:t>Реквизиты для перечисления пеней (штрафов)</w:t>
            </w:r>
          </w:p>
          <w:p>
            <w:pPr>
              <w:pStyle w:val="NoSpacing"/>
              <w:rPr>
                <w:rFonts w:ascii="Times New Roman" w:hAnsi="Times New Roman"/>
                <w:bCs/>
                <w:iCs/>
                <w:sz w:val="18"/>
                <w:szCs w:val="18"/>
              </w:rPr>
            </w:pPr>
            <w:r>
              <w:rPr>
                <w:rFonts w:ascii="Times New Roman" w:hAnsi="Times New Roman"/>
                <w:bCs/>
                <w:iCs/>
                <w:sz w:val="18"/>
                <w:szCs w:val="18"/>
              </w:rPr>
              <w:t>ОКТМО 89621180, ИНН 1308082270;   КПП 130801001</w:t>
            </w:r>
          </w:p>
          <w:p>
            <w:pPr>
              <w:pStyle w:val="NoSpacing"/>
              <w:rPr>
                <w:rFonts w:ascii="Times New Roman" w:hAnsi="Times New Roman"/>
                <w:bCs/>
                <w:iCs/>
                <w:sz w:val="18"/>
                <w:szCs w:val="18"/>
              </w:rPr>
            </w:pPr>
            <w:r>
              <w:rPr>
                <w:rFonts w:ascii="Times New Roman" w:hAnsi="Times New Roman"/>
                <w:bCs/>
                <w:iCs/>
                <w:sz w:val="18"/>
                <w:szCs w:val="18"/>
              </w:rPr>
              <w:t>Кор.счет</w:t>
            </w:r>
            <w:r>
              <w:rPr>
                <w:rFonts w:ascii="Times New Roman" w:hAnsi="Times New Roman"/>
                <w:color w:val="2C2D2E"/>
                <w:sz w:val="18"/>
                <w:szCs w:val="18"/>
              </w:rPr>
              <w:t>40102810545370000114</w:t>
            </w:r>
          </w:p>
          <w:p>
            <w:pPr>
              <w:pStyle w:val="NoSpacing"/>
              <w:rPr>
                <w:rFonts w:ascii="Times New Roman" w:hAnsi="Times New Roman"/>
                <w:bCs/>
                <w:iCs/>
                <w:sz w:val="18"/>
                <w:szCs w:val="18"/>
              </w:rPr>
            </w:pPr>
            <w:r>
              <w:rPr>
                <w:rFonts w:ascii="Times New Roman" w:hAnsi="Times New Roman"/>
                <w:bCs/>
                <w:iCs/>
                <w:sz w:val="18"/>
                <w:szCs w:val="18"/>
              </w:rPr>
              <w:t>Номер казначейского счета  03100643000000010900</w:t>
            </w:r>
          </w:p>
          <w:p>
            <w:pPr>
              <w:pStyle w:val="NoSpacing"/>
              <w:rPr>
                <w:rFonts w:ascii="Times New Roman" w:hAnsi="Times New Roman"/>
                <w:bCs/>
                <w:iCs/>
                <w:sz w:val="18"/>
                <w:szCs w:val="18"/>
              </w:rPr>
            </w:pPr>
            <w:r>
              <w:rPr>
                <w:rFonts w:ascii="Times New Roman" w:hAnsi="Times New Roman"/>
                <w:bCs/>
                <w:iCs/>
                <w:sz w:val="18"/>
                <w:szCs w:val="18"/>
              </w:rPr>
              <w:t>ОКЦ №1 ВВГУ Банка России//УФК по Республике Мордовия, г. Саранск БИК  042202114</w:t>
            </w:r>
          </w:p>
          <w:p>
            <w:pPr>
              <w:pStyle w:val="NoSpacing"/>
              <w:rPr>
                <w:rFonts w:ascii="Times New Roman" w:hAnsi="Times New Roman"/>
                <w:bCs/>
                <w:iCs/>
                <w:sz w:val="18"/>
                <w:szCs w:val="18"/>
              </w:rPr>
            </w:pPr>
            <w:r>
              <w:rPr>
                <w:rFonts w:ascii="Times New Roman" w:hAnsi="Times New Roman"/>
                <w:bCs/>
                <w:iCs/>
                <w:sz w:val="18"/>
                <w:szCs w:val="18"/>
              </w:rPr>
              <w:t>УФК по Республике Мордовия (ФКУ БМТиВС УФСИН России по Республике Мордовия, л\сч.04091717930)</w:t>
            </w:r>
          </w:p>
          <w:p>
            <w:pPr>
              <w:pStyle w:val="NoSpacing"/>
              <w:rPr>
                <w:rFonts w:ascii="Times New Roman" w:hAnsi="Times New Roman"/>
                <w:sz w:val="18"/>
                <w:szCs w:val="18"/>
              </w:rPr>
            </w:pPr>
            <w:r>
              <w:rPr>
                <w:rFonts w:ascii="Times New Roman" w:hAnsi="Times New Roman"/>
                <w:sz w:val="18"/>
                <w:szCs w:val="18"/>
              </w:rPr>
              <w:t>КБК 32011607010019000140</w:t>
            </w:r>
          </w:p>
          <w:p>
            <w:pPr>
              <w:pStyle w:val="NoSpacing"/>
              <w:rPr>
                <w:rFonts w:ascii="Times New Roman" w:hAnsi="Times New Roman"/>
                <w:bCs/>
                <w:iCs/>
                <w:sz w:val="18"/>
                <w:szCs w:val="18"/>
              </w:rPr>
            </w:pPr>
            <w:r>
              <w:rPr>
                <w:rFonts w:ascii="Times New Roman" w:hAnsi="Times New Roman"/>
                <w:bCs/>
                <w:iCs/>
                <w:sz w:val="18"/>
                <w:szCs w:val="18"/>
              </w:rPr>
            </w:r>
          </w:p>
          <w:p>
            <w:pPr>
              <w:pStyle w:val="NoSpacing"/>
              <w:rPr>
                <w:rFonts w:ascii="Times New Roman" w:hAnsi="Times New Roman"/>
                <w:sz w:val="18"/>
                <w:szCs w:val="18"/>
                <w:lang w:val="en-US"/>
              </w:rPr>
            </w:pPr>
            <w:r>
              <w:rPr>
                <w:rFonts w:ascii="Times New Roman" w:hAnsi="Times New Roman"/>
                <w:sz w:val="18"/>
                <w:szCs w:val="18"/>
              </w:rPr>
              <w:t>Начальник</w:t>
            </w:r>
            <w:r>
              <w:rPr>
                <w:rFonts w:ascii="Times New Roman" w:hAnsi="Times New Roman"/>
                <w:sz w:val="18"/>
                <w:szCs w:val="18"/>
                <w:lang w:val="en-US"/>
              </w:rPr>
              <w:t>:</w:t>
            </w:r>
          </w:p>
          <w:p>
            <w:pPr>
              <w:pStyle w:val="NoSpacing"/>
              <w:ind w:left="567"/>
              <w:rPr>
                <w:rFonts w:ascii="Times New Roman" w:hAnsi="Times New Roman"/>
                <w:sz w:val="18"/>
                <w:szCs w:val="18"/>
                <w:lang w:val="en-US"/>
              </w:rPr>
            </w:pPr>
            <w:r>
              <w:rPr>
                <w:rFonts w:ascii="Times New Roman" w:hAnsi="Times New Roman"/>
                <w:sz w:val="18"/>
                <w:szCs w:val="18"/>
                <w:lang w:val="en-US"/>
              </w:rPr>
            </w:r>
          </w:p>
        </w:tc>
        <w:tc>
          <w:tcPr>
            <w:tcW w:w="4918" w:type="dxa"/>
            <w:tcBorders/>
          </w:tcPr>
          <w:p>
            <w:pPr>
              <w:pStyle w:val="NoSpacing"/>
              <w:ind w:left="567"/>
              <w:rPr>
                <w:rFonts w:ascii="Times New Roman" w:hAnsi="Times New Roman"/>
                <w:sz w:val="18"/>
                <w:szCs w:val="18"/>
              </w:rPr>
            </w:pPr>
            <w:r>
              <w:rPr>
                <w:rFonts w:ascii="Times New Roman" w:hAnsi="Times New Roman"/>
                <w:sz w:val="18"/>
                <w:szCs w:val="18"/>
              </w:rPr>
            </w:r>
          </w:p>
          <w:p>
            <w:pPr>
              <w:pStyle w:val="NoSpacing"/>
              <w:rPr>
                <w:rFonts w:ascii="Times New Roman" w:hAnsi="Times New Roman"/>
                <w:b/>
                <w:sz w:val="18"/>
                <w:szCs w:val="18"/>
              </w:rPr>
            </w:pPr>
            <w:r>
              <w:rPr>
                <w:rFonts w:ascii="Times New Roman" w:hAnsi="Times New Roman"/>
                <w:b/>
                <w:sz w:val="18"/>
                <w:szCs w:val="18"/>
              </w:rPr>
              <w:t>Юридический  адрес:</w:t>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b/>
                <w:bCs/>
                <w:iCs/>
                <w:sz w:val="18"/>
                <w:szCs w:val="18"/>
              </w:rPr>
            </w:pPr>
            <w:r>
              <w:rPr>
                <w:rFonts w:ascii="Times New Roman" w:hAnsi="Times New Roman"/>
                <w:b/>
                <w:bCs/>
                <w:iCs/>
                <w:sz w:val="18"/>
                <w:szCs w:val="18"/>
              </w:rPr>
              <w:t>Банковские реквизиты:</w:t>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u w:val="single"/>
              </w:rPr>
            </w:pPr>
            <w:r>
              <w:rPr>
                <w:rFonts w:ascii="Times New Roman" w:hAnsi="Times New Roman"/>
                <w:sz w:val="18"/>
                <w:szCs w:val="18"/>
                <w:u w:val="single"/>
              </w:rPr>
            </w:r>
          </w:p>
          <w:p>
            <w:pPr>
              <w:pStyle w:val="NoSpacing"/>
              <w:rPr>
                <w:rFonts w:ascii="Times New Roman" w:hAnsi="Times New Roman"/>
                <w:sz w:val="18"/>
                <w:szCs w:val="18"/>
              </w:rPr>
            </w:pPr>
            <w:r>
              <w:rPr>
                <w:rFonts w:ascii="Times New Roman" w:hAnsi="Times New Roman"/>
                <w:sz w:val="18"/>
                <w:szCs w:val="18"/>
              </w:rPr>
              <w:t>___________________</w:t>
            </w:r>
          </w:p>
        </w:tc>
      </w:tr>
      <w:tr>
        <w:trPr/>
        <w:tc>
          <w:tcPr>
            <w:tcW w:w="4966" w:type="dxa"/>
            <w:tcBorders/>
          </w:tcPr>
          <w:p>
            <w:pPr>
              <w:pStyle w:val="NoSpacing"/>
              <w:ind w:left="567"/>
              <w:rPr>
                <w:rFonts w:ascii="Times New Roman" w:hAnsi="Times New Roman"/>
                <w:sz w:val="18"/>
                <w:szCs w:val="18"/>
              </w:rPr>
            </w:pPr>
            <w:r>
              <w:rPr>
                <w:rFonts w:ascii="Times New Roman" w:hAnsi="Times New Roman"/>
                <w:sz w:val="18"/>
                <w:szCs w:val="18"/>
              </w:rPr>
              <w:t>__________________ / Е.А. Аношкин /</w:t>
            </w:r>
          </w:p>
        </w:tc>
        <w:tc>
          <w:tcPr>
            <w:tcW w:w="4918" w:type="dxa"/>
            <w:tcBorders/>
          </w:tcPr>
          <w:p>
            <w:pPr>
              <w:pStyle w:val="NoSpacing"/>
              <w:ind w:left="567"/>
              <w:rPr>
                <w:rFonts w:ascii="Times New Roman" w:hAnsi="Times New Roman"/>
                <w:sz w:val="18"/>
                <w:szCs w:val="18"/>
              </w:rPr>
            </w:pPr>
            <w:r>
              <w:rPr>
                <w:rFonts w:ascii="Times New Roman" w:hAnsi="Times New Roman"/>
                <w:sz w:val="18"/>
                <w:szCs w:val="18"/>
              </w:rPr>
              <w:t>__________________ / _____________ /</w:t>
            </w:r>
          </w:p>
        </w:tc>
      </w:tr>
    </w:tbl>
    <w:p>
      <w:pPr>
        <w:pStyle w:val="Normal"/>
        <w:ind w:left="567"/>
        <w:jc w:val="center"/>
        <w:textAlignment w:val="baseline"/>
        <w:rPr>
          <w:b/>
          <w:bCs/>
          <w:sz w:val="18"/>
          <w:szCs w:val="18"/>
        </w:rPr>
      </w:pPr>
      <w:r>
        <w:rPr>
          <w:b/>
          <w:bCs/>
          <w:sz w:val="18"/>
          <w:szCs w:val="18"/>
        </w:rPr>
      </w:r>
    </w:p>
    <w:p>
      <w:pPr>
        <w:pStyle w:val="Normal"/>
        <w:ind w:left="567"/>
        <w:jc w:val="center"/>
        <w:textAlignment w:val="baseline"/>
        <w:rPr>
          <w:b/>
          <w:bCs/>
          <w:sz w:val="18"/>
          <w:szCs w:val="18"/>
        </w:rPr>
      </w:pPr>
      <w:r>
        <w:rPr>
          <w:b/>
          <w:bCs/>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ind w:left="567"/>
        <w:jc w:val="center"/>
        <w:textAlignment w:val="baseline"/>
        <w:rPr>
          <w:sz w:val="18"/>
          <w:szCs w:val="18"/>
        </w:rPr>
      </w:pPr>
      <w:r>
        <w:rPr>
          <w:sz w:val="18"/>
          <w:szCs w:val="18"/>
        </w:rPr>
      </w:r>
    </w:p>
    <w:p>
      <w:pPr>
        <w:pStyle w:val="Normal"/>
        <w:textAlignment w:val="baseline"/>
        <w:rPr>
          <w:sz w:val="18"/>
          <w:szCs w:val="18"/>
        </w:rPr>
      </w:pPr>
      <w:r>
        <w:rPr>
          <w:sz w:val="18"/>
          <w:szCs w:val="18"/>
        </w:rPr>
      </w:r>
    </w:p>
    <w:p>
      <w:pPr>
        <w:pStyle w:val="Normal"/>
        <w:textAlignment w:val="baseline"/>
        <w:rPr>
          <w:sz w:val="18"/>
          <w:szCs w:val="18"/>
        </w:rPr>
      </w:pPr>
      <w:r>
        <w:rPr>
          <w:sz w:val="18"/>
          <w:szCs w:val="18"/>
        </w:rPr>
      </w:r>
    </w:p>
    <w:p>
      <w:pPr>
        <w:pStyle w:val="Normal"/>
        <w:ind w:left="567"/>
        <w:jc w:val="both"/>
        <w:textAlignment w:val="baseline"/>
        <w:rPr>
          <w:sz w:val="18"/>
          <w:szCs w:val="18"/>
        </w:rPr>
      </w:pPr>
      <w:r>
        <w:rPr>
          <w:sz w:val="18"/>
          <w:szCs w:val="18"/>
        </w:rPr>
      </w:r>
    </w:p>
    <w:p>
      <w:pPr>
        <w:pStyle w:val="Normal"/>
        <w:ind w:left="567"/>
        <w:jc w:val="right"/>
        <w:textAlignment w:val="baseline"/>
        <w:rPr>
          <w:sz w:val="18"/>
          <w:szCs w:val="18"/>
        </w:rPr>
      </w:pPr>
      <w:r>
        <w:rPr>
          <w:sz w:val="18"/>
          <w:szCs w:val="18"/>
        </w:rPr>
        <w:t>Приложение № 1 к государственному контракту </w:t>
      </w:r>
    </w:p>
    <w:p>
      <w:pPr>
        <w:pStyle w:val="Normal"/>
        <w:ind w:left="567"/>
        <w:jc w:val="center"/>
        <w:textAlignment w:val="baseline"/>
        <w:rPr>
          <w:sz w:val="18"/>
          <w:szCs w:val="18"/>
        </w:rPr>
      </w:pPr>
      <w:r>
        <w:rPr>
          <w:sz w:val="18"/>
          <w:szCs w:val="18"/>
        </w:rPr>
        <w:t xml:space="preserve">                                                                                                              №</w:t>
      </w:r>
      <w:r>
        <w:rPr>
          <w:sz w:val="18"/>
          <w:szCs w:val="18"/>
        </w:rPr>
        <w:t>_______________________от «___» ____________2026 г. </w:t>
      </w:r>
    </w:p>
    <w:p>
      <w:pPr>
        <w:pStyle w:val="Normal"/>
        <w:ind w:left="567"/>
        <w:textAlignment w:val="baseline"/>
        <w:rPr>
          <w:sz w:val="18"/>
          <w:szCs w:val="18"/>
        </w:rPr>
      </w:pPr>
      <w:r>
        <w:rPr>
          <w:sz w:val="18"/>
          <w:szCs w:val="18"/>
        </w:rPr>
        <w:t> </w:t>
      </w:r>
    </w:p>
    <w:p>
      <w:pPr>
        <w:pStyle w:val="Normal"/>
        <w:ind w:left="567"/>
        <w:textAlignment w:val="baseline"/>
        <w:rPr>
          <w:sz w:val="18"/>
          <w:szCs w:val="18"/>
        </w:rPr>
      </w:pPr>
      <w:r>
        <w:rPr>
          <w:sz w:val="18"/>
          <w:szCs w:val="18"/>
        </w:rPr>
      </w:r>
    </w:p>
    <w:p>
      <w:pPr>
        <w:pStyle w:val="Normal"/>
        <w:ind w:left="-150"/>
        <w:textAlignment w:val="baseline"/>
        <w:rPr>
          <w:sz w:val="21"/>
          <w:szCs w:val="21"/>
        </w:rPr>
      </w:pPr>
      <w:r>
        <w:rPr>
          <w:sz w:val="21"/>
          <w:szCs w:val="21"/>
        </w:rPr>
      </w:r>
    </w:p>
    <w:p>
      <w:pPr>
        <w:pStyle w:val="Normal"/>
        <w:jc w:val="center"/>
        <w:textAlignment w:val="baseline"/>
        <w:rPr>
          <w:sz w:val="21"/>
          <w:szCs w:val="21"/>
        </w:rPr>
      </w:pPr>
      <w:r>
        <w:rPr>
          <w:b/>
          <w:bCs/>
          <w:sz w:val="21"/>
          <w:szCs w:val="21"/>
        </w:rPr>
        <w:t xml:space="preserve">Спецификация </w:t>
      </w:r>
    </w:p>
    <w:p>
      <w:pPr>
        <w:pStyle w:val="Normal"/>
        <w:jc w:val="center"/>
        <w:textAlignment w:val="baseline"/>
        <w:rPr>
          <w:sz w:val="21"/>
          <w:szCs w:val="21"/>
        </w:rPr>
      </w:pPr>
      <w:r>
        <w:rPr>
          <w:sz w:val="21"/>
          <w:szCs w:val="21"/>
        </w:rPr>
        <w:t> </w:t>
      </w:r>
    </w:p>
    <w:tbl>
      <w:tblPr>
        <w:tblW w:w="10347" w:type="dxa"/>
        <w:jc w:val="left"/>
        <w:tblInd w:w="449" w:type="dxa"/>
        <w:tblLayout w:type="fixed"/>
        <w:tblCellMar>
          <w:top w:w="0" w:type="dxa"/>
          <w:left w:w="7" w:type="dxa"/>
          <w:bottom w:w="0" w:type="dxa"/>
          <w:right w:w="7" w:type="dxa"/>
        </w:tblCellMar>
        <w:tblLook w:val="04a0"/>
      </w:tblPr>
      <w:tblGrid>
        <w:gridCol w:w="567"/>
        <w:gridCol w:w="5386"/>
        <w:gridCol w:w="992"/>
        <w:gridCol w:w="852"/>
        <w:gridCol w:w="1275"/>
        <w:gridCol w:w="1274"/>
      </w:tblGrid>
      <w:tr>
        <w:trPr>
          <w:trHeight w:val="715" w:hRule="atLeast"/>
        </w:trPr>
        <w:tc>
          <w:tcPr>
            <w:tcW w:w="567"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ind w:firstLine="418" w:left="-418"/>
              <w:jc w:val="center"/>
              <w:textAlignment w:val="baseline"/>
              <w:rPr>
                <w:sz w:val="18"/>
                <w:szCs w:val="18"/>
              </w:rPr>
            </w:pPr>
            <w:r>
              <w:rPr>
                <w:b/>
                <w:bCs/>
                <w:sz w:val="18"/>
                <w:szCs w:val="18"/>
              </w:rPr>
              <w:t>№</w:t>
            </w:r>
          </w:p>
          <w:p>
            <w:pPr>
              <w:pStyle w:val="Normal"/>
              <w:ind w:firstLine="418" w:left="-418"/>
              <w:jc w:val="center"/>
              <w:textAlignment w:val="baseline"/>
              <w:rPr>
                <w:sz w:val="18"/>
                <w:szCs w:val="18"/>
              </w:rPr>
            </w:pPr>
            <w:r>
              <w:rPr>
                <w:b/>
                <w:bCs/>
                <w:sz w:val="18"/>
                <w:szCs w:val="18"/>
              </w:rPr>
              <w:t>п/п</w:t>
            </w:r>
          </w:p>
        </w:tc>
        <w:tc>
          <w:tcPr>
            <w:tcW w:w="5386"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jc w:val="center"/>
              <w:textAlignment w:val="baseline"/>
              <w:rPr>
                <w:sz w:val="18"/>
                <w:szCs w:val="18"/>
              </w:rPr>
            </w:pPr>
            <w:r>
              <w:rPr>
                <w:b/>
                <w:bCs/>
                <w:sz w:val="18"/>
                <w:szCs w:val="18"/>
              </w:rPr>
              <w:t>Наименование услуги</w:t>
            </w:r>
          </w:p>
          <w:p>
            <w:pPr>
              <w:pStyle w:val="Normal"/>
              <w:jc w:val="center"/>
              <w:textAlignment w:val="baseline"/>
              <w:rPr>
                <w:sz w:val="18"/>
                <w:szCs w:val="18"/>
              </w:rPr>
            </w:pPr>
            <w:r>
              <w:rPr>
                <w:b/>
                <w:bCs/>
                <w:sz w:val="18"/>
                <w:szCs w:val="18"/>
              </w:rPr>
              <w:t>Техническая характеристика</w:t>
            </w:r>
          </w:p>
        </w:tc>
        <w:tc>
          <w:tcPr>
            <w:tcW w:w="992"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jc w:val="center"/>
              <w:textAlignment w:val="baseline"/>
              <w:rPr>
                <w:sz w:val="18"/>
                <w:szCs w:val="18"/>
              </w:rPr>
            </w:pPr>
            <w:r>
              <w:rPr>
                <w:b/>
                <w:bCs/>
                <w:sz w:val="18"/>
                <w:szCs w:val="18"/>
              </w:rPr>
              <w:t>Ед. изм.</w:t>
            </w:r>
          </w:p>
        </w:tc>
        <w:tc>
          <w:tcPr>
            <w:tcW w:w="852"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jc w:val="center"/>
              <w:textAlignment w:val="baseline"/>
              <w:rPr>
                <w:sz w:val="18"/>
                <w:szCs w:val="18"/>
              </w:rPr>
            </w:pPr>
            <w:r>
              <w:rPr>
                <w:b/>
                <w:bCs/>
                <w:sz w:val="18"/>
                <w:szCs w:val="18"/>
              </w:rPr>
              <w:t>Кол-во тонн</w:t>
            </w:r>
          </w:p>
        </w:tc>
        <w:tc>
          <w:tcPr>
            <w:tcW w:w="127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jc w:val="center"/>
              <w:textAlignment w:val="baseline"/>
              <w:rPr>
                <w:sz w:val="18"/>
                <w:szCs w:val="18"/>
              </w:rPr>
            </w:pPr>
            <w:r>
              <w:rPr>
                <w:b/>
                <w:bCs/>
                <w:sz w:val="18"/>
                <w:szCs w:val="18"/>
              </w:rPr>
              <w:t>Цена за единицу (руб.)</w:t>
            </w:r>
          </w:p>
        </w:tc>
        <w:tc>
          <w:tcPr>
            <w:tcW w:w="127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jc w:val="center"/>
              <w:textAlignment w:val="baseline"/>
              <w:rPr>
                <w:sz w:val="18"/>
                <w:szCs w:val="18"/>
              </w:rPr>
            </w:pPr>
            <w:r>
              <w:rPr>
                <w:b/>
                <w:bCs/>
                <w:sz w:val="18"/>
                <w:szCs w:val="18"/>
              </w:rPr>
              <w:t>Итого (руб.)</w:t>
            </w:r>
          </w:p>
        </w:tc>
      </w:tr>
      <w:tr>
        <w:trPr>
          <w:trHeight w:val="370" w:hRule="atLeast"/>
        </w:trPr>
        <w:tc>
          <w:tcPr>
            <w:tcW w:w="56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textAlignment w:val="baseline"/>
              <w:rPr>
                <w:sz w:val="18"/>
                <w:szCs w:val="18"/>
              </w:rPr>
            </w:pPr>
            <w:r>
              <w:rPr>
                <w:sz w:val="18"/>
                <w:szCs w:val="18"/>
              </w:rPr>
              <w:t>1.</w:t>
            </w:r>
          </w:p>
        </w:tc>
        <w:tc>
          <w:tcPr>
            <w:tcW w:w="5386"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ind w:left="115"/>
              <w:rPr>
                <w:sz w:val="18"/>
                <w:szCs w:val="18"/>
              </w:rPr>
            </w:pPr>
            <w:r>
              <w:rPr>
                <w:rFonts w:ascii="XO Thames" w:hAnsi="XO Thames"/>
                <w:color w:val="000000"/>
                <w:sz w:val="18"/>
                <w:szCs w:val="18"/>
              </w:rPr>
              <w:t>Оказание услуг по транспортно-</w:t>
            </w:r>
            <w:r>
              <w:rPr>
                <w:rFonts w:ascii="XO Thames" w:hAnsi="XO Thames"/>
                <w:sz w:val="18"/>
                <w:szCs w:val="18"/>
              </w:rPr>
              <w:t xml:space="preserve">экспедиторскому обслуживанию перевозки железнодорожным транспортом </w:t>
            </w:r>
            <w:r>
              <w:rPr>
                <w:sz w:val="18"/>
                <w:szCs w:val="18"/>
              </w:rPr>
              <w:t>топлива дизельного зимнего</w:t>
            </w:r>
            <w:r>
              <w:rPr>
                <w:rFonts w:ascii="XO Thames" w:hAnsi="XO Thames"/>
                <w:sz w:val="18"/>
                <w:szCs w:val="18"/>
              </w:rPr>
              <w:t xml:space="preserve"> в количестве </w:t>
            </w:r>
            <w:r>
              <w:rPr>
                <w:rFonts w:ascii="XO Thames" w:hAnsi="XO Thames"/>
                <w:color w:val="000000"/>
                <w:sz w:val="18"/>
                <w:szCs w:val="18"/>
              </w:rPr>
              <w:t>120 т (с ФГКУ «Складской терминал № 12» ст. Грязовец (код 303209), до станции Стенькино-2 (код 223108))</w:t>
            </w:r>
          </w:p>
        </w:tc>
        <w:tc>
          <w:tcPr>
            <w:tcW w:w="992"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textAlignment w:val="baseline"/>
              <w:rPr>
                <w:sz w:val="18"/>
                <w:szCs w:val="18"/>
              </w:rPr>
            </w:pPr>
            <w:r>
              <w:rPr>
                <w:sz w:val="18"/>
                <w:szCs w:val="18"/>
              </w:rPr>
              <w:t>Усл. ед.</w:t>
            </w:r>
          </w:p>
        </w:tc>
        <w:tc>
          <w:tcPr>
            <w:tcW w:w="852"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t>1</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r>
          </w:p>
        </w:tc>
        <w:tc>
          <w:tcPr>
            <w:tcW w:w="1274"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r>
          </w:p>
        </w:tc>
      </w:tr>
      <w:tr>
        <w:trPr>
          <w:trHeight w:val="370" w:hRule="atLeast"/>
        </w:trPr>
        <w:tc>
          <w:tcPr>
            <w:tcW w:w="5953"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18"/>
                <w:szCs w:val="18"/>
              </w:rPr>
            </w:pPr>
            <w:r>
              <w:rPr>
                <w:sz w:val="18"/>
                <w:szCs w:val="18"/>
              </w:rPr>
              <w:t>ИТОГО:</w:t>
            </w:r>
          </w:p>
          <w:p>
            <w:pPr>
              <w:pStyle w:val="Normal"/>
              <w:widowControl w:val="false"/>
              <w:rPr>
                <w:sz w:val="18"/>
                <w:szCs w:val="18"/>
              </w:rPr>
            </w:pPr>
            <w:r>
              <w:rPr>
                <w:sz w:val="18"/>
                <w:szCs w:val="18"/>
              </w:rPr>
              <w:t xml:space="preserve">В том числек НДС ___% </w:t>
            </w:r>
          </w:p>
          <w:p>
            <w:pPr>
              <w:pStyle w:val="Normal"/>
              <w:widowControl w:val="false"/>
              <w:rPr>
                <w:sz w:val="18"/>
                <w:szCs w:val="18"/>
              </w:rPr>
            </w:pPr>
            <w:r>
              <w:rPr>
                <w:sz w:val="18"/>
                <w:szCs w:val="18"/>
              </w:rPr>
              <w:t>(при необходимости)</w:t>
            </w:r>
          </w:p>
        </w:tc>
        <w:tc>
          <w:tcPr>
            <w:tcW w:w="992"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textAlignment w:val="baseline"/>
              <w:rPr>
                <w:sz w:val="18"/>
                <w:szCs w:val="18"/>
              </w:rPr>
            </w:pPr>
            <w:r>
              <w:rPr>
                <w:sz w:val="18"/>
                <w:szCs w:val="18"/>
              </w:rPr>
            </w:r>
          </w:p>
        </w:tc>
        <w:tc>
          <w:tcPr>
            <w:tcW w:w="852"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r>
          </w:p>
        </w:tc>
        <w:tc>
          <w:tcPr>
            <w:tcW w:w="1274"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sz w:val="18"/>
                <w:szCs w:val="18"/>
              </w:rPr>
            </w:pPr>
            <w:r>
              <w:rPr>
                <w:sz w:val="18"/>
                <w:szCs w:val="18"/>
              </w:rPr>
            </w:r>
          </w:p>
        </w:tc>
      </w:tr>
    </w:tbl>
    <w:p>
      <w:pPr>
        <w:pStyle w:val="Normal"/>
        <w:ind w:left="567"/>
        <w:rPr>
          <w:sz w:val="18"/>
          <w:szCs w:val="18"/>
        </w:rPr>
      </w:pPr>
      <w:r>
        <w:rPr>
          <w:sz w:val="18"/>
          <w:szCs w:val="18"/>
        </w:rPr>
      </w:r>
    </w:p>
    <w:tbl>
      <w:tblPr>
        <w:tblW w:w="10348" w:type="dxa"/>
        <w:jc w:val="left"/>
        <w:tblInd w:w="783" w:type="dxa"/>
        <w:tblLayout w:type="fixed"/>
        <w:tblCellMar>
          <w:top w:w="0" w:type="dxa"/>
          <w:left w:w="108" w:type="dxa"/>
          <w:bottom w:w="0" w:type="dxa"/>
          <w:right w:w="108" w:type="dxa"/>
        </w:tblCellMar>
        <w:tblLook w:val="04a0"/>
      </w:tblPr>
      <w:tblGrid>
        <w:gridCol w:w="5245"/>
        <w:gridCol w:w="5102"/>
      </w:tblGrid>
      <w:tr>
        <w:trPr/>
        <w:tc>
          <w:tcPr>
            <w:tcW w:w="5245" w:type="dxa"/>
            <w:tcBorders/>
            <w:vAlign w:val="center"/>
          </w:tcPr>
          <w:p>
            <w:pPr>
              <w:pStyle w:val="Normal"/>
              <w:ind w:left="567"/>
              <w:jc w:val="center"/>
              <w:rPr>
                <w:b/>
                <w:sz w:val="18"/>
                <w:szCs w:val="18"/>
              </w:rPr>
            </w:pPr>
            <w:r>
              <w:rPr>
                <w:b/>
                <w:sz w:val="18"/>
                <w:szCs w:val="18"/>
              </w:rPr>
              <w:t>«Государственный заказчик»:</w:t>
            </w:r>
          </w:p>
        </w:tc>
        <w:tc>
          <w:tcPr>
            <w:tcW w:w="5102" w:type="dxa"/>
            <w:tcBorders/>
            <w:vAlign w:val="center"/>
          </w:tcPr>
          <w:p>
            <w:pPr>
              <w:pStyle w:val="Normal"/>
              <w:widowControl w:val="false"/>
              <w:ind w:left="567"/>
              <w:jc w:val="center"/>
              <w:rPr>
                <w:b/>
                <w:sz w:val="18"/>
                <w:szCs w:val="18"/>
              </w:rPr>
            </w:pPr>
            <w:r>
              <w:rPr>
                <w:b/>
                <w:sz w:val="18"/>
                <w:szCs w:val="18"/>
              </w:rPr>
              <w:t>«Исполнитель»:</w:t>
            </w:r>
          </w:p>
        </w:tc>
      </w:tr>
      <w:tr>
        <w:trPr/>
        <w:tc>
          <w:tcPr>
            <w:tcW w:w="5245" w:type="dxa"/>
            <w:tcBorders/>
          </w:tcPr>
          <w:p>
            <w:pPr>
              <w:pStyle w:val="Normal"/>
              <w:ind w:hanging="108"/>
              <w:rPr>
                <w:b/>
                <w:sz w:val="18"/>
                <w:szCs w:val="18"/>
              </w:rPr>
            </w:pPr>
            <w:r>
              <w:rPr>
                <w:b/>
                <w:sz w:val="18"/>
                <w:szCs w:val="18"/>
              </w:rPr>
              <w:t>ФКУ БМТиВС УФСИН России по Республике Мордовия</w:t>
            </w:r>
          </w:p>
          <w:p>
            <w:pPr>
              <w:pStyle w:val="Normal"/>
              <w:ind w:left="567"/>
              <w:jc w:val="center"/>
              <w:rPr>
                <w:b/>
                <w:sz w:val="18"/>
                <w:szCs w:val="18"/>
              </w:rPr>
            </w:pPr>
            <w:r>
              <w:rPr>
                <w:b/>
                <w:sz w:val="18"/>
                <w:szCs w:val="18"/>
              </w:rPr>
            </w:r>
          </w:p>
          <w:p>
            <w:pPr>
              <w:pStyle w:val="Normal"/>
              <w:ind w:left="34"/>
              <w:rPr>
                <w:sz w:val="18"/>
                <w:szCs w:val="18"/>
              </w:rPr>
            </w:pPr>
            <w:r>
              <w:rPr>
                <w:sz w:val="18"/>
                <w:szCs w:val="18"/>
              </w:rPr>
              <w:t>Начальник</w:t>
            </w:r>
          </w:p>
          <w:p>
            <w:pPr>
              <w:pStyle w:val="Normal"/>
              <w:ind w:left="567"/>
              <w:jc w:val="center"/>
              <w:rPr>
                <w:b/>
                <w:sz w:val="18"/>
                <w:szCs w:val="18"/>
              </w:rPr>
            </w:pPr>
            <w:r>
              <w:rPr>
                <w:b/>
                <w:sz w:val="18"/>
                <w:szCs w:val="18"/>
              </w:rPr>
            </w:r>
          </w:p>
        </w:tc>
        <w:tc>
          <w:tcPr>
            <w:tcW w:w="5102" w:type="dxa"/>
            <w:tcBorders/>
          </w:tcPr>
          <w:p>
            <w:pPr>
              <w:pStyle w:val="Normal"/>
              <w:ind w:left="34"/>
              <w:rPr>
                <w:sz w:val="18"/>
                <w:szCs w:val="18"/>
              </w:rPr>
            </w:pPr>
            <w:r>
              <w:rPr>
                <w:sz w:val="18"/>
                <w:szCs w:val="18"/>
              </w:rPr>
            </w:r>
          </w:p>
          <w:p>
            <w:pPr>
              <w:pStyle w:val="Normal"/>
              <w:ind w:left="567"/>
              <w:rPr>
                <w:sz w:val="18"/>
                <w:szCs w:val="18"/>
              </w:rPr>
            </w:pPr>
            <w:r>
              <w:rPr>
                <w:sz w:val="18"/>
                <w:szCs w:val="18"/>
              </w:rPr>
            </w:r>
          </w:p>
          <w:p>
            <w:pPr>
              <w:pStyle w:val="Normal"/>
              <w:ind w:hanging="533" w:left="34"/>
              <w:rPr>
                <w:sz w:val="18"/>
                <w:szCs w:val="18"/>
              </w:rPr>
            </w:pPr>
            <w:r>
              <w:rPr>
                <w:sz w:val="18"/>
                <w:szCs w:val="18"/>
              </w:rPr>
            </w:r>
          </w:p>
        </w:tc>
      </w:tr>
      <w:tr>
        <w:trPr/>
        <w:tc>
          <w:tcPr>
            <w:tcW w:w="5245" w:type="dxa"/>
            <w:tcBorders/>
          </w:tcPr>
          <w:p>
            <w:pPr>
              <w:pStyle w:val="Normal"/>
              <w:rPr>
                <w:sz w:val="18"/>
                <w:szCs w:val="18"/>
              </w:rPr>
            </w:pPr>
            <w:r>
              <w:rPr>
                <w:sz w:val="18"/>
                <w:szCs w:val="18"/>
              </w:rPr>
              <w:t>__________________ /Е.А.  Аношкин/</w:t>
            </w:r>
          </w:p>
          <w:p>
            <w:pPr>
              <w:pStyle w:val="Normal"/>
              <w:ind w:left="567"/>
              <w:rPr>
                <w:sz w:val="18"/>
                <w:szCs w:val="18"/>
              </w:rPr>
            </w:pPr>
            <w:r>
              <w:rPr>
                <w:sz w:val="18"/>
                <w:szCs w:val="18"/>
              </w:rPr>
            </w:r>
          </w:p>
        </w:tc>
        <w:tc>
          <w:tcPr>
            <w:tcW w:w="5102" w:type="dxa"/>
            <w:tcBorders/>
          </w:tcPr>
          <w:p>
            <w:pPr>
              <w:pStyle w:val="Normal"/>
              <w:rPr>
                <w:bCs/>
                <w:sz w:val="18"/>
                <w:szCs w:val="18"/>
              </w:rPr>
            </w:pPr>
            <w:r>
              <w:rPr>
                <w:bCs/>
                <w:sz w:val="18"/>
                <w:szCs w:val="18"/>
              </w:rPr>
              <w:t>_________________ /</w:t>
            </w:r>
            <w:r>
              <w:rPr>
                <w:sz w:val="18"/>
                <w:szCs w:val="18"/>
              </w:rPr>
              <w:t>____________</w:t>
            </w:r>
            <w:r>
              <w:rPr>
                <w:bCs/>
                <w:sz w:val="18"/>
                <w:szCs w:val="18"/>
              </w:rPr>
              <w:t>/</w:t>
            </w:r>
          </w:p>
          <w:p>
            <w:pPr>
              <w:pStyle w:val="Normal"/>
              <w:widowControl w:val="false"/>
              <w:ind w:left="567"/>
              <w:rPr>
                <w:sz w:val="18"/>
                <w:szCs w:val="18"/>
              </w:rPr>
            </w:pPr>
            <w:r>
              <w:rPr>
                <w:sz w:val="18"/>
                <w:szCs w:val="18"/>
              </w:rPr>
            </w:r>
          </w:p>
        </w:tc>
      </w:tr>
    </w:tbl>
    <w:p>
      <w:pPr>
        <w:pStyle w:val="Normal"/>
        <w:ind w:left="567"/>
        <w:rPr>
          <w:sz w:val="18"/>
          <w:szCs w:val="18"/>
        </w:rPr>
      </w:pPr>
      <w:r>
        <w:rPr>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rmal"/>
        <w:ind w:left="567"/>
        <w:jc w:val="right"/>
        <w:textAlignment w:val="baseline"/>
        <w:rPr>
          <w:sz w:val="18"/>
          <w:szCs w:val="18"/>
        </w:rPr>
      </w:pPr>
      <w:r>
        <w:rPr>
          <w:sz w:val="18"/>
          <w:szCs w:val="18"/>
        </w:rPr>
        <w:t>Приложение №2 к государственному контракту </w:t>
      </w:r>
    </w:p>
    <w:p>
      <w:pPr>
        <w:pStyle w:val="Normal"/>
        <w:ind w:left="567"/>
        <w:jc w:val="center"/>
        <w:textAlignment w:val="baseline"/>
        <w:rPr>
          <w:sz w:val="18"/>
          <w:szCs w:val="18"/>
        </w:rPr>
      </w:pPr>
      <w:r>
        <w:rPr>
          <w:sz w:val="18"/>
          <w:szCs w:val="18"/>
        </w:rPr>
        <w:t xml:space="preserve">                                                                                                              №</w:t>
      </w:r>
      <w:r>
        <w:rPr>
          <w:sz w:val="18"/>
          <w:szCs w:val="18"/>
        </w:rPr>
        <w:t>_______________________от «___» ____________2026 г. </w:t>
      </w:r>
    </w:p>
    <w:p>
      <w:pPr>
        <w:pStyle w:val="Normal"/>
        <w:ind w:left="567"/>
        <w:jc w:val="center"/>
        <w:textAlignment w:val="baseline"/>
        <w:rPr>
          <w:sz w:val="18"/>
          <w:szCs w:val="18"/>
        </w:rPr>
      </w:pPr>
      <w:r>
        <w:rPr>
          <w:sz w:val="18"/>
          <w:szCs w:val="18"/>
        </w:rPr>
      </w:r>
    </w:p>
    <w:p>
      <w:pPr>
        <w:pStyle w:val="Normal"/>
        <w:jc w:val="center"/>
        <w:rPr>
          <w:rFonts w:ascii="XO Thames" w:hAnsi="XO Thames"/>
          <w:b/>
          <w:sz w:val="20"/>
          <w:szCs w:val="20"/>
        </w:rPr>
      </w:pPr>
      <w:r>
        <w:rPr>
          <w:sz w:val="20"/>
          <w:szCs w:val="20"/>
        </w:rPr>
        <w:t> </w:t>
      </w:r>
      <w:r>
        <w:rPr>
          <w:rFonts w:ascii="XO Thames" w:hAnsi="XO Thames"/>
          <w:b/>
          <w:sz w:val="20"/>
          <w:szCs w:val="20"/>
        </w:rPr>
        <w:t>Техническое задание</w:t>
      </w:r>
    </w:p>
    <w:p>
      <w:pPr>
        <w:pStyle w:val="Normal"/>
        <w:ind w:left="709"/>
        <w:jc w:val="center"/>
        <w:rPr>
          <w:rFonts w:ascii="XO Thames" w:hAnsi="XO Thames"/>
          <w:b/>
          <w:sz w:val="20"/>
          <w:szCs w:val="20"/>
        </w:rPr>
      </w:pPr>
      <w:r>
        <w:rPr>
          <w:rFonts w:ascii="XO Thames" w:hAnsi="XO Thames"/>
          <w:b/>
          <w:sz w:val="20"/>
          <w:szCs w:val="20"/>
        </w:rPr>
        <w:t>на оказание услуг по транспортно-экспедиторскому обслуживанию перевозки железнодорожным транспортом топлива дизельного</w:t>
      </w:r>
    </w:p>
    <w:p>
      <w:pPr>
        <w:pStyle w:val="Normal"/>
        <w:widowControl w:val="false"/>
        <w:numPr>
          <w:ilvl w:val="0"/>
          <w:numId w:val="4"/>
        </w:numPr>
        <w:suppressAutoHyphens w:val="false"/>
        <w:spacing w:lineRule="auto" w:line="276" w:before="0" w:after="200"/>
        <w:contextualSpacing/>
        <w:jc w:val="both"/>
        <w:rPr>
          <w:rFonts w:ascii="XO Thames" w:hAnsi="XO Thames"/>
          <w:sz w:val="20"/>
          <w:szCs w:val="20"/>
        </w:rPr>
      </w:pPr>
      <w:r>
        <w:rPr>
          <w:rFonts w:eastAsia="Calibri" w:ascii="XO Thames" w:hAnsi="XO Thames"/>
          <w:b/>
          <w:sz w:val="20"/>
          <w:szCs w:val="20"/>
        </w:rPr>
        <w:t>Объект закупки:</w:t>
      </w:r>
    </w:p>
    <w:tbl>
      <w:tblPr>
        <w:tblW w:w="10911" w:type="dxa"/>
        <w:jc w:val="center"/>
        <w:tblInd w:w="0" w:type="dxa"/>
        <w:tblLayout w:type="fixed"/>
        <w:tblCellMar>
          <w:top w:w="0" w:type="dxa"/>
          <w:left w:w="108" w:type="dxa"/>
          <w:bottom w:w="0" w:type="dxa"/>
          <w:right w:w="108" w:type="dxa"/>
        </w:tblCellMar>
        <w:tblLook w:val="00a0"/>
      </w:tblPr>
      <w:tblGrid>
        <w:gridCol w:w="636"/>
        <w:gridCol w:w="4496"/>
        <w:gridCol w:w="2733"/>
        <w:gridCol w:w="919"/>
        <w:gridCol w:w="708"/>
        <w:gridCol w:w="1418"/>
      </w:tblGrid>
      <w:tr>
        <w:trPr>
          <w:trHeight w:val="729"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 xml:space="preserve">№ </w:t>
            </w:r>
            <w:r>
              <w:rPr>
                <w:rFonts w:eastAsia="Calibri" w:ascii="XO Thames" w:hAnsi="XO Thames"/>
                <w:b/>
                <w:bCs/>
                <w:sz w:val="20"/>
                <w:szCs w:val="20"/>
              </w:rPr>
              <w:t>п/п</w:t>
            </w:r>
          </w:p>
        </w:tc>
        <w:tc>
          <w:tcPr>
            <w:tcW w:w="449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Наименование услуги</w:t>
            </w:r>
          </w:p>
        </w:tc>
        <w:tc>
          <w:tcPr>
            <w:tcW w:w="273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Срок оказания</w:t>
            </w:r>
            <w:r>
              <w:rPr>
                <w:rFonts w:eastAsia="Calibri" w:ascii="XO Thames" w:hAnsi="XO Thames"/>
                <w:b/>
                <w:color w:val="000000"/>
                <w:sz w:val="20"/>
                <w:szCs w:val="20"/>
              </w:rPr>
              <w:t xml:space="preserve"> услуги</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Ед. изм.</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b/>
                <w:bCs/>
                <w:sz w:val="20"/>
                <w:szCs w:val="20"/>
              </w:rPr>
            </w:pPr>
            <w:r>
              <w:rPr>
                <w:rFonts w:eastAsia="Calibri" w:ascii="XO Thames" w:hAnsi="XO Thames"/>
                <w:b/>
                <w:bCs/>
                <w:sz w:val="20"/>
                <w:szCs w:val="20"/>
              </w:rPr>
              <w:t>Код ОКПД2</w:t>
            </w:r>
          </w:p>
        </w:tc>
      </w:tr>
      <w:tr>
        <w:trPr>
          <w:trHeight w:val="853"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ind w:left="34"/>
              <w:jc w:val="center"/>
              <w:rPr>
                <w:rFonts w:ascii="XO Thames" w:hAnsi="XO Thames" w:eastAsia="Calibri"/>
                <w:sz w:val="20"/>
                <w:szCs w:val="20"/>
              </w:rPr>
            </w:pPr>
            <w:r>
              <w:rPr>
                <w:rFonts w:eastAsia="Calibri" w:ascii="XO Thames" w:hAnsi="XO Thames"/>
                <w:sz w:val="20"/>
                <w:szCs w:val="20"/>
              </w:rPr>
              <w:t>1</w:t>
            </w:r>
          </w:p>
        </w:tc>
        <w:tc>
          <w:tcPr>
            <w:tcW w:w="44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XO Thames" w:hAnsi="XO Thames"/>
                <w:color w:val="000000"/>
                <w:sz w:val="20"/>
                <w:szCs w:val="20"/>
              </w:rPr>
            </w:pPr>
            <w:r>
              <w:rPr>
                <w:rFonts w:ascii="XO Thames" w:hAnsi="XO Thames"/>
                <w:color w:val="000000"/>
                <w:sz w:val="20"/>
                <w:szCs w:val="20"/>
              </w:rPr>
              <w:t xml:space="preserve">Оказание услуг по транспортно-экспедиторскому обслуживанию перевозки железнодорожным транспортом </w:t>
            </w:r>
            <w:r>
              <w:rPr>
                <w:color w:val="2C2D2E"/>
                <w:sz w:val="20"/>
                <w:szCs w:val="20"/>
              </w:rPr>
              <w:t>топлива дизельного зимнего</w:t>
            </w:r>
            <w:r>
              <w:rPr>
                <w:rFonts w:ascii="XO Thames" w:hAnsi="XO Thames"/>
                <w:color w:val="000000"/>
                <w:sz w:val="20"/>
                <w:szCs w:val="20"/>
              </w:rPr>
              <w:t xml:space="preserve"> в количестве 120  т (с ФГКУ «Складской терминал № 12» ст. Грязовец (код 303209), до станции Стенькино-2 (код 223108))</w:t>
            </w:r>
          </w:p>
        </w:tc>
        <w:tc>
          <w:tcPr>
            <w:tcW w:w="273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XO Thames" w:hAnsi="XO Thames" w:eastAsia="Calibri"/>
                <w:color w:val="000000"/>
                <w:sz w:val="20"/>
                <w:szCs w:val="20"/>
              </w:rPr>
            </w:pPr>
            <w:r>
              <w:rPr>
                <w:rFonts w:eastAsia="Calibri" w:ascii="XO Thames" w:hAnsi="XO Thames"/>
                <w:color w:val="000000"/>
                <w:sz w:val="20"/>
                <w:szCs w:val="20"/>
              </w:rPr>
              <w:t>С момента подписания контракта - до 25.10.2026 г.</w:t>
            </w:r>
          </w:p>
          <w:p>
            <w:pPr>
              <w:pStyle w:val="Normal"/>
              <w:jc w:val="center"/>
              <w:rPr>
                <w:rFonts w:ascii="XO Thames" w:hAnsi="XO Thames" w:eastAsia="Calibri"/>
                <w:color w:val="000000"/>
                <w:sz w:val="20"/>
                <w:szCs w:val="20"/>
              </w:rPr>
            </w:pPr>
            <w:r>
              <w:rPr>
                <w:rFonts w:eastAsia="Calibri" w:ascii="XO Thames" w:hAnsi="XO Thames"/>
                <w:color w:val="000000"/>
                <w:sz w:val="20"/>
                <w:szCs w:val="20"/>
              </w:rPr>
            </w:r>
          </w:p>
        </w:tc>
        <w:tc>
          <w:tcPr>
            <w:tcW w:w="91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XO Thames" w:hAnsi="XO Thames" w:eastAsia="Calibri"/>
                <w:color w:val="000000"/>
                <w:sz w:val="20"/>
                <w:szCs w:val="20"/>
              </w:rPr>
            </w:pPr>
            <w:r>
              <w:rPr>
                <w:sz w:val="21"/>
                <w:szCs w:val="21"/>
              </w:rPr>
              <w:t>Усл. ед.</w:t>
            </w:r>
          </w:p>
        </w:tc>
        <w:tc>
          <w:tcPr>
            <w:tcW w:w="70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XO Thames" w:hAnsi="XO Thames" w:eastAsia="Calibri"/>
                <w:color w:val="000000"/>
                <w:sz w:val="20"/>
                <w:szCs w:val="20"/>
              </w:rPr>
            </w:pPr>
            <w:r>
              <w:rPr>
                <w:rFonts w:eastAsia="Calibri" w:ascii="XO Thames" w:hAnsi="XO Thames"/>
                <w:color w:val="000000"/>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libri"/>
                <w:color w:val="000000"/>
                <w:sz w:val="20"/>
                <w:szCs w:val="20"/>
              </w:rPr>
            </w:pPr>
            <w:r>
              <w:rPr>
                <w:rFonts w:eastAsia="Calibri" w:ascii="XO Thames" w:hAnsi="XO Thames"/>
                <w:color w:val="000000"/>
                <w:sz w:val="20"/>
                <w:szCs w:val="20"/>
              </w:rPr>
              <w:t>49.20.12.000</w:t>
            </w:r>
          </w:p>
        </w:tc>
      </w:tr>
    </w:tbl>
    <w:p>
      <w:pPr>
        <w:pStyle w:val="Normal"/>
        <w:jc w:val="both"/>
        <w:rPr>
          <w:rFonts w:ascii="XO Thames" w:hAnsi="XO Thames"/>
          <w:sz w:val="20"/>
          <w:szCs w:val="20"/>
        </w:rPr>
      </w:pPr>
      <w:r>
        <w:rPr>
          <w:rFonts w:ascii="XO Thames" w:hAnsi="XO Thames"/>
          <w:sz w:val="20"/>
          <w:szCs w:val="20"/>
        </w:rPr>
      </w:r>
    </w:p>
    <w:p>
      <w:pPr>
        <w:pStyle w:val="Normal"/>
        <w:widowControl w:val="false"/>
        <w:numPr>
          <w:ilvl w:val="0"/>
          <w:numId w:val="4"/>
        </w:numPr>
        <w:suppressAutoHyphens w:val="false"/>
        <w:spacing w:before="0" w:after="0"/>
        <w:contextualSpacing/>
        <w:jc w:val="both"/>
        <w:rPr>
          <w:rFonts w:ascii="XO Thames" w:hAnsi="XO Thames"/>
          <w:b/>
          <w:sz w:val="20"/>
          <w:szCs w:val="20"/>
        </w:rPr>
      </w:pPr>
      <w:r>
        <w:rPr>
          <w:rFonts w:ascii="XO Thames" w:hAnsi="XO Thames"/>
          <w:b/>
          <w:sz w:val="20"/>
          <w:szCs w:val="20"/>
        </w:rPr>
        <w:t>Описание закупки</w:t>
      </w:r>
    </w:p>
    <w:p>
      <w:pPr>
        <w:pStyle w:val="Normal"/>
        <w:widowControl w:val="false"/>
        <w:spacing w:before="0" w:after="0"/>
        <w:ind w:left="567"/>
        <w:contextualSpacing/>
        <w:jc w:val="both"/>
        <w:rPr>
          <w:rFonts w:ascii="XO Thames" w:hAnsi="XO Thames" w:eastAsia="Calibri"/>
          <w:sz w:val="20"/>
          <w:szCs w:val="20"/>
        </w:rPr>
      </w:pPr>
      <w:r>
        <w:rPr>
          <w:rFonts w:eastAsia="Calibri" w:ascii="XO Thames" w:hAnsi="XO Thames"/>
          <w:sz w:val="20"/>
          <w:szCs w:val="20"/>
        </w:rPr>
        <w:t xml:space="preserve">2.1. Исполнитель осуществляет транспортно-экспедиторское обслуживание перевозку железнодорожным транспортом </w:t>
      </w:r>
      <w:r>
        <w:rPr>
          <w:color w:val="2C2D2E"/>
          <w:sz w:val="20"/>
          <w:szCs w:val="20"/>
        </w:rPr>
        <w:t>топлива дизельного зимнего</w:t>
      </w:r>
      <w:r>
        <w:rPr>
          <w:rFonts w:eastAsia="Calibri" w:ascii="XO Thames" w:hAnsi="XO Thames"/>
          <w:sz w:val="20"/>
          <w:szCs w:val="20"/>
        </w:rPr>
        <w:t xml:space="preserve"> в количестве 120 т с </w:t>
      </w:r>
      <w:r>
        <w:rPr>
          <w:rFonts w:ascii="XO Thames" w:hAnsi="XO Thames"/>
          <w:color w:val="000000"/>
          <w:sz w:val="20"/>
          <w:szCs w:val="20"/>
        </w:rPr>
        <w:t>ФГКУ «Складской терминал № 12» ст. Грязовец (код 303209), до станции Стенькино-2 (код 223108)</w:t>
      </w:r>
    </w:p>
    <w:tbl>
      <w:tblPr>
        <w:tblStyle w:val="af7"/>
        <w:tblW w:w="11199" w:type="dxa"/>
        <w:jc w:val="left"/>
        <w:tblInd w:w="-63" w:type="dxa"/>
        <w:tblLayout w:type="fixed"/>
        <w:tblCellMar>
          <w:top w:w="0" w:type="dxa"/>
          <w:left w:w="108" w:type="dxa"/>
          <w:bottom w:w="0" w:type="dxa"/>
          <w:right w:w="108" w:type="dxa"/>
        </w:tblCellMar>
        <w:tblLook w:val="04a0"/>
      </w:tblPr>
      <w:tblGrid>
        <w:gridCol w:w="1844"/>
        <w:gridCol w:w="850"/>
        <w:gridCol w:w="1871"/>
        <w:gridCol w:w="1843"/>
        <w:gridCol w:w="1956"/>
        <w:gridCol w:w="1276"/>
        <w:gridCol w:w="1558"/>
      </w:tblGrid>
      <w:tr>
        <w:trPr/>
        <w:tc>
          <w:tcPr>
            <w:tcW w:w="1844"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Станция/вид НП</w:t>
            </w:r>
          </w:p>
        </w:tc>
        <w:tc>
          <w:tcPr>
            <w:tcW w:w="850"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КЯР</w:t>
            </w:r>
          </w:p>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Код</w:t>
            </w:r>
          </w:p>
        </w:tc>
        <w:tc>
          <w:tcPr>
            <w:tcW w:w="1871"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 xml:space="preserve">Адрес </w:t>
            </w:r>
          </w:p>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грузополучателя</w:t>
            </w:r>
          </w:p>
        </w:tc>
        <w:tc>
          <w:tcPr>
            <w:tcW w:w="1843"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 xml:space="preserve">Имя </w:t>
            </w:r>
          </w:p>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грузополучателя</w:t>
            </w:r>
          </w:p>
        </w:tc>
        <w:tc>
          <w:tcPr>
            <w:tcW w:w="1956"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Подача на подъездной путь</w:t>
            </w:r>
          </w:p>
        </w:tc>
        <w:tc>
          <w:tcPr>
            <w:tcW w:w="1276"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ОКПО</w:t>
            </w:r>
          </w:p>
        </w:tc>
        <w:tc>
          <w:tcPr>
            <w:tcW w:w="1558" w:type="dxa"/>
            <w:tcBorders/>
          </w:tcPr>
          <w:p>
            <w:pPr>
              <w:pStyle w:val="Normal"/>
              <w:widowControl w:val="false"/>
              <w:suppressAutoHyphens w:val="false"/>
              <w:spacing w:before="0" w:after="0"/>
              <w:jc w:val="center"/>
              <w:rPr>
                <w:rFonts w:ascii="XO Thames" w:hAnsi="XO Thames" w:eastAsia="Calibri"/>
                <w:b/>
                <w:sz w:val="20"/>
                <w:szCs w:val="20"/>
              </w:rPr>
            </w:pPr>
            <w:r>
              <w:rPr>
                <w:rFonts w:eastAsia="Calibri" w:cs="Times New Roman" w:ascii="XO Thames" w:hAnsi="XO Thames"/>
                <w:b/>
                <w:kern w:val="0"/>
                <w:sz w:val="20"/>
                <w:szCs w:val="20"/>
                <w:lang w:val="ru-RU" w:eastAsia="ru-RU" w:bidi="ar-SA"/>
              </w:rPr>
              <w:t>ТГНЛ</w:t>
            </w:r>
          </w:p>
        </w:tc>
      </w:tr>
      <w:tr>
        <w:trPr/>
        <w:tc>
          <w:tcPr>
            <w:tcW w:w="1844"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 xml:space="preserve">Стенькино-2 / </w:t>
            </w:r>
          </w:p>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ДТЛ</w:t>
            </w:r>
          </w:p>
        </w:tc>
        <w:tc>
          <w:tcPr>
            <w:tcW w:w="850"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223108</w:t>
            </w:r>
          </w:p>
        </w:tc>
        <w:tc>
          <w:tcPr>
            <w:tcW w:w="1871"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 xml:space="preserve">390000, г.Рязань,ул.Сенная д.10, корп. 3, </w:t>
            </w:r>
          </w:p>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помещение Н5</w:t>
            </w:r>
          </w:p>
        </w:tc>
        <w:tc>
          <w:tcPr>
            <w:tcW w:w="1843"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 xml:space="preserve">ООО </w:t>
            </w:r>
          </w:p>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«ТК СпектрАвто»</w:t>
            </w:r>
          </w:p>
        </w:tc>
        <w:tc>
          <w:tcPr>
            <w:tcW w:w="1956"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АО «Новорязанское ППЖТ»</w:t>
            </w:r>
          </w:p>
        </w:tc>
        <w:tc>
          <w:tcPr>
            <w:tcW w:w="1276"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12206764</w:t>
            </w:r>
          </w:p>
        </w:tc>
        <w:tc>
          <w:tcPr>
            <w:tcW w:w="1558" w:type="dxa"/>
            <w:tcBorders/>
          </w:tcPr>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 xml:space="preserve">Стенькино-2 / </w:t>
            </w:r>
          </w:p>
          <w:p>
            <w:pPr>
              <w:pStyle w:val="Normal"/>
              <w:widowControl/>
              <w:suppressAutoHyphens w:val="false"/>
              <w:spacing w:before="0" w:after="0"/>
              <w:jc w:val="center"/>
              <w:rPr>
                <w:rFonts w:ascii="XO Thames" w:hAnsi="XO Thames"/>
                <w:sz w:val="20"/>
                <w:szCs w:val="20"/>
              </w:rPr>
            </w:pPr>
            <w:r>
              <w:rPr>
                <w:rFonts w:cs="Times New Roman" w:ascii="XO Thames" w:hAnsi="XO Thames"/>
                <w:kern w:val="0"/>
                <w:sz w:val="20"/>
                <w:szCs w:val="20"/>
                <w:lang w:val="ru-RU" w:eastAsia="ru-RU" w:bidi="ar-SA"/>
              </w:rPr>
              <w:t>ДТЛ</w:t>
            </w:r>
          </w:p>
        </w:tc>
      </w:tr>
    </w:tbl>
    <w:p>
      <w:pPr>
        <w:pStyle w:val="Normal"/>
        <w:ind w:firstLine="709"/>
        <w:rPr>
          <w:rFonts w:ascii="XO Thames" w:hAnsi="XO Thames" w:eastAsia="Calibri"/>
          <w:sz w:val="20"/>
          <w:szCs w:val="20"/>
        </w:rPr>
      </w:pPr>
      <w:r>
        <w:rPr>
          <w:rFonts w:eastAsia="Calibri" w:ascii="XO Thames" w:hAnsi="XO Thames"/>
          <w:sz w:val="20"/>
          <w:szCs w:val="20"/>
        </w:rPr>
      </w:r>
    </w:p>
    <w:p>
      <w:pPr>
        <w:pStyle w:val="Normal"/>
        <w:ind w:firstLine="709"/>
        <w:jc w:val="both"/>
        <w:rPr>
          <w:rFonts w:ascii="PT Astra Serif" w:hAnsi="PT Astra Serif" w:eastAsia="Calibri"/>
          <w:sz w:val="20"/>
          <w:szCs w:val="20"/>
        </w:rPr>
      </w:pPr>
      <w:r>
        <w:rPr>
          <w:rFonts w:eastAsia="Calibri" w:ascii="PT Astra Serif" w:hAnsi="PT Astra Serif"/>
          <w:b/>
          <w:sz w:val="20"/>
          <w:szCs w:val="20"/>
        </w:rPr>
        <w:t>2.1.1. Сокращения, применяемые в контракте.</w:t>
      </w:r>
    </w:p>
    <w:p>
      <w:pPr>
        <w:pStyle w:val="ListParagraph"/>
        <w:numPr>
          <w:ilvl w:val="2"/>
          <w:numId w:val="9"/>
        </w:numPr>
        <w:ind w:firstLine="709" w:left="0"/>
        <w:jc w:val="both"/>
        <w:rPr>
          <w:rFonts w:ascii="PT Astra Serif" w:hAnsi="PT Astra Serif"/>
        </w:rPr>
      </w:pPr>
      <w:r>
        <w:rPr>
          <w:rFonts w:ascii="PT Astra Serif" w:hAnsi="PT Astra Serif"/>
          <w:b/>
        </w:rPr>
        <w:t>Груз</w:t>
      </w:r>
      <w:r>
        <w:rPr>
          <w:rFonts w:ascii="PT Astra Serif" w:hAnsi="PT Astra Serif"/>
        </w:rPr>
        <w:t xml:space="preserve"> – разрешенный к перевозке груз, согласованный Сторонами в порядке, предусмотренным настоящим Контрактом.</w:t>
      </w:r>
    </w:p>
    <w:p>
      <w:pPr>
        <w:pStyle w:val="ListParagraph"/>
        <w:widowControl/>
        <w:numPr>
          <w:ilvl w:val="2"/>
          <w:numId w:val="9"/>
        </w:numPr>
        <w:ind w:firstLine="709" w:left="0"/>
        <w:jc w:val="both"/>
        <w:rPr>
          <w:rFonts w:ascii="PT Astra Serif" w:hAnsi="PT Astra Serif"/>
        </w:rPr>
      </w:pPr>
      <w:r>
        <w:rPr>
          <w:rFonts w:ascii="PT Astra Serif" w:hAnsi="PT Astra Serif"/>
          <w:b/>
        </w:rPr>
        <w:t>Заявка на перевозку</w:t>
      </w:r>
      <w:r>
        <w:rPr>
          <w:rFonts w:ascii="PT Astra Serif" w:hAnsi="PT Astra Serif"/>
        </w:rPr>
        <w:t xml:space="preserve"> (далее именуется Заявка) – совокупность данных, предоставленных Заказчиком Исполнителю, включающих в себя: планируемый период перевозки и тоннаж, наименование грузоотправителя/грузополучателя, станции и дороги отправления/назначения, количество Вагонов и/или груза, период действия Заявки на перевозку и другие данные. Форма Заявки на перевозку указана в Приложении № 1 к Техническому заданию.</w:t>
      </w:r>
    </w:p>
    <w:p>
      <w:pPr>
        <w:pStyle w:val="ListParagraph"/>
        <w:widowControl/>
        <w:numPr>
          <w:ilvl w:val="2"/>
          <w:numId w:val="9"/>
        </w:numPr>
        <w:ind w:firstLine="709" w:left="0"/>
        <w:jc w:val="both"/>
        <w:rPr>
          <w:rFonts w:ascii="PT Astra Serif" w:hAnsi="PT Astra Serif"/>
        </w:rPr>
      </w:pPr>
      <w:r>
        <w:rPr>
          <w:rFonts w:ascii="PT Astra Serif" w:hAnsi="PT Astra Serif"/>
          <w:b/>
        </w:rPr>
        <w:t>Заявка формы ГУ-12</w:t>
      </w:r>
      <w:r>
        <w:rPr>
          <w:rFonts w:ascii="PT Astra Serif" w:hAnsi="PT Astra Serif"/>
        </w:rPr>
        <w:t xml:space="preserve"> – форма заявки на перевозку грузов железнодорожным транспортом, предоставляемая Грузоотправителем Перевозчику. Форма заявки, правила и порядок ее оформления и предоставления установлены Федеральным законом «Устав железнодорожного транспорта Российской Федерации» (далее – Устав) и Правилами перевозок грузов железнодорожным транспортом (далее – Правила).</w:t>
      </w:r>
    </w:p>
    <w:p>
      <w:pPr>
        <w:pStyle w:val="ListParagraph"/>
        <w:widowControl/>
        <w:numPr>
          <w:ilvl w:val="2"/>
          <w:numId w:val="9"/>
        </w:numPr>
        <w:ind w:firstLine="709" w:left="0"/>
        <w:jc w:val="both"/>
        <w:rPr>
          <w:rFonts w:ascii="PT Astra Serif" w:hAnsi="PT Astra Serif"/>
        </w:rPr>
      </w:pPr>
      <w:r>
        <w:rPr>
          <w:rFonts w:ascii="PT Astra Serif" w:hAnsi="PT Astra Serif"/>
          <w:b/>
        </w:rPr>
        <w:t xml:space="preserve">Перевозчик </w:t>
      </w:r>
      <w:r>
        <w:rPr>
          <w:rFonts w:ascii="PT Astra Serif" w:hAnsi="PT Astra Serif"/>
        </w:rPr>
        <w:t>– ОАО «РЖД», юридическое лицо, принявшее на себя по договору перевозки железнодорожным транспортом общего пользования обязанность доставить вверенный ему отправителем груз из пункта отправления в пункт назначения, а также выдать груз получателю.</w:t>
      </w:r>
    </w:p>
    <w:p>
      <w:pPr>
        <w:pStyle w:val="ListParagraph"/>
        <w:widowControl/>
        <w:numPr>
          <w:ilvl w:val="2"/>
          <w:numId w:val="9"/>
        </w:numPr>
        <w:ind w:firstLine="709" w:left="0"/>
        <w:jc w:val="both"/>
        <w:rPr>
          <w:rFonts w:ascii="PT Astra Serif" w:hAnsi="PT Astra Serif"/>
        </w:rPr>
      </w:pPr>
      <w:r>
        <w:rPr>
          <w:rFonts w:ascii="PT Astra Serif" w:hAnsi="PT Astra Serif"/>
          <w:b/>
        </w:rPr>
        <w:t>Вагоны –</w:t>
      </w:r>
      <w:r>
        <w:rPr>
          <w:rFonts w:ascii="PT Astra Serif" w:hAnsi="PT Astra Serif"/>
        </w:rPr>
        <w:t xml:space="preserve"> железнодорожный подвижной состав (грузовые Вагоны), используемый для перевозки грузов.</w:t>
      </w:r>
    </w:p>
    <w:p>
      <w:pPr>
        <w:pStyle w:val="ListParagraph"/>
        <w:widowControl/>
        <w:numPr>
          <w:ilvl w:val="2"/>
          <w:numId w:val="9"/>
        </w:numPr>
        <w:ind w:firstLine="709" w:left="0"/>
        <w:jc w:val="both"/>
        <w:rPr>
          <w:rFonts w:ascii="PT Astra Serif" w:hAnsi="PT Astra Serif"/>
        </w:rPr>
      </w:pPr>
      <w:r>
        <w:rPr>
          <w:rFonts w:ascii="PT Astra Serif" w:hAnsi="PT Astra Serif"/>
        </w:rPr>
        <w:t>Уполномоченные лица Заказчика:</w:t>
      </w:r>
    </w:p>
    <w:p>
      <w:pPr>
        <w:pStyle w:val="ListParagraph"/>
        <w:ind w:firstLine="709" w:left="0"/>
        <w:jc w:val="both"/>
        <w:rPr>
          <w:rFonts w:ascii="PT Astra Serif" w:hAnsi="PT Astra Serif"/>
        </w:rPr>
      </w:pPr>
      <w:r>
        <w:rPr>
          <w:rFonts w:ascii="PT Astra Serif" w:hAnsi="PT Astra Serif"/>
          <w:b/>
        </w:rPr>
        <w:t xml:space="preserve">Грузовладелец </w:t>
      </w:r>
      <w:r>
        <w:rPr>
          <w:rFonts w:ascii="PT Astra Serif" w:hAnsi="PT Astra Serif"/>
        </w:rPr>
        <w:t>– юридическое лицо, выступающее от своего имени или от имени владельца Груза.</w:t>
      </w:r>
    </w:p>
    <w:p>
      <w:pPr>
        <w:pStyle w:val="ListParagraph"/>
        <w:ind w:firstLine="709" w:left="0"/>
        <w:jc w:val="both"/>
        <w:rPr>
          <w:rFonts w:ascii="PT Astra Serif" w:hAnsi="PT Astra Serif"/>
        </w:rPr>
      </w:pPr>
      <w:r>
        <w:rPr>
          <w:rFonts w:ascii="PT Astra Serif" w:hAnsi="PT Astra Serif"/>
          <w:b/>
        </w:rPr>
        <w:t xml:space="preserve">Грузополучатель </w:t>
      </w:r>
      <w:r>
        <w:rPr>
          <w:rFonts w:ascii="PT Astra Serif" w:hAnsi="PT Astra Serif"/>
        </w:rPr>
        <w:t>– юридическое лицо, выступающее от своего имени или от имени владельца груза и указанное в графе «Грузополучатель» перевозочного документа.</w:t>
      </w:r>
    </w:p>
    <w:p>
      <w:pPr>
        <w:pStyle w:val="ListParagraph"/>
        <w:ind w:firstLine="709" w:left="0"/>
        <w:jc w:val="both"/>
        <w:rPr>
          <w:rFonts w:ascii="PT Astra Serif" w:hAnsi="PT Astra Serif"/>
        </w:rPr>
      </w:pPr>
      <w:r>
        <w:rPr>
          <w:rFonts w:ascii="PT Astra Serif" w:hAnsi="PT Astra Serif"/>
          <w:b/>
        </w:rPr>
        <w:t>Ветвевладелец</w:t>
      </w:r>
      <w:r>
        <w:rPr>
          <w:rFonts w:ascii="PT Astra Serif" w:hAnsi="PT Astra Serif"/>
        </w:rPr>
        <w:t xml:space="preserve">– владелец/ветвепользователь подъездных путей не/общего пользования по станциям погрузки/выгрузки, на которых осуществляется погрузка/выгрузка Груза. </w:t>
      </w:r>
    </w:p>
    <w:p>
      <w:pPr>
        <w:pStyle w:val="ListParagraph"/>
        <w:widowControl/>
        <w:numPr>
          <w:ilvl w:val="2"/>
          <w:numId w:val="9"/>
        </w:numPr>
        <w:ind w:firstLine="709" w:left="0"/>
        <w:jc w:val="both"/>
        <w:rPr>
          <w:rFonts w:ascii="PT Astra Serif" w:hAnsi="PT Astra Serif"/>
        </w:rPr>
      </w:pPr>
      <w:r>
        <w:rPr>
          <w:rFonts w:ascii="PT Astra Serif" w:hAnsi="PT Astra Serif"/>
          <w:b/>
        </w:rPr>
        <w:t>Вагоны</w:t>
      </w:r>
      <w:r>
        <w:rPr>
          <w:rFonts w:ascii="PT Astra Serif" w:hAnsi="PT Astra Serif"/>
        </w:rPr>
        <w:t xml:space="preserve"> – железнодорожный подвижной состав (</w:t>
      </w:r>
      <w:sdt>
        <w:sdtPr>
          <w:placeholder>
            <w:docPart w:val="66B558F8C1934384A85CCE7573D7F95C"/>
          </w:placeholder>
          <w:alias w:val="указать род подвижного состава"/>
          <w:tag w:val="указать род подвижного состава"/>
          <w:id w:val="-634253169"/>
        </w:sdtPr>
        <w:sdtContent>
          <w:r>
            <w:rPr>
              <w:rFonts w:ascii="PT Astra Serif" w:hAnsi="PT Astra Serif"/>
            </w:rPr>
          </w:r>
          <w:r>
            <w:rPr>
              <w:rFonts w:ascii="PT Astra Serif" w:hAnsi="PT Astra Serif"/>
            </w:rPr>
            <w:t>полувагоны, платформы</w:t>
          </w:r>
        </w:sdtContent>
      </w:sdt>
      <w:r>
        <w:rPr>
          <w:rFonts w:ascii="PT Astra Serif" w:hAnsi="PT Astra Serif"/>
        </w:rPr>
        <w:t>), принадлежащий Исполн</w:t>
      </w:r>
      <w:r>
        <w:rPr>
          <w:rFonts w:ascii="PT Astra Serif" w:hAnsi="PT Astra Serif"/>
        </w:rPr>
        <w:t>ителю на праве собственности, аренды, финансовой аренды (лизинга) или ином праве, либо привлеченные Исполнителем на основании договоров, заключенных с третьими лицами.</w:t>
      </w:r>
    </w:p>
    <w:p>
      <w:pPr>
        <w:pStyle w:val="ListParagraph"/>
        <w:numPr>
          <w:ilvl w:val="0"/>
          <w:numId w:val="4"/>
        </w:numPr>
        <w:ind w:firstLine="709" w:left="0"/>
        <w:jc w:val="both"/>
        <w:rPr>
          <w:rFonts w:ascii="PT Astra Serif" w:hAnsi="PT Astra Serif"/>
          <w:b/>
        </w:rPr>
      </w:pPr>
      <w:r>
        <w:rPr>
          <w:rFonts w:ascii="PT Astra Serif" w:hAnsi="PT Astra Serif"/>
          <w:b/>
        </w:rPr>
        <w:t>Порядок исполнения контракта.</w:t>
      </w:r>
    </w:p>
    <w:p>
      <w:pPr>
        <w:pStyle w:val="ListParagraph"/>
        <w:numPr>
          <w:ilvl w:val="1"/>
          <w:numId w:val="8"/>
        </w:numPr>
        <w:ind w:firstLine="709" w:left="0"/>
        <w:jc w:val="both"/>
        <w:rPr>
          <w:rFonts w:ascii="PT Astra Serif" w:hAnsi="PT Astra Serif"/>
        </w:rPr>
      </w:pPr>
      <w:r>
        <w:rPr>
          <w:rFonts w:ascii="PT Astra Serif" w:hAnsi="PT Astra Serif"/>
        </w:rPr>
        <w:t>Заказчик предоставляет Исполнителю копию согласованной Перевозчиком Заявки формы ГУ-12 в течение 1 (одного) рабочего дня с момента её согласования. Исполнитель производит заадресацию вагонов под погрузку.</w:t>
      </w:r>
    </w:p>
    <w:p>
      <w:pPr>
        <w:pStyle w:val="ListParagraph"/>
        <w:widowControl/>
        <w:numPr>
          <w:ilvl w:val="1"/>
          <w:numId w:val="8"/>
        </w:numPr>
        <w:ind w:firstLine="709" w:left="0"/>
        <w:jc w:val="both"/>
        <w:rPr>
          <w:rFonts w:ascii="PT Astra Serif" w:hAnsi="PT Astra Serif"/>
        </w:rPr>
      </w:pPr>
      <w:r>
        <w:rPr>
          <w:rFonts w:ascii="PT Astra Serif" w:hAnsi="PT Astra Serif"/>
        </w:rPr>
        <w:t>Исполнитель организовывает обеспечение подачи под погрузку на станцию отправления технически исправного и коммерчески пригодного подвижного состава, перевозку груза железнодорожным транспортом по указанному в контракте маршруту. Пригодность Вагонов в коммерческом отношении определяется с учетом нормативных требований, предъявляемых Перевозчиком и Заказчиком. В случае несогласия уполномоченных представителей Заказчика (третьи лица, которые осуществляют погрузку по договору с Заказчиком или его контрагентами) с коммерческой и технической пригодностью вагонов, уполномоченные представители Заказчика подтверждают несогласие путем предоставления в установленные сроки актов ВУ-23, ВУ-25, ВУ-26 (технические неисправности) и актов формы ГУ-23, ГУ-7а (коммерческая непригодность), которые подписываются уполномоченными представителями Заказчика, Исполнителя и Перевозчика. Своевременно информирует заказчика об отправлении груза с места отправки и до места назначения. Принимает груженный вагон заказчика только при наличии пломбы ЗПУ подтвержденной соответствующим актом. Опломбирование груженных вагон осуществляется в соответствии с правилами пломбированием вагонов и контейнера на железнодорожном транспорте.</w:t>
      </w:r>
    </w:p>
    <w:p>
      <w:pPr>
        <w:pStyle w:val="ListParagraph"/>
        <w:widowControl/>
        <w:numPr>
          <w:ilvl w:val="1"/>
          <w:numId w:val="8"/>
        </w:numPr>
        <w:ind w:firstLine="709" w:left="0"/>
        <w:jc w:val="both"/>
        <w:rPr>
          <w:rFonts w:ascii="PT Astra Serif" w:hAnsi="PT Astra Serif"/>
        </w:rPr>
      </w:pPr>
      <w:r>
        <w:rPr>
          <w:rFonts w:ascii="PT Astra Serif" w:hAnsi="PT Astra Serif"/>
        </w:rPr>
        <w:t>В стоимость услуг Исполнителя включены услуги по предоставлению привлеченного подвижного состава для перевозки груза Заказчика железнодорожным транспортом (вагоны из-под аналогичного продукта и светлых нефтепродуктов, без предварительной подготовки на ППС), оплаты ж/д тарифа за перевозку Грузов, охраны в пути следования и охраны на путях, станционных сборов за подачу/уборку порожних/груженных вагонов и прочих непоименованных услуг железной дороги по станции отгрузки, оказание услуг по охране ЗПУ, установленных при отправки Груза, по станции отправления, информационных услуг, в том числе услуг по отслеживанию за вагоном, предоставлению Заказчику инструкций на отправку порожних вагонов со станции выгрузки на станции, указанные Исполнителем и услуг сопутствующих организации оформления отправки Груза железнодорожным транспортом в пункт назначения.</w:t>
      </w:r>
    </w:p>
    <w:p>
      <w:pPr>
        <w:pStyle w:val="ListParagraph"/>
        <w:widowControl/>
        <w:numPr>
          <w:ilvl w:val="1"/>
          <w:numId w:val="8"/>
        </w:numPr>
        <w:ind w:firstLine="709" w:left="0"/>
        <w:jc w:val="both"/>
        <w:rPr>
          <w:rFonts w:ascii="PT Astra Serif" w:hAnsi="PT Astra Serif"/>
        </w:rPr>
      </w:pPr>
      <w:r>
        <w:rPr>
          <w:rFonts w:ascii="PT Astra Serif" w:hAnsi="PT Astra Serif"/>
        </w:rPr>
        <w:t>Заказчик по своим договорам обязуется обеспечить погрузку, выгрузку, организовать отправление Вагонов со станций погрузки/выгрузки по полным перевозочным документам. Обеспечить получение Исполнителем информации по погруженным цистернам, в том числе и от третьих лиц, уполномоченных со стороны Заказчика, которые осуществляют погрузку по договору с Заказчиком или его контрагентами для правильного, достоверного и полного оформления перевозочных, сопроводительных документов, необходимых для отправления груза и беспрепятственного осуществления его внутренней перевозки. До начала разгрузки на станции прибытия грузополучателя заказчик производит внешний осмотр вагона, проверяет исправность ЗПУ. Если на момент принятия вагона с грузом обнаруживается механическое повреждение вагона и неисправность ЗПУ заказчик в присутствии Исполнителя и грузополучателя составляет акт с участием исполнителя и грузополучателя.</w:t>
      </w:r>
    </w:p>
    <w:p>
      <w:pPr>
        <w:pStyle w:val="Normal"/>
        <w:ind w:left="567"/>
        <w:textAlignment w:val="baseline"/>
        <w:rPr>
          <w:sz w:val="18"/>
          <w:szCs w:val="18"/>
        </w:rPr>
      </w:pPr>
      <w:r>
        <w:rPr>
          <w:sz w:val="18"/>
          <w:szCs w:val="18"/>
        </w:rPr>
      </w:r>
    </w:p>
    <w:p>
      <w:pPr>
        <w:pStyle w:val="Normal"/>
        <w:ind w:left="567"/>
        <w:textAlignment w:val="baseline"/>
        <w:rPr>
          <w:sz w:val="18"/>
          <w:szCs w:val="18"/>
        </w:rPr>
      </w:pPr>
      <w:r>
        <w:rPr>
          <w:sz w:val="18"/>
          <w:szCs w:val="18"/>
        </w:rPr>
      </w:r>
    </w:p>
    <w:tbl>
      <w:tblPr>
        <w:tblStyle w:val="af7"/>
        <w:tblW w:w="9854" w:type="dxa"/>
        <w:jc w:val="left"/>
        <w:tblInd w:w="680" w:type="dxa"/>
        <w:tblLayout w:type="fixed"/>
        <w:tblCellMar>
          <w:top w:w="0" w:type="dxa"/>
          <w:left w:w="108" w:type="dxa"/>
          <w:bottom w:w="0" w:type="dxa"/>
          <w:right w:w="108" w:type="dxa"/>
        </w:tblCellMar>
        <w:tblLook w:val="04a0"/>
      </w:tblPr>
      <w:tblGrid>
        <w:gridCol w:w="4742"/>
        <w:gridCol w:w="5111"/>
      </w:tblGrid>
      <w:tr>
        <w:trPr/>
        <w:tc>
          <w:tcPr>
            <w:tcW w:w="4742" w:type="dxa"/>
            <w:tcBorders/>
          </w:tcPr>
          <w:p>
            <w:pPr>
              <w:pStyle w:val="Normal"/>
              <w:widowControl/>
              <w:suppressAutoHyphens w:val="false"/>
              <w:spacing w:before="0" w:after="0"/>
              <w:jc w:val="center"/>
              <w:textAlignment w:val="baseline"/>
              <w:rPr>
                <w:sz w:val="18"/>
                <w:szCs w:val="18"/>
              </w:rPr>
            </w:pPr>
            <w:r>
              <w:rPr>
                <w:rFonts w:cs="Times New Roman"/>
                <w:b/>
                <w:kern w:val="0"/>
                <w:sz w:val="18"/>
                <w:szCs w:val="18"/>
                <w:lang w:val="ru-RU" w:eastAsia="ru-RU" w:bidi="ar-SA"/>
              </w:rPr>
              <w:t>«Государственный заказчик»:</w:t>
            </w:r>
          </w:p>
        </w:tc>
        <w:tc>
          <w:tcPr>
            <w:tcW w:w="5111" w:type="dxa"/>
            <w:tcBorders/>
          </w:tcPr>
          <w:p>
            <w:pPr>
              <w:pStyle w:val="Normal"/>
              <w:widowControl/>
              <w:suppressAutoHyphens w:val="false"/>
              <w:spacing w:before="0" w:after="0"/>
              <w:jc w:val="center"/>
              <w:textAlignment w:val="baseline"/>
              <w:rPr>
                <w:sz w:val="18"/>
                <w:szCs w:val="18"/>
              </w:rPr>
            </w:pPr>
            <w:r>
              <w:rPr>
                <w:rFonts w:cs="Times New Roman"/>
                <w:b/>
                <w:kern w:val="0"/>
                <w:sz w:val="18"/>
                <w:szCs w:val="18"/>
                <w:lang w:val="ru-RU" w:eastAsia="ru-RU" w:bidi="ar-SA"/>
              </w:rPr>
              <w:t>«Исполнитель»:</w:t>
            </w:r>
          </w:p>
        </w:tc>
      </w:tr>
      <w:tr>
        <w:trPr/>
        <w:tc>
          <w:tcPr>
            <w:tcW w:w="4742" w:type="dxa"/>
            <w:tcBorders/>
          </w:tcPr>
          <w:p>
            <w:pPr>
              <w:pStyle w:val="Normal"/>
              <w:widowControl/>
              <w:suppressAutoHyphens w:val="false"/>
              <w:spacing w:before="0" w:after="0"/>
              <w:jc w:val="left"/>
              <w:rPr>
                <w:b/>
                <w:sz w:val="18"/>
                <w:szCs w:val="18"/>
              </w:rPr>
            </w:pPr>
            <w:r>
              <w:rPr>
                <w:rFonts w:cs="Times New Roman"/>
                <w:b/>
                <w:kern w:val="0"/>
                <w:sz w:val="18"/>
                <w:szCs w:val="18"/>
                <w:lang w:val="ru-RU" w:eastAsia="ru-RU" w:bidi="ar-SA"/>
              </w:rPr>
              <w:t>ФКУ БМТиВС УФСИН России по Республике Мордовия</w:t>
            </w:r>
          </w:p>
          <w:p>
            <w:pPr>
              <w:pStyle w:val="Normal"/>
              <w:widowControl/>
              <w:suppressAutoHyphens w:val="false"/>
              <w:spacing w:before="0" w:after="0"/>
              <w:jc w:val="center"/>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center"/>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t>Начальник</w:t>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t>____________________________/Е.А. Аношкин/</w:t>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tc>
        <w:tc>
          <w:tcPr>
            <w:tcW w:w="5111" w:type="dxa"/>
            <w:tcBorders/>
          </w:tcPr>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t>____________________________/________________/</w:t>
            </w:r>
          </w:p>
        </w:tc>
      </w:tr>
    </w:tbl>
    <w:p>
      <w:pPr>
        <w:pStyle w:val="Normal"/>
        <w:ind w:left="567"/>
        <w:textAlignment w:val="baseline"/>
        <w:rPr>
          <w:sz w:val="18"/>
          <w:szCs w:val="18"/>
        </w:rPr>
      </w:pPr>
      <w:r>
        <w:rPr>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spacing w:lineRule="auto" w:line="259" w:before="0" w:after="160"/>
        <w:rPr>
          <w:rFonts w:eastAsia="Calibri"/>
          <w:sz w:val="18"/>
          <w:szCs w:val="18"/>
        </w:rPr>
      </w:pPr>
      <w:r>
        <w:rPr>
          <w:rFonts w:eastAsia="Calibri"/>
          <w:sz w:val="18"/>
          <w:szCs w:val="18"/>
        </w:rPr>
      </w:r>
    </w:p>
    <w:p>
      <w:pPr>
        <w:pStyle w:val="Normal"/>
        <w:ind w:left="567"/>
        <w:jc w:val="right"/>
        <w:rPr>
          <w:rFonts w:eastAsia="Calibri"/>
          <w:sz w:val="18"/>
          <w:szCs w:val="18"/>
        </w:rPr>
      </w:pPr>
      <w:r>
        <w:rPr>
          <w:rFonts w:eastAsia="Calibri"/>
          <w:sz w:val="18"/>
          <w:szCs w:val="18"/>
        </w:rPr>
        <w:t>Приложение № 1</w:t>
      </w:r>
    </w:p>
    <w:p>
      <w:pPr>
        <w:pStyle w:val="Normal"/>
        <w:ind w:left="567"/>
        <w:jc w:val="right"/>
        <w:rPr>
          <w:rFonts w:eastAsia="Calibri"/>
          <w:sz w:val="18"/>
          <w:szCs w:val="18"/>
        </w:rPr>
      </w:pPr>
      <w:r>
        <w:rPr>
          <w:rFonts w:eastAsia="Calibri"/>
          <w:sz w:val="18"/>
          <w:szCs w:val="18"/>
        </w:rPr>
        <w:t xml:space="preserve"> </w:t>
      </w:r>
      <w:r>
        <w:rPr>
          <w:rFonts w:eastAsia="Calibri"/>
          <w:sz w:val="18"/>
          <w:szCs w:val="18"/>
        </w:rPr>
        <w:t xml:space="preserve">к Техническому заданию </w:t>
      </w:r>
      <w:r>
        <w:rPr>
          <w:rFonts w:eastAsia="Calibri"/>
          <w:sz w:val="18"/>
          <w:szCs w:val="18"/>
        </w:rPr>
        <w:t>(Приложение № 2)</w:t>
      </w:r>
    </w:p>
    <w:p>
      <w:pPr>
        <w:pStyle w:val="Normal"/>
        <w:ind w:left="567"/>
        <w:jc w:val="right"/>
        <w:textAlignment w:val="baseline"/>
        <w:rPr>
          <w:sz w:val="18"/>
          <w:szCs w:val="18"/>
        </w:rPr>
      </w:pPr>
      <w:r>
        <w:rPr>
          <w:sz w:val="18"/>
          <w:szCs w:val="18"/>
        </w:rPr>
        <w:t>к государственному контракту </w:t>
      </w:r>
    </w:p>
    <w:p>
      <w:pPr>
        <w:pStyle w:val="Normal"/>
        <w:ind w:left="567"/>
        <w:jc w:val="center"/>
        <w:textAlignment w:val="baseline"/>
        <w:rPr>
          <w:sz w:val="18"/>
          <w:szCs w:val="18"/>
        </w:rPr>
      </w:pPr>
      <w:r>
        <w:rPr>
          <w:sz w:val="18"/>
          <w:szCs w:val="18"/>
        </w:rPr>
        <w:t xml:space="preserve">                                                                                                               №</w:t>
      </w:r>
      <w:r>
        <w:rPr>
          <w:sz w:val="18"/>
          <w:szCs w:val="18"/>
        </w:rPr>
        <w:t>______________________от «___» ____________2026 г. </w:t>
      </w:r>
    </w:p>
    <w:p>
      <w:pPr>
        <w:pStyle w:val="Normal"/>
        <w:ind w:left="567"/>
        <w:jc w:val="center"/>
        <w:rPr>
          <w:b/>
          <w:sz w:val="18"/>
          <w:szCs w:val="18"/>
        </w:rPr>
      </w:pPr>
      <w:r>
        <w:rPr>
          <w:b/>
          <w:sz w:val="18"/>
          <w:szCs w:val="18"/>
        </w:rPr>
      </w:r>
    </w:p>
    <w:p>
      <w:pPr>
        <w:pStyle w:val="Normal"/>
        <w:ind w:left="567"/>
        <w:jc w:val="center"/>
        <w:rPr>
          <w:b/>
          <w:sz w:val="18"/>
          <w:szCs w:val="18"/>
        </w:rPr>
      </w:pPr>
      <w:r>
        <w:rPr>
          <w:b/>
          <w:sz w:val="18"/>
          <w:szCs w:val="18"/>
        </w:rPr>
        <w:t xml:space="preserve">ЗАЯВКА НА ПЕРЕВОЗКУ во внутрироссийском сообщении </w:t>
      </w:r>
    </w:p>
    <w:p>
      <w:pPr>
        <w:pStyle w:val="Normal"/>
        <w:ind w:left="567"/>
        <w:jc w:val="center"/>
        <w:rPr>
          <w:b/>
          <w:sz w:val="18"/>
          <w:szCs w:val="18"/>
        </w:rPr>
      </w:pPr>
      <w:r>
        <w:rPr>
          <w:b/>
          <w:sz w:val="18"/>
          <w:szCs w:val="18"/>
        </w:rPr>
      </w:r>
    </w:p>
    <w:p>
      <w:pPr>
        <w:pStyle w:val="Normal"/>
        <w:ind w:left="567"/>
        <w:jc w:val="center"/>
        <w:rPr>
          <w:b/>
          <w:sz w:val="18"/>
          <w:szCs w:val="18"/>
        </w:rPr>
      </w:pPr>
      <w:r>
        <w:rPr>
          <w:b/>
          <w:sz w:val="18"/>
          <w:szCs w:val="18"/>
        </w:rPr>
        <w:t xml:space="preserve">№ </w:t>
      </w:r>
      <w:r>
        <w:rPr>
          <w:b/>
          <w:sz w:val="18"/>
          <w:szCs w:val="18"/>
        </w:rPr>
        <w:t>_______ от _____________ г.</w:t>
      </w:r>
    </w:p>
    <w:p>
      <w:pPr>
        <w:pStyle w:val="Normal"/>
        <w:spacing w:lineRule="auto" w:line="259" w:before="0" w:after="160"/>
        <w:ind w:left="567"/>
        <w:rPr>
          <w:rFonts w:eastAsia="Calibri"/>
          <w:sz w:val="18"/>
          <w:szCs w:val="18"/>
        </w:rPr>
      </w:pPr>
      <w:r>
        <w:rPr>
          <w:rFonts w:eastAsia="Calibri"/>
          <w:sz w:val="18"/>
          <w:szCs w:val="18"/>
        </w:rPr>
      </w:r>
    </w:p>
    <w:tbl>
      <w:tblPr>
        <w:tblW w:w="9904" w:type="dxa"/>
        <w:jc w:val="left"/>
        <w:tblInd w:w="630" w:type="dxa"/>
        <w:tblLayout w:type="fixed"/>
        <w:tblCellMar>
          <w:top w:w="0" w:type="dxa"/>
          <w:left w:w="108" w:type="dxa"/>
          <w:bottom w:w="0" w:type="dxa"/>
          <w:right w:w="108" w:type="dxa"/>
        </w:tblCellMar>
        <w:tblLook w:val="01e0"/>
      </w:tblPr>
      <w:tblGrid>
        <w:gridCol w:w="5214"/>
        <w:gridCol w:w="4689"/>
      </w:tblGrid>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Наименование и код груза (светлые/темные)</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Объем, тонн / ваг</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 xml:space="preserve">Наименование Вагона </w:t>
            </w:r>
          </w:p>
          <w:p>
            <w:pPr>
              <w:pStyle w:val="Normal"/>
              <w:ind w:left="567"/>
              <w:jc w:val="both"/>
              <w:rPr>
                <w:sz w:val="18"/>
                <w:szCs w:val="18"/>
              </w:rPr>
            </w:pPr>
            <w:r>
              <w:rPr>
                <w:sz w:val="18"/>
                <w:szCs w:val="18"/>
              </w:rPr>
              <w:t>(род подвижного состава)</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Станция и дорога отправления</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Станция и дорога назначения</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Грузоотправитель, код ОКПО, ж.д. код</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Адрес Грузоотправителя</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Грузополучатель, код ОКПО, ж.д. код</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Адрес Грузополучателя</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Плательщик ж.д. тарифа за груженый Вагон</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Плательщик ж.д. тарифа за возврат</w:t>
            </w:r>
          </w:p>
          <w:p>
            <w:pPr>
              <w:pStyle w:val="Normal"/>
              <w:ind w:left="567"/>
              <w:jc w:val="both"/>
              <w:rPr>
                <w:sz w:val="18"/>
                <w:szCs w:val="18"/>
              </w:rPr>
            </w:pPr>
            <w:r>
              <w:rPr>
                <w:sz w:val="18"/>
                <w:szCs w:val="18"/>
              </w:rPr>
              <w:t>порожнего вагона</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Период действия заявки</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r>
        <w:trPr/>
        <w:tc>
          <w:tcPr>
            <w:tcW w:w="5214"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t>График отгрузки</w:t>
            </w:r>
          </w:p>
        </w:tc>
        <w:tc>
          <w:tcPr>
            <w:tcW w:w="4689" w:type="dxa"/>
            <w:tcBorders>
              <w:top w:val="single" w:sz="4" w:space="0" w:color="000000"/>
              <w:left w:val="single" w:sz="4" w:space="0" w:color="000000"/>
              <w:bottom w:val="single" w:sz="4" w:space="0" w:color="000000"/>
              <w:right w:val="single" w:sz="4" w:space="0" w:color="000000"/>
            </w:tcBorders>
          </w:tcPr>
          <w:p>
            <w:pPr>
              <w:pStyle w:val="Normal"/>
              <w:ind w:left="567"/>
              <w:jc w:val="both"/>
              <w:rPr>
                <w:sz w:val="18"/>
                <w:szCs w:val="18"/>
              </w:rPr>
            </w:pPr>
            <w:r>
              <w:rPr>
                <w:sz w:val="18"/>
                <w:szCs w:val="18"/>
              </w:rPr>
            </w:r>
          </w:p>
        </w:tc>
      </w:tr>
    </w:tbl>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bookmarkStart w:id="10" w:name="_GoBack"/>
      <w:bookmarkStart w:id="11" w:name="_GoBack"/>
      <w:bookmarkEnd w:id="11"/>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p>
      <w:pPr>
        <w:pStyle w:val="NoSpacing"/>
        <w:tabs>
          <w:tab w:val="clear" w:pos="708"/>
          <w:tab w:val="left" w:pos="426" w:leader="none"/>
          <w:tab w:val="left" w:pos="709" w:leader="none"/>
        </w:tabs>
        <w:ind w:left="567"/>
        <w:rPr>
          <w:rFonts w:ascii="Times New Roman" w:hAnsi="Times New Roman"/>
          <w:sz w:val="18"/>
          <w:szCs w:val="18"/>
        </w:rPr>
      </w:pPr>
      <w:r>
        <w:rPr>
          <w:rFonts w:ascii="Times New Roman" w:hAnsi="Times New Roman"/>
          <w:sz w:val="18"/>
          <w:szCs w:val="18"/>
        </w:rPr>
      </w:r>
    </w:p>
    <w:tbl>
      <w:tblPr>
        <w:tblStyle w:val="af7"/>
        <w:tblW w:w="9854" w:type="dxa"/>
        <w:jc w:val="left"/>
        <w:tblInd w:w="680" w:type="dxa"/>
        <w:tblLayout w:type="fixed"/>
        <w:tblCellMar>
          <w:top w:w="0" w:type="dxa"/>
          <w:left w:w="108" w:type="dxa"/>
          <w:bottom w:w="0" w:type="dxa"/>
          <w:right w:w="108" w:type="dxa"/>
        </w:tblCellMar>
        <w:tblLook w:val="04a0"/>
      </w:tblPr>
      <w:tblGrid>
        <w:gridCol w:w="4742"/>
        <w:gridCol w:w="5111"/>
      </w:tblGrid>
      <w:tr>
        <w:trPr/>
        <w:tc>
          <w:tcPr>
            <w:tcW w:w="4742" w:type="dxa"/>
            <w:tcBorders/>
          </w:tcPr>
          <w:p>
            <w:pPr>
              <w:pStyle w:val="Normal"/>
              <w:widowControl/>
              <w:suppressAutoHyphens w:val="false"/>
              <w:spacing w:before="0" w:after="0"/>
              <w:jc w:val="center"/>
              <w:textAlignment w:val="baseline"/>
              <w:rPr>
                <w:sz w:val="18"/>
                <w:szCs w:val="18"/>
              </w:rPr>
            </w:pPr>
            <w:r>
              <w:rPr>
                <w:rFonts w:cs="Times New Roman"/>
                <w:b/>
                <w:kern w:val="0"/>
                <w:sz w:val="18"/>
                <w:szCs w:val="18"/>
                <w:lang w:val="ru-RU" w:eastAsia="ru-RU" w:bidi="ar-SA"/>
              </w:rPr>
              <w:t>«Государственный заказчик»:</w:t>
            </w:r>
          </w:p>
        </w:tc>
        <w:tc>
          <w:tcPr>
            <w:tcW w:w="5111" w:type="dxa"/>
            <w:tcBorders/>
          </w:tcPr>
          <w:p>
            <w:pPr>
              <w:pStyle w:val="Normal"/>
              <w:widowControl/>
              <w:suppressAutoHyphens w:val="false"/>
              <w:spacing w:before="0" w:after="0"/>
              <w:jc w:val="center"/>
              <w:textAlignment w:val="baseline"/>
              <w:rPr>
                <w:sz w:val="18"/>
                <w:szCs w:val="18"/>
              </w:rPr>
            </w:pPr>
            <w:r>
              <w:rPr>
                <w:rFonts w:cs="Times New Roman"/>
                <w:b/>
                <w:kern w:val="0"/>
                <w:sz w:val="18"/>
                <w:szCs w:val="18"/>
                <w:lang w:val="ru-RU" w:eastAsia="ru-RU" w:bidi="ar-SA"/>
              </w:rPr>
              <w:t>«Исполнитель»:</w:t>
            </w:r>
          </w:p>
        </w:tc>
      </w:tr>
      <w:tr>
        <w:trPr/>
        <w:tc>
          <w:tcPr>
            <w:tcW w:w="4742" w:type="dxa"/>
            <w:tcBorders/>
          </w:tcPr>
          <w:p>
            <w:pPr>
              <w:pStyle w:val="Normal"/>
              <w:widowControl/>
              <w:suppressAutoHyphens w:val="false"/>
              <w:spacing w:before="0" w:after="0"/>
              <w:jc w:val="left"/>
              <w:rPr>
                <w:b/>
                <w:sz w:val="18"/>
                <w:szCs w:val="18"/>
              </w:rPr>
            </w:pPr>
            <w:r>
              <w:rPr>
                <w:rFonts w:cs="Times New Roman"/>
                <w:b/>
                <w:kern w:val="0"/>
                <w:sz w:val="18"/>
                <w:szCs w:val="18"/>
                <w:lang w:val="ru-RU" w:eastAsia="ru-RU" w:bidi="ar-SA"/>
              </w:rPr>
              <w:t xml:space="preserve">ФКУ БМТиВС УФСИН России </w:t>
            </w:r>
          </w:p>
          <w:p>
            <w:pPr>
              <w:pStyle w:val="Normal"/>
              <w:widowControl/>
              <w:suppressAutoHyphens w:val="false"/>
              <w:spacing w:before="0" w:after="0"/>
              <w:jc w:val="left"/>
              <w:rPr>
                <w:b/>
                <w:sz w:val="18"/>
                <w:szCs w:val="18"/>
              </w:rPr>
            </w:pPr>
            <w:r>
              <w:rPr>
                <w:rFonts w:cs="Times New Roman"/>
                <w:b/>
                <w:kern w:val="0"/>
                <w:sz w:val="18"/>
                <w:szCs w:val="18"/>
                <w:lang w:val="ru-RU" w:eastAsia="ru-RU" w:bidi="ar-SA"/>
              </w:rPr>
              <w:t>по Республике Мордовия</w:t>
            </w:r>
          </w:p>
          <w:p>
            <w:pPr>
              <w:pStyle w:val="Normal"/>
              <w:widowControl/>
              <w:suppressAutoHyphens w:val="false"/>
              <w:spacing w:before="0" w:after="0"/>
              <w:jc w:val="center"/>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center"/>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t>Начальник</w:t>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r>
          </w:p>
          <w:p>
            <w:pPr>
              <w:pStyle w:val="Normal"/>
              <w:widowControl/>
              <w:suppressAutoHyphens w:val="false"/>
              <w:spacing w:before="0" w:after="0"/>
              <w:jc w:val="left"/>
              <w:textAlignment w:val="baseline"/>
              <w:rPr>
                <w:sz w:val="18"/>
                <w:szCs w:val="18"/>
              </w:rPr>
            </w:pPr>
            <w:r>
              <w:rPr>
                <w:rFonts w:cs="Times New Roman"/>
                <w:kern w:val="0"/>
                <w:sz w:val="18"/>
                <w:szCs w:val="18"/>
                <w:lang w:val="ru-RU" w:eastAsia="ru-RU" w:bidi="ar-SA"/>
              </w:rPr>
              <w:t>____________________________/Е.А. Аношкин/</w:t>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tc>
        <w:tc>
          <w:tcPr>
            <w:tcW w:w="5111" w:type="dxa"/>
            <w:tcBorders/>
          </w:tcPr>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r>
          </w:p>
          <w:p>
            <w:pPr>
              <w:pStyle w:val="Normal"/>
              <w:widowControl/>
              <w:suppressAutoHyphens w:val="false"/>
              <w:spacing w:before="0" w:after="0"/>
              <w:jc w:val="left"/>
              <w:textAlignment w:val="baseline"/>
              <w:rPr>
                <w:b/>
                <w:sz w:val="18"/>
                <w:szCs w:val="18"/>
              </w:rPr>
            </w:pPr>
            <w:r>
              <w:rPr>
                <w:rFonts w:cs="Times New Roman"/>
                <w:b/>
                <w:kern w:val="0"/>
                <w:sz w:val="18"/>
                <w:szCs w:val="18"/>
                <w:lang w:val="ru-RU" w:eastAsia="ru-RU" w:bidi="ar-SA"/>
              </w:rPr>
              <w:t>____________________________/________________/</w:t>
            </w:r>
          </w:p>
        </w:tc>
      </w:tr>
    </w:tbl>
    <w:p>
      <w:pPr>
        <w:pStyle w:val="Normal"/>
        <w:ind w:left="567"/>
        <w:jc w:val="both"/>
        <w:rPr>
          <w:szCs w:val="16"/>
        </w:rPr>
      </w:pPr>
      <w:r>
        <w:rPr>
          <w:szCs w:val="16"/>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851" w:right="850" w:gutter="0" w:header="283" w:top="340" w:footer="0" w:bottom="283"/>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Courier New">
    <w:charset w:val="01"/>
    <w:family w:val="auto"/>
    <w:pitch w:val="variable"/>
  </w:font>
  <w:font w:name="Tahoma">
    <w:charset w:val="01"/>
    <w:family w:val="swiss"/>
    <w:pitch w:val="variable"/>
  </w:font>
  <w:font w:name="Arial">
    <w:charset w:val="01"/>
    <w:family w:val="swiss"/>
    <w:pitch w:val="variable"/>
  </w:font>
  <w:font w:name="Open Sans">
    <w:charset w:val="01"/>
    <w:family w:val="swiss"/>
    <w:pitch w:val="variable"/>
  </w:font>
  <w:font w:name="PT Astra Serif">
    <w:charset w:val="01"/>
    <w:family w:val="roman"/>
    <w:pitch w:val="variable"/>
  </w:font>
  <w:font w:name="XO Thames">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jc w:val="right"/>
      <w:rPr>
        <w:rFonts w:ascii="Arial" w:hAnsi="Arial" w:cs="Arial"/>
        <w:sz w:val="20"/>
        <w:szCs w:val="20"/>
        <w:lang w:val="en-US"/>
      </w:rPr>
    </w:pPr>
    <w:r>
      <w:rPr>
        <w:rFonts w:cs="Arial" w:ascii="Arial" w:hAnsi="Arial"/>
        <w:sz w:val="20"/>
        <w:szCs w:val="20"/>
        <w:lang w:val="en-US"/>
      </w:rPr>
      <w:fldChar w:fldCharType="begin"/>
    </w:r>
    <w:r>
      <w:rPr>
        <w:sz w:val="20"/>
        <w:szCs w:val="20"/>
        <w:rFonts w:cs="Arial" w:ascii="Arial" w:hAnsi="Arial"/>
        <w:lang w:val="en-US"/>
      </w:rPr>
      <w:instrText xml:space="preserve"> PAGE </w:instrText>
    </w:r>
    <w:r>
      <w:rPr>
        <w:sz w:val="20"/>
        <w:szCs w:val="20"/>
        <w:rFonts w:cs="Arial" w:ascii="Arial" w:hAnsi="Arial"/>
        <w:lang w:val="en-US"/>
      </w:rPr>
      <w:fldChar w:fldCharType="separate"/>
    </w:r>
    <w:r>
      <w:rPr>
        <w:sz w:val="20"/>
        <w:szCs w:val="20"/>
        <w:rFonts w:cs="Arial" w:ascii="Arial" w:hAnsi="Arial"/>
        <w:lang w:val="en-US"/>
      </w:rPr>
      <w:t>9</w:t>
    </w:r>
    <w:r>
      <w:rPr>
        <w:sz w:val="20"/>
        <w:szCs w:val="20"/>
        <w:rFonts w:cs="Arial" w:ascii="Arial" w:hAnsi="Arial"/>
        <w:lang w:val="en-U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jc w:val="right"/>
      <w:rPr>
        <w:rFonts w:ascii="Arial" w:hAnsi="Arial" w:cs="Arial"/>
        <w:sz w:val="20"/>
        <w:szCs w:val="20"/>
        <w:lang w:val="en-US"/>
      </w:rPr>
    </w:pPr>
    <w:r>
      <w:rPr>
        <w:rFonts w:cs="Arial" w:ascii="Arial" w:hAnsi="Arial"/>
        <w:sz w:val="20"/>
        <w:szCs w:val="20"/>
        <w:lang w:val="en-US"/>
      </w:rPr>
      <w:fldChar w:fldCharType="begin"/>
    </w:r>
    <w:r>
      <w:rPr>
        <w:sz w:val="20"/>
        <w:szCs w:val="20"/>
        <w:rFonts w:cs="Arial" w:ascii="Arial" w:hAnsi="Arial"/>
        <w:lang w:val="en-US"/>
      </w:rPr>
      <w:instrText xml:space="preserve"> PAGE </w:instrText>
    </w:r>
    <w:r>
      <w:rPr>
        <w:sz w:val="20"/>
        <w:szCs w:val="20"/>
        <w:rFonts w:cs="Arial" w:ascii="Arial" w:hAnsi="Arial"/>
        <w:lang w:val="en-US"/>
      </w:rPr>
      <w:fldChar w:fldCharType="separate"/>
    </w:r>
    <w:r>
      <w:rPr>
        <w:sz w:val="20"/>
        <w:szCs w:val="20"/>
        <w:rFonts w:cs="Arial" w:ascii="Arial" w:hAnsi="Arial"/>
        <w:lang w:val="en-US"/>
      </w:rPr>
      <w:t>9</w:t>
    </w:r>
    <w:r>
      <w:rPr>
        <w:sz w:val="20"/>
        <w:szCs w:val="20"/>
        <w:rFonts w:cs="Arial" w:ascii="Arial" w:hAnsi="Arial"/>
        <w:lang w:val="en-U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b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outline w:val="false"/>
        <w:dstrike w:val="false"/>
        <w:strike w:val="false"/>
        <w:vertAlign w:val="baseline"/>
        <w:position w:val="0"/>
        <w:sz w:val="24"/>
        <w:sz w:val="24"/>
        <w:spacing w:val="0"/>
        <w:i w:val="false"/>
        <w:shadow w:val="false"/>
        <w:u w:val="none"/>
        <w:b w:val="false"/>
        <w:kern w:val="0"/>
        <w:szCs w:val="24"/>
        <w:iCs w:val="false"/>
        <w:bCs w:val="false"/>
        <w:w w:val="100"/>
        <w:emboss w:val="false"/>
        <w:imprint w:val="false"/>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outline w:val="false"/>
        <w:dstrike w:val="false"/>
        <w:strike w:val="false"/>
        <w:vertAlign w:val="baseline"/>
        <w:position w:val="0"/>
        <w:sz w:val="20"/>
        <w:sz w:val="20"/>
        <w:spacing w:val="0"/>
        <w:i w:val="false"/>
        <w:shadow w:val="false"/>
        <w:u w:val="none"/>
        <w:b w:val="false"/>
        <w:kern w:val="0"/>
        <w:iCs w:val="false"/>
        <w:bCs w:val="false"/>
        <w:w w:val="100"/>
        <w:emboss w:val="false"/>
        <w:imprint w:val="false"/>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3">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928" w:hanging="360"/>
      </w:pPr>
      <w:rPr>
        <w:b/>
        <w:rFonts w:eastAsia="Calibr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6"/>
      <w:numFmt w:val="decimal"/>
      <w:lvlText w:val="%1."/>
      <w:lvlJc w:val="left"/>
      <w:pPr>
        <w:tabs>
          <w:tab w:val="num" w:pos="0"/>
        </w:tabs>
        <w:ind w:left="360" w:hanging="360"/>
      </w:pPr>
      <w:rPr/>
    </w:lvl>
    <w:lvl w:ilvl="1">
      <w:start w:val="1"/>
      <w:numFmt w:val="decimal"/>
      <w:lvlText w:val="%1.%2."/>
      <w:lvlJc w:val="left"/>
      <w:pPr>
        <w:tabs>
          <w:tab w:val="num" w:pos="0"/>
        </w:tabs>
        <w:ind w:left="1211"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334" w:hanging="108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112" w:hanging="1440"/>
      </w:pPr>
      <w:rPr/>
    </w:lvl>
  </w:abstractNum>
  <w:abstractNum w:abstractNumId="7">
    <w:lvl w:ilvl="0">
      <w:start w:val="2"/>
      <w:numFmt w:val="decimal"/>
      <w:lvlText w:val="%1."/>
      <w:lvlJc w:val="left"/>
      <w:pPr>
        <w:tabs>
          <w:tab w:val="num" w:pos="0"/>
        </w:tabs>
        <w:ind w:left="360" w:hanging="360"/>
      </w:pPr>
      <w:rPr/>
    </w:lvl>
    <w:lvl w:ilvl="1">
      <w:start w:val="4"/>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5976" w:hanging="1440"/>
      </w:pPr>
      <w:rPr/>
    </w:lvl>
  </w:abstractNum>
  <w:abstractNum w:abstractNumId="8">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9">
    <w:lvl w:ilvl="0">
      <w:start w:val="2"/>
      <w:numFmt w:val="decimal"/>
      <w:lvlText w:val="%1."/>
      <w:lvlJc w:val="left"/>
      <w:pPr>
        <w:tabs>
          <w:tab w:val="num" w:pos="0"/>
        </w:tabs>
        <w:ind w:left="540" w:hanging="540"/>
      </w:pPr>
      <w:rPr>
        <w:b/>
      </w:rPr>
    </w:lvl>
    <w:lvl w:ilvl="1">
      <w:start w:val="1"/>
      <w:numFmt w:val="decimal"/>
      <w:lvlText w:val="%1.%2."/>
      <w:lvlJc w:val="left"/>
      <w:pPr>
        <w:tabs>
          <w:tab w:val="num" w:pos="0"/>
        </w:tabs>
        <w:ind w:left="540" w:hanging="540"/>
      </w:pPr>
      <w:rPr>
        <w:b/>
      </w:rPr>
    </w:lvl>
    <w:lvl w:ilvl="2">
      <w:start w:val="2"/>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45f4"/>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3">
    <w:name w:val="heading 3"/>
    <w:basedOn w:val="Normal"/>
    <w:link w:val="3"/>
    <w:uiPriority w:val="9"/>
    <w:qFormat/>
    <w:rsid w:val="00596698"/>
    <w:pPr>
      <w:suppressAutoHyphens w:val="false"/>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Style13" w:customStyle="1">
    <w:name w:val="Текст Знак"/>
    <w:link w:val="PlainText"/>
    <w:qFormat/>
    <w:rsid w:val="009f45f4"/>
    <w:rPr>
      <w:rFonts w:ascii="Courier New" w:hAnsi="Courier New" w:eastAsia="Times New Roman" w:cs="Courier New"/>
      <w:sz w:val="20"/>
      <w:szCs w:val="20"/>
      <w:lang w:eastAsia="ru-RU"/>
    </w:rPr>
  </w:style>
  <w:style w:type="character" w:styleId="Style14" w:customStyle="1">
    <w:name w:val="Без интервала Знак"/>
    <w:link w:val="NoSpacing"/>
    <w:qFormat/>
    <w:rsid w:val="00782140"/>
    <w:rPr>
      <w:rFonts w:eastAsia="Times New Roman"/>
      <w:sz w:val="22"/>
      <w:szCs w:val="22"/>
      <w:lang w:bidi="ar-SA"/>
    </w:rPr>
  </w:style>
  <w:style w:type="character" w:styleId="Style15" w:customStyle="1">
    <w:name w:val="Текст выноски Знак"/>
    <w:link w:val="BalloonText"/>
    <w:uiPriority w:val="99"/>
    <w:semiHidden/>
    <w:qFormat/>
    <w:rsid w:val="00235280"/>
    <w:rPr>
      <w:rFonts w:ascii="Tahoma" w:hAnsi="Tahoma" w:eastAsia="Times New Roman" w:cs="Tahoma"/>
      <w:sz w:val="16"/>
      <w:szCs w:val="16"/>
    </w:rPr>
  </w:style>
  <w:style w:type="character" w:styleId="Hyperlink">
    <w:name w:val="Hyperlink"/>
    <w:uiPriority w:val="99"/>
    <w:rsid w:val="004007b7"/>
    <w:rPr>
      <w:rFonts w:cs="Times New Roman"/>
      <w:color w:val="0000FF"/>
      <w:u w:val="single"/>
    </w:rPr>
  </w:style>
  <w:style w:type="character" w:styleId="Style16" w:customStyle="1">
    <w:name w:val="Верхний колонтитул Знак"/>
    <w:uiPriority w:val="99"/>
    <w:qFormat/>
    <w:rsid w:val="00c8164a"/>
    <w:rPr>
      <w:rFonts w:ascii="Times New Roman" w:hAnsi="Times New Roman" w:eastAsia="Times New Roman"/>
      <w:sz w:val="24"/>
      <w:szCs w:val="24"/>
    </w:rPr>
  </w:style>
  <w:style w:type="character" w:styleId="Style17" w:customStyle="1">
    <w:name w:val="Нижний колонтитул Знак"/>
    <w:uiPriority w:val="99"/>
    <w:qFormat/>
    <w:rsid w:val="00c8164a"/>
    <w:rPr>
      <w:rFonts w:ascii="Times New Roman" w:hAnsi="Times New Roman" w:eastAsia="Times New Roman"/>
      <w:sz w:val="24"/>
      <w:szCs w:val="24"/>
    </w:rPr>
  </w:style>
  <w:style w:type="character" w:styleId="Style18" w:customStyle="1">
    <w:name w:val="Основной текст Знак"/>
    <w:basedOn w:val="DefaultParagraphFont"/>
    <w:qFormat/>
    <w:rsid w:val="0089207d"/>
    <w:rPr>
      <w:rFonts w:ascii="Times New Roman" w:hAnsi="Times New Roman" w:eastAsia="Times New Roman"/>
      <w:sz w:val="24"/>
      <w:szCs w:val="24"/>
    </w:rPr>
  </w:style>
  <w:style w:type="character" w:styleId="CharChar" w:customStyle="1">
    <w:name w:val="Обычный Char Char"/>
    <w:link w:val="12"/>
    <w:qFormat/>
    <w:locked/>
    <w:rsid w:val="005e10df"/>
    <w:rPr>
      <w:rFonts w:ascii="Times New Roman" w:hAnsi="Times New Roman" w:eastAsia="Times New Roman"/>
      <w:sz w:val="24"/>
    </w:rPr>
  </w:style>
  <w:style w:type="character" w:styleId="normaltextrun" w:customStyle="1">
    <w:name w:val="normaltextrun"/>
    <w:basedOn w:val="DefaultParagraphFont"/>
    <w:qFormat/>
    <w:rsid w:val="005e10df"/>
    <w:rPr/>
  </w:style>
  <w:style w:type="character" w:styleId="ConsPlusNormal" w:customStyle="1">
    <w:name w:val="ConsPlusNormal Знак"/>
    <w:link w:val="ConsPlusNormal1"/>
    <w:qFormat/>
    <w:rsid w:val="005e10df"/>
    <w:rPr>
      <w:rFonts w:ascii="Arial" w:hAnsi="Arial" w:eastAsia="Times New Roman" w:cs="Arial"/>
      <w:sz w:val="24"/>
      <w:szCs w:val="24"/>
    </w:rPr>
  </w:style>
  <w:style w:type="character" w:styleId="1" w:customStyle="1">
    <w:name w:val="Основной текст Знак1"/>
    <w:basedOn w:val="DefaultParagraphFont"/>
    <w:uiPriority w:val="99"/>
    <w:semiHidden/>
    <w:qFormat/>
    <w:rsid w:val="005e10df"/>
    <w:rPr>
      <w:rFonts w:ascii="Times New Roman" w:hAnsi="Times New Roman"/>
    </w:rPr>
  </w:style>
  <w:style w:type="character" w:styleId="3" w:customStyle="1">
    <w:name w:val="Заголовок 3 Знак"/>
    <w:basedOn w:val="DefaultParagraphFont"/>
    <w:uiPriority w:val="9"/>
    <w:qFormat/>
    <w:rsid w:val="00596698"/>
    <w:rPr>
      <w:rFonts w:ascii="Times New Roman" w:hAnsi="Times New Roman" w:eastAsia="Times New Roman"/>
      <w:b/>
      <w:bCs/>
      <w:sz w:val="27"/>
      <w:szCs w:val="27"/>
    </w:rPr>
  </w:style>
  <w:style w:type="character" w:styleId="text-secondary1" w:customStyle="1">
    <w:name w:val="text-secondary1"/>
    <w:basedOn w:val="DefaultParagraphFont"/>
    <w:qFormat/>
    <w:rsid w:val="00596698"/>
    <w:rPr/>
  </w:style>
  <w:style w:type="character" w:styleId="text-base1" w:customStyle="1">
    <w:name w:val="text-base1"/>
    <w:basedOn w:val="DefaultParagraphFont"/>
    <w:qFormat/>
    <w:rsid w:val="00596698"/>
    <w:rPr/>
  </w:style>
  <w:style w:type="character" w:styleId="11" w:customStyle="1">
    <w:name w:val="Заголовок №1_"/>
    <w:basedOn w:val="DefaultParagraphFont"/>
    <w:link w:val="14"/>
    <w:qFormat/>
    <w:rsid w:val="00d6396c"/>
    <w:rPr>
      <w:rFonts w:ascii="Times New Roman" w:hAnsi="Times New Roman" w:eastAsia="Times New Roman"/>
      <w:b/>
      <w:bCs/>
      <w:shd w:fill="FFFFFF" w:val="clear"/>
    </w:rPr>
  </w:style>
  <w:style w:type="character" w:styleId="Style19" w:customStyle="1">
    <w:name w:val="Основной текст_"/>
    <w:basedOn w:val="DefaultParagraphFont"/>
    <w:link w:val="15"/>
    <w:qFormat/>
    <w:rsid w:val="00d6396c"/>
    <w:rPr>
      <w:rFonts w:ascii="Times New Roman" w:hAnsi="Times New Roman" w:eastAsia="Times New Roman"/>
      <w:shd w:fill="FFFFFF" w:val="clear"/>
    </w:rPr>
  </w:style>
  <w:style w:type="paragraph" w:styleId="Style20" w:customStyle="1">
    <w:name w:val="Заголовок"/>
    <w:basedOn w:val="Normal"/>
    <w:next w:val="BodyText"/>
    <w:qFormat/>
    <w:rsid w:val="005a7fe1"/>
    <w:pPr>
      <w:keepNext w:val="true"/>
      <w:spacing w:before="240" w:after="120"/>
    </w:pPr>
    <w:rPr>
      <w:rFonts w:ascii="Open Sans" w:hAnsi="Open Sans" w:eastAsia="DejaVu Sans" w:cs="Droid Sans"/>
      <w:sz w:val="28"/>
      <w:szCs w:val="28"/>
    </w:rPr>
  </w:style>
  <w:style w:type="paragraph" w:styleId="BodyText">
    <w:name w:val="Body Text"/>
    <w:basedOn w:val="Normal"/>
    <w:link w:val="Style18"/>
    <w:rsid w:val="0089207d"/>
    <w:pPr>
      <w:spacing w:before="0" w:after="120"/>
    </w:pPr>
    <w:rPr/>
  </w:style>
  <w:style w:type="paragraph" w:styleId="List">
    <w:name w:val="List"/>
    <w:basedOn w:val="BodyText"/>
    <w:rsid w:val="005a7fe1"/>
    <w:pPr/>
    <w:rPr>
      <w:rFonts w:cs="Droid Sans"/>
    </w:rPr>
  </w:style>
  <w:style w:type="paragraph" w:styleId="Caption">
    <w:name w:val="caption"/>
    <w:basedOn w:val="Normal"/>
    <w:qFormat/>
    <w:rsid w:val="005a7fe1"/>
    <w:pPr>
      <w:suppressLineNumbers/>
      <w:spacing w:before="120" w:after="120"/>
    </w:pPr>
    <w:rPr>
      <w:rFonts w:cs="Droid Sans"/>
      <w:i/>
      <w:iCs/>
    </w:rPr>
  </w:style>
  <w:style w:type="paragraph" w:styleId="Style21">
    <w:name w:val="Указатель"/>
    <w:basedOn w:val="Normal"/>
    <w:qFormat/>
    <w:pPr>
      <w:suppressLineNumbers/>
    </w:pPr>
    <w:rPr>
      <w:rFonts w:cs="Droid Sans"/>
    </w:rPr>
  </w:style>
  <w:style w:type="paragraph" w:styleId="IndexHeading">
    <w:name w:val="index heading"/>
    <w:basedOn w:val="Normal"/>
    <w:qFormat/>
    <w:rsid w:val="005a7fe1"/>
    <w:pPr>
      <w:suppressLineNumbers/>
    </w:pPr>
    <w:rPr>
      <w:rFonts w:cs="Droid Sans"/>
    </w:rPr>
  </w:style>
  <w:style w:type="paragraph" w:styleId="ConsPlusNormal1" w:customStyle="1">
    <w:name w:val="ConsPlusNormal"/>
    <w:link w:val="ConsPlusNormal"/>
    <w:qFormat/>
    <w:rsid w:val="009f45f4"/>
    <w:pPr>
      <w:widowControl/>
      <w:suppressAutoHyphens w:val="true"/>
      <w:bidi w:val="0"/>
      <w:spacing w:before="0" w:after="0"/>
      <w:ind w:firstLine="720"/>
      <w:jc w:val="left"/>
    </w:pPr>
    <w:rPr>
      <w:rFonts w:ascii="Arial" w:hAnsi="Arial" w:eastAsia="Times New Roman" w:cs="Arial"/>
      <w:color w:val="auto"/>
      <w:kern w:val="0"/>
      <w:sz w:val="24"/>
      <w:szCs w:val="24"/>
      <w:lang w:val="ru-RU" w:eastAsia="ru-RU" w:bidi="ar-SA"/>
    </w:rPr>
  </w:style>
  <w:style w:type="paragraph" w:styleId="PlainText">
    <w:name w:val="Plain Text"/>
    <w:basedOn w:val="Normal"/>
    <w:link w:val="Style13"/>
    <w:qFormat/>
    <w:rsid w:val="009f45f4"/>
    <w:pPr/>
    <w:rPr>
      <w:rFonts w:ascii="Courier New" w:hAnsi="Courier New"/>
      <w:sz w:val="20"/>
      <w:szCs w:val="20"/>
    </w:rPr>
  </w:style>
  <w:style w:type="paragraph" w:styleId="12" w:customStyle="1">
    <w:name w:val="Обычный1"/>
    <w:link w:val="CharChar"/>
    <w:qFormat/>
    <w:rsid w:val="009f45f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раздел"/>
    <w:basedOn w:val="Normal"/>
    <w:next w:val="-1"/>
    <w:qFormat/>
    <w:rsid w:val="009f45f4"/>
    <w:pPr>
      <w:keepNext w:val="true"/>
      <w:numPr>
        <w:ilvl w:val="0"/>
        <w:numId w:val="2"/>
      </w:numPr>
      <w:tabs>
        <w:tab w:val="clear" w:pos="708"/>
        <w:tab w:val="left" w:pos="540" w:leader="none"/>
      </w:tabs>
      <w:spacing w:before="360" w:after="120"/>
      <w:jc w:val="center"/>
      <w:outlineLvl w:val="3"/>
    </w:pPr>
    <w:rPr>
      <w:b/>
      <w:bCs/>
      <w:smallCaps/>
    </w:rPr>
  </w:style>
  <w:style w:type="paragraph" w:styleId="-1" w:customStyle="1">
    <w:name w:val="Контракт-пункт"/>
    <w:basedOn w:val="Normal"/>
    <w:qFormat/>
    <w:rsid w:val="009f45f4"/>
    <w:pPr>
      <w:numPr>
        <w:ilvl w:val="1"/>
        <w:numId w:val="2"/>
      </w:numPr>
      <w:tabs>
        <w:tab w:val="clear" w:pos="708"/>
        <w:tab w:val="left" w:pos="1391" w:leader="none"/>
      </w:tabs>
      <w:ind w:left="1391"/>
      <w:jc w:val="both"/>
    </w:pPr>
    <w:rPr/>
  </w:style>
  <w:style w:type="paragraph" w:styleId="-2" w:customStyle="1">
    <w:name w:val="Контракт-подпункт"/>
    <w:basedOn w:val="Normal"/>
    <w:qFormat/>
    <w:rsid w:val="009f45f4"/>
    <w:pPr>
      <w:numPr>
        <w:ilvl w:val="2"/>
        <w:numId w:val="2"/>
      </w:numPr>
      <w:jc w:val="both"/>
    </w:pPr>
    <w:rPr/>
  </w:style>
  <w:style w:type="paragraph" w:styleId="-3" w:customStyle="1">
    <w:name w:val="Контракт-подподпункт"/>
    <w:basedOn w:val="Normal"/>
    <w:qFormat/>
    <w:rsid w:val="009f45f4"/>
    <w:pPr>
      <w:numPr>
        <w:ilvl w:val="3"/>
        <w:numId w:val="2"/>
      </w:numPr>
      <w:jc w:val="both"/>
    </w:pPr>
    <w:rPr/>
  </w:style>
  <w:style w:type="paragraph" w:styleId="2" w:customStyle="1">
    <w:name w:val="Обычный2"/>
    <w:qFormat/>
    <w:rsid w:val="009f45f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NoSpacing">
    <w:name w:val="No Spacing"/>
    <w:link w:val="Style14"/>
    <w:qFormat/>
    <w:rsid w:val="00782140"/>
    <w:pPr>
      <w:widowControl/>
      <w:suppressAutoHyphens w:val="true"/>
      <w:bidi w:val="0"/>
      <w:spacing w:before="0" w:after="0"/>
      <w:jc w:val="left"/>
    </w:pPr>
    <w:rPr>
      <w:rFonts w:eastAsia="Times New Roman" w:ascii="Calibri" w:hAnsi="Calibri" w:cs="Times New Roman"/>
      <w:color w:val="auto"/>
      <w:kern w:val="0"/>
      <w:sz w:val="22"/>
      <w:szCs w:val="22"/>
      <w:lang w:val="ru-RU" w:eastAsia="ru-RU" w:bidi="ar-SA"/>
    </w:rPr>
  </w:style>
  <w:style w:type="paragraph" w:styleId="BalloonText">
    <w:name w:val="Balloon Text"/>
    <w:basedOn w:val="Normal"/>
    <w:link w:val="Style15"/>
    <w:uiPriority w:val="99"/>
    <w:semiHidden/>
    <w:unhideWhenUsed/>
    <w:qFormat/>
    <w:rsid w:val="00235280"/>
    <w:pPr/>
    <w:rPr>
      <w:rFonts w:ascii="Tahoma" w:hAnsi="Tahoma"/>
      <w:sz w:val="16"/>
      <w:szCs w:val="16"/>
    </w:rPr>
  </w:style>
  <w:style w:type="paragraph" w:styleId="HeaderandFooter" w:customStyle="1">
    <w:name w:val="Header and Footer"/>
    <w:basedOn w:val="Normal"/>
    <w:qFormat/>
    <w:rsid w:val="005a7fe1"/>
    <w:pPr/>
    <w:rPr/>
  </w:style>
  <w:style w:type="paragraph" w:styleId="Header">
    <w:name w:val="header"/>
    <w:basedOn w:val="Normal"/>
    <w:link w:val="Style16"/>
    <w:uiPriority w:val="99"/>
    <w:unhideWhenUsed/>
    <w:rsid w:val="00c8164a"/>
    <w:pPr>
      <w:tabs>
        <w:tab w:val="clear" w:pos="708"/>
        <w:tab w:val="center" w:pos="4677" w:leader="none"/>
        <w:tab w:val="right" w:pos="9355" w:leader="none"/>
      </w:tabs>
    </w:pPr>
    <w:rPr/>
  </w:style>
  <w:style w:type="paragraph" w:styleId="Footer">
    <w:name w:val="footer"/>
    <w:basedOn w:val="Normal"/>
    <w:link w:val="Style17"/>
    <w:uiPriority w:val="99"/>
    <w:unhideWhenUsed/>
    <w:rsid w:val="00c8164a"/>
    <w:pPr>
      <w:tabs>
        <w:tab w:val="clear" w:pos="708"/>
        <w:tab w:val="center" w:pos="4677" w:leader="none"/>
        <w:tab w:val="right" w:pos="9355" w:leader="none"/>
      </w:tabs>
    </w:pPr>
    <w:rPr/>
  </w:style>
  <w:style w:type="paragraph" w:styleId="ConsNonformat" w:customStyle="1">
    <w:name w:val="ConsNonformat"/>
    <w:qFormat/>
    <w:rsid w:val="00605658"/>
    <w:pPr>
      <w:widowControl w:val="false"/>
      <w:suppressAutoHyphens w:val="true"/>
      <w:bidi w:val="0"/>
      <w:snapToGrid w:val="false"/>
      <w:spacing w:before="0" w:after="0"/>
      <w:jc w:val="left"/>
    </w:pPr>
    <w:rPr>
      <w:rFonts w:ascii="Courier New" w:hAnsi="Courier New" w:eastAsia="Times New Roman" w:cs="Courier New"/>
      <w:color w:val="auto"/>
      <w:kern w:val="0"/>
      <w:sz w:val="20"/>
      <w:szCs w:val="20"/>
      <w:lang w:eastAsia="ar-SA" w:val="ru-RU" w:bidi="ar-SA"/>
    </w:rPr>
  </w:style>
  <w:style w:type="paragraph" w:styleId="Style22" w:customStyle="1">
    <w:name w:val="Содержимое врезки"/>
    <w:basedOn w:val="Normal"/>
    <w:qFormat/>
    <w:rsid w:val="005a7fe1"/>
    <w:pPr/>
    <w:rPr/>
  </w:style>
  <w:style w:type="paragraph" w:styleId="ListParagraph">
    <w:name w:val="List Paragraph"/>
    <w:basedOn w:val="Normal"/>
    <w:uiPriority w:val="34"/>
    <w:qFormat/>
    <w:rsid w:val="005e10df"/>
    <w:pPr>
      <w:widowControl w:val="false"/>
      <w:suppressAutoHyphens w:val="false"/>
      <w:spacing w:before="0" w:after="0"/>
      <w:ind w:left="720"/>
      <w:contextualSpacing/>
    </w:pPr>
    <w:rPr>
      <w:rFonts w:eastAsia="Calibri"/>
      <w:sz w:val="20"/>
      <w:szCs w:val="20"/>
    </w:rPr>
  </w:style>
  <w:style w:type="paragraph" w:styleId="111" w:customStyle="1">
    <w:name w:val="Обычный11"/>
    <w:qFormat/>
    <w:rsid w:val="005e10df"/>
    <w:pPr>
      <w:widowControl w:val="false"/>
      <w:suppressAutoHyphens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3" w:customStyle="1">
    <w:name w:val="Без интервала1"/>
    <w:qFormat/>
    <w:rsid w:val="005e10df"/>
    <w:pPr>
      <w:widowControl w:val="false"/>
      <w:suppressAutoHyphens w:val="true"/>
      <w:bidi w:val="0"/>
      <w:spacing w:before="0" w:after="0"/>
      <w:jc w:val="left"/>
    </w:pPr>
    <w:rPr>
      <w:rFonts w:cs="Calibri" w:ascii="Calibri" w:hAnsi="Calibri" w:eastAsia="Calibri"/>
      <w:color w:val="auto"/>
      <w:kern w:val="2"/>
      <w:sz w:val="22"/>
      <w:szCs w:val="22"/>
      <w:lang w:eastAsia="ar-SA" w:val="ru-RU" w:bidi="ar-SA"/>
    </w:rPr>
  </w:style>
  <w:style w:type="paragraph" w:styleId="NormalWeb">
    <w:name w:val="Normal (Web)"/>
    <w:basedOn w:val="Normal"/>
    <w:uiPriority w:val="99"/>
    <w:unhideWhenUsed/>
    <w:qFormat/>
    <w:rsid w:val="005e10df"/>
    <w:pPr>
      <w:suppressAutoHyphens w:val="false"/>
      <w:spacing w:lineRule="auto" w:line="259" w:before="0" w:after="160"/>
    </w:pPr>
    <w:rPr>
      <w:rFonts w:eastAsia="Calibri"/>
      <w:lang w:eastAsia="en-US"/>
    </w:rPr>
  </w:style>
  <w:style w:type="paragraph" w:styleId="22415a7098807100msonospacingmrcssattr" w:customStyle="1">
    <w:name w:val="22415a7098807100msonospacing_mr_css_attr"/>
    <w:basedOn w:val="Normal"/>
    <w:qFormat/>
    <w:rsid w:val="005e10df"/>
    <w:pPr>
      <w:suppressAutoHyphens w:val="false"/>
      <w:spacing w:beforeAutospacing="1" w:afterAutospacing="1"/>
    </w:pPr>
    <w:rPr/>
  </w:style>
  <w:style w:type="paragraph" w:styleId="text-base" w:customStyle="1">
    <w:name w:val="text-base"/>
    <w:basedOn w:val="Normal"/>
    <w:qFormat/>
    <w:rsid w:val="00596698"/>
    <w:pPr>
      <w:suppressAutoHyphens w:val="false"/>
      <w:spacing w:beforeAutospacing="1" w:afterAutospacing="1"/>
    </w:pPr>
    <w:rPr/>
  </w:style>
  <w:style w:type="paragraph" w:styleId="text-secondary" w:customStyle="1">
    <w:name w:val="text-secondary"/>
    <w:basedOn w:val="Normal"/>
    <w:qFormat/>
    <w:rsid w:val="00596698"/>
    <w:pPr>
      <w:suppressAutoHyphens w:val="false"/>
      <w:spacing w:beforeAutospacing="1" w:afterAutospacing="1"/>
    </w:pPr>
    <w:rPr/>
  </w:style>
  <w:style w:type="paragraph" w:styleId="14" w:customStyle="1">
    <w:name w:val="Заголовок №1"/>
    <w:basedOn w:val="Normal"/>
    <w:link w:val="11"/>
    <w:qFormat/>
    <w:rsid w:val="00d6396c"/>
    <w:pPr>
      <w:widowControl w:val="false"/>
      <w:shd w:val="clear" w:color="auto" w:fill="FFFFFF"/>
      <w:suppressAutoHyphens w:val="false"/>
      <w:spacing w:before="0" w:after="280"/>
      <w:jc w:val="center"/>
      <w:outlineLvl w:val="0"/>
    </w:pPr>
    <w:rPr>
      <w:b/>
      <w:bCs/>
      <w:sz w:val="20"/>
      <w:szCs w:val="20"/>
    </w:rPr>
  </w:style>
  <w:style w:type="paragraph" w:styleId="15" w:customStyle="1">
    <w:name w:val="Основной текст1"/>
    <w:basedOn w:val="Normal"/>
    <w:link w:val="Style19"/>
    <w:qFormat/>
    <w:rsid w:val="00d6396c"/>
    <w:pPr>
      <w:widowControl w:val="false"/>
      <w:shd w:val="clear" w:color="auto" w:fill="FFFFFF"/>
      <w:suppressAutoHyphens w:val="false"/>
      <w:spacing w:lineRule="auto" w:line="264"/>
      <w:ind w:firstLine="400"/>
    </w:pPr>
    <w:rPr>
      <w:sz w:val="20"/>
      <w:szCs w:val="20"/>
    </w:rPr>
  </w:style>
  <w:style w:type="numbering" w:styleId="Style23" w:customStyle="1">
    <w:name w:val="Без списка"/>
    <w:uiPriority w:val="99"/>
    <w:semiHidden/>
    <w:unhideWhenUsed/>
    <w:qFormat/>
    <w:rsid w:val="005a7fe1"/>
  </w:style>
  <w:style w:type="numbering" w:styleId="16" w:customStyle="1">
    <w:name w:val="Нет списка1"/>
    <w:uiPriority w:val="99"/>
    <w:semiHidden/>
    <w:unhideWhenUsed/>
    <w:qFormat/>
    <w:rsid w:val="005e10df"/>
  </w:style>
  <w:style w:type="numbering" w:styleId="21" w:customStyle="1">
    <w:name w:val="Нет списка2"/>
    <w:uiPriority w:val="99"/>
    <w:semiHidden/>
    <w:unhideWhenUsed/>
    <w:qFormat/>
    <w:rsid w:val="005e10df"/>
  </w:style>
  <w:style w:type="numbering" w:styleId="31" w:customStyle="1">
    <w:name w:val="Нет списка3"/>
    <w:uiPriority w:val="99"/>
    <w:semiHidden/>
    <w:unhideWhenUsed/>
    <w:qFormat/>
    <w:rsid w:val="005e10df"/>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7">
    <w:name w:val="Table Grid"/>
    <w:basedOn w:val="a1"/>
    <w:uiPriority w:val="59"/>
    <w:rsid w:val="005e10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39"/>
    <w:rsid w:val="005e10d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Сетка таблицы2"/>
    <w:basedOn w:val="a1"/>
    <w:uiPriority w:val="59"/>
    <w:rsid w:val="005e10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Сетка таблицы11"/>
    <w:basedOn w:val="a1"/>
    <w:uiPriority w:val="39"/>
    <w:rsid w:val="005e10d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5D22BD195EDADE6C0B22A05846404E7EB91BC170E22A997010D8D075D81BF49C726F1BF40DE05BA116BEB6A81A7KBX" TargetMode="External"/><Relationship Id="rId3" Type="http://schemas.openxmlformats.org/officeDocument/2006/relationships/hyperlink" Target="mailto:bazaois@mail.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glossaryDocument" Target="glossary/document.xml"/><Relationship Id="rId15"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B558F8C1934384A85CCE7573D7F95C"/>
        <w:category>
          <w:name w:val="Общие"/>
          <w:gallery w:val="placeholder"/>
        </w:category>
        <w:types>
          <w:type w:val="bbPlcHdr"/>
        </w:types>
        <w:behaviors>
          <w:behavior w:val="content"/>
        </w:behaviors>
        <w:guid w:val="{BCC21629-52F0-43DF-988E-FDA401DFA8AE}"/>
      </w:docPartPr>
      <w:docPartBody>
        <w:p w:rsidR="002E136D" w:rsidRDefault="00FF470D" w:rsidP="00FF470D">
          <w:pPr>
            <w:pStyle w:val="66B558F8C1934384A85CCE7573D7F95C"/>
          </w:pPr>
          <w:r w:rsidRPr="00873575">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23DC5"/>
    <w:rsid w:val="00023DC5"/>
    <w:rsid w:val="002E136D"/>
    <w:rsid w:val="00557AEF"/>
    <w:rsid w:val="00EF6DBC"/>
    <w:rsid w:val="00FF4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7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F470D"/>
    <w:rPr>
      <w:color w:val="808080"/>
    </w:rPr>
  </w:style>
  <w:style w:type="paragraph" w:customStyle="1" w:styleId="D3A1D3D81E3E4FEEB719BE4C17F37CBB">
    <w:name w:val="D3A1D3D81E3E4FEEB719BE4C17F37CBB"/>
    <w:rsid w:val="00023DC5"/>
  </w:style>
  <w:style w:type="paragraph" w:customStyle="1" w:styleId="66B558F8C1934384A85CCE7573D7F95C">
    <w:name w:val="66B558F8C1934384A85CCE7573D7F95C"/>
    <w:rsid w:val="00FF470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6352C-918A-4097-9AAE-0A6674F1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LibreOffice/24.8.4.1$Linux_X86_64 LibreOffice_project/480$Build-1</Application>
  <AppVersion>15.0000</AppVersion>
  <Pages>9</Pages>
  <Words>4544</Words>
  <Characters>33060</Characters>
  <CharactersWithSpaces>38025</CharactersWithSpaces>
  <Paragraphs>278</Paragraphs>
  <Company>Kraftway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2026-06-29T11:08:00Z</dcterms:created>
  <dc:creator>User</dc:creator>
  <dc:description/>
  <dc:language>ru-RU</dc:language>
  <cp:lastModifiedBy/>
  <cp:lastPrinted>2026-08-18T08:15:00Z</cp:lastPrinted>
  <dcterms:modified xsi:type="dcterms:W3CDTF">2026-08-18T11:34:24Z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