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Договор  № </w:t>
      </w:r>
      <w:r>
        <w:rPr>
          <w:b/>
          <w:bCs/>
        </w:rPr>
        <w:t>17</w:t>
      </w:r>
      <w:r>
        <w:rPr>
          <w:b/>
          <w:bCs/>
        </w:rPr>
        <w:t>/26-</w:t>
      </w:r>
      <w:r>
        <w:rPr>
          <w:b/>
          <w:bCs/>
        </w:rPr>
        <w:t>223</w:t>
      </w:r>
    </w:p>
    <w:p>
      <w:pPr>
        <w:pStyle w:val="Normal"/>
        <w:jc w:val="center"/>
        <w:rPr>
          <w:b/>
          <w:shd w:fill="FFFF00" w:val="clear"/>
        </w:rPr>
      </w:pPr>
      <w:r>
        <w:rPr>
          <w:b/>
          <w:shd w:fill="FFFF00" w:val="clear"/>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shd w:fill="FFFFFF" w:val="clear"/>
        </w:rPr>
        <w:t>(НИИ КПССЗ),</w:t>
      </w:r>
      <w:r>
        <w:rPr>
          <w:color w:val="000000"/>
        </w:rPr>
        <w:t xml:space="preserve"> в лице начальника отдела обеспечения лекарственными препаратами и медицинскими изделиями Ковжун </w:t>
      </w:r>
      <w:r>
        <w:rPr>
          <w:color w:val="000000"/>
        </w:rPr>
        <w:t>Натальи Васильевны</w:t>
      </w:r>
      <w:r>
        <w:rPr>
          <w:color w:val="000000"/>
        </w:rPr>
        <w:t xml:space="preserve">, действующей на основании доверенности от </w:t>
      </w:r>
      <w:r>
        <w:rPr>
          <w:color w:val="000000"/>
        </w:rPr>
        <w:t>29.12.2025</w:t>
      </w:r>
      <w:r>
        <w:rPr>
          <w:color w:val="000000"/>
        </w:rPr>
        <w:t xml:space="preserve">г., именуемое в дальнейшем </w:t>
      </w:r>
      <w:r>
        <w:rPr>
          <w:b/>
          <w:bCs/>
          <w:color w:val="000000"/>
        </w:rPr>
        <w:t>«Заказчик»</w:t>
      </w:r>
      <w:r>
        <w:rPr>
          <w:color w:val="000000"/>
        </w:rPr>
        <w:t xml:space="preserve">, с одной стороны, и </w:t>
      </w:r>
      <w:r>
        <w:rPr>
          <w:color w:val="000000"/>
          <w:shd w:fill="FFFF00" w:val="clear"/>
        </w:rPr>
        <w:t xml:space="preserve">______________________________, в лице __________________, действующего на основании __________________, </w:t>
      </w:r>
      <w:r>
        <w:rPr>
          <w:color w:val="000000"/>
        </w:rPr>
        <w:t xml:space="preserve">  с другой стороны, именуемое в дальнейшем </w:t>
      </w:r>
      <w:r>
        <w:rPr>
          <w:b/>
          <w:bCs/>
          <w:color w:val="000000"/>
        </w:rPr>
        <w:t>«Поставщик»</w:t>
      </w:r>
      <w:r>
        <w:rPr>
          <w:color w:val="000000"/>
        </w:rPr>
        <w:t>, в</w:t>
      </w:r>
      <w:r>
        <w:rPr>
          <w:color w:val="000000"/>
          <w:shd w:fill="FFFFFF" w:val="clear"/>
        </w:rPr>
        <w:t xml:space="preserve"> дальнейшем при совместном упоминании именуемые </w:t>
      </w:r>
      <w:r>
        <w:rPr>
          <w:b/>
          <w:bCs/>
          <w:color w:val="000000"/>
          <w:shd w:fill="FFFFFF" w:val="clear"/>
        </w:rPr>
        <w:t>«Стороны»</w:t>
      </w:r>
      <w:r>
        <w:rPr>
          <w:color w:val="000000"/>
          <w:shd w:fill="FFFFFF" w:val="clear"/>
        </w:rPr>
        <w:t xml:space="preserve">, </w:t>
      </w:r>
      <w:r>
        <w:rPr>
          <w:color w:val="000000"/>
        </w:rPr>
        <w:t>в соответствии с п</w:t>
      </w:r>
      <w:r>
        <w:rPr>
          <w:color w:val="000000"/>
        </w:rPr>
        <w:t>п</w:t>
      </w:r>
      <w:r>
        <w:rPr>
          <w:color w:val="000000"/>
        </w:rPr>
        <w:t xml:space="preserve">. </w:t>
      </w:r>
      <w:r>
        <w:rPr>
          <w:color w:val="000000"/>
        </w:rPr>
        <w:t>5</w:t>
      </w:r>
      <w:r>
        <w:rPr>
          <w:color w:val="000000"/>
        </w:rPr>
        <w:t>4  п.1 раздела 2 главы VI  Положения о закупках НИИ КПССЗ, заключили настоящий договор о нижеследующем:</w:t>
      </w:r>
    </w:p>
    <w:p>
      <w:pPr>
        <w:pStyle w:val="Normal"/>
        <w:spacing w:before="0" w:after="60"/>
        <w:jc w:val="center"/>
        <w:rPr>
          <w:color w:val="000000"/>
        </w:rPr>
      </w:pPr>
      <w:r>
        <w:rPr>
          <w:b/>
          <w:color w:val="000000"/>
        </w:rPr>
        <w:t>1. Предмет договор</w:t>
      </w:r>
      <w:r>
        <w:rPr>
          <w:b/>
          <w:bCs/>
          <w:color w:val="000000"/>
        </w:rPr>
        <w:t>а</w:t>
      </w:r>
    </w:p>
    <w:p>
      <w:pPr>
        <w:pStyle w:val="Normal"/>
        <w:numPr>
          <w:ilvl w:val="0"/>
          <w:numId w:val="0"/>
        </w:numPr>
        <w:ind w:hanging="0" w:left="0"/>
        <w:jc w:val="both"/>
        <w:outlineLvl w:val="0"/>
        <w:rPr>
          <w:b/>
          <w:bCs/>
        </w:rPr>
      </w:pPr>
      <w:r>
        <w:rPr>
          <w:color w:val="000000"/>
        </w:rPr>
        <w:t>1.1. Поставщик по настоящему договор</w:t>
      </w:r>
      <w:r>
        <w:rPr>
          <w:bCs/>
          <w:color w:val="000000"/>
        </w:rPr>
        <w:t>у</w:t>
      </w:r>
      <w:r>
        <w:rPr>
          <w:color w:val="000000"/>
        </w:rPr>
        <w:t xml:space="preserve"> обязуется поставить товар: </w:t>
      </w:r>
      <w:r>
        <w:rPr>
          <w:rFonts w:cs="Times New Roman"/>
          <w:i w:val="false"/>
          <w:iCs w:val="false"/>
          <w:color w:val="000000"/>
          <w:sz w:val="20"/>
          <w:szCs w:val="20"/>
          <w:lang w:eastAsia="ru-RU"/>
        </w:rPr>
        <w:t>расходного материала (штатив)</w:t>
      </w:r>
      <w:r>
        <w:rPr>
          <w:rFonts w:cs="Times New Roman"/>
          <w:b w:val="false"/>
          <w:i w:val="false"/>
          <w:strike w:val="false"/>
          <w:dstrike w:val="false"/>
          <w:outline w:val="false"/>
          <w:shadow w:val="false"/>
          <w:color w:val="000000"/>
          <w:sz w:val="24"/>
          <w:szCs w:val="24"/>
          <w:u w:val="none"/>
          <w:em w:val="none"/>
        </w:rPr>
        <w:t xml:space="preserve"> </w:t>
      </w:r>
      <w:r>
        <w:rPr>
          <w:b/>
          <w:bCs/>
          <w:color w:val="000000"/>
        </w:rPr>
        <w:t xml:space="preserve"> </w:t>
      </w:r>
      <w:r>
        <w:rPr/>
        <w:t xml:space="preserve">и передать его Заказчику, а Заказчик по настоящему </w:t>
      </w:r>
      <w:r>
        <w:rPr>
          <w:color w:val="000000"/>
        </w:rPr>
        <w:t>договор</w:t>
      </w:r>
      <w:r>
        <w:rPr>
          <w:bCs/>
        </w:rPr>
        <w:t>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color w:val="000000"/>
        </w:rPr>
        <w:t>договор</w:t>
      </w:r>
      <w:r>
        <w:rPr>
          <w:bCs/>
        </w:rPr>
        <w:t xml:space="preserve">ом </w:t>
      </w:r>
      <w:r>
        <w:rPr/>
        <w:t xml:space="preserve">и спецификацией (Приложение №1 к настоящему </w:t>
      </w:r>
      <w:r>
        <w:rPr>
          <w:color w:val="000000"/>
        </w:rPr>
        <w:t>договор</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 xml:space="preserve">2. Цена </w:t>
      </w:r>
      <w:r>
        <w:rPr>
          <w:b/>
          <w:color w:val="000000"/>
          <w:lang w:val="ru-RU"/>
        </w:rPr>
        <w:t>договор</w:t>
      </w:r>
      <w:r>
        <w:rPr>
          <w:b/>
          <w:lang w:val="ru-RU"/>
        </w:rPr>
        <w:t>а и порядок расчетов</w:t>
      </w:r>
    </w:p>
    <w:p>
      <w:pPr>
        <w:pStyle w:val="CommentText"/>
        <w:rPr/>
      </w:pPr>
      <w:r>
        <w:rPr/>
        <w:t xml:space="preserve">2.1. Цена </w:t>
      </w:r>
      <w:r>
        <w:rPr>
          <w:color w:val="000000"/>
        </w:rPr>
        <w:t>договор</w:t>
      </w:r>
      <w:r>
        <w:rPr/>
        <w:t xml:space="preserve">а составляет </w:t>
      </w:r>
      <w:r>
        <w:rPr>
          <w:b/>
          <w:bCs/>
          <w:shd w:fill="FFFF00" w:val="clear"/>
        </w:rPr>
        <w:t xml:space="preserve">________рублей (_________ руб. 00 коп.), </w:t>
      </w:r>
      <w:r>
        <w:rPr>
          <w:b/>
          <w:bCs/>
          <w:color w:val="000000"/>
          <w:shd w:fill="FFFF00" w:val="clear"/>
        </w:rPr>
        <w:t xml:space="preserve">в том числе НДС (__%) – ___ руб. </w:t>
      </w:r>
    </w:p>
    <w:p>
      <w:pPr>
        <w:pStyle w:val="CommentText"/>
        <w:jc w:val="both"/>
        <w:rPr/>
      </w:pPr>
      <w:r>
        <w:rPr>
          <w:color w:val="000000"/>
        </w:rPr>
        <w:t>Цена договора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color w:val="000000"/>
        </w:rPr>
        <w:t>договор</w:t>
      </w:r>
      <w:r>
        <w:rPr/>
        <w:t>у в соответствии  с законодательством Российской Федерации.</w:t>
      </w:r>
    </w:p>
    <w:p>
      <w:pPr>
        <w:pStyle w:val="Normal"/>
        <w:widowControl w:val="false"/>
        <w:jc w:val="both"/>
        <w:rPr/>
      </w:pPr>
      <w:r>
        <w:rPr/>
        <w:t xml:space="preserve">2.2. Цена </w:t>
      </w:r>
      <w:r>
        <w:rPr>
          <w:color w:val="000000"/>
        </w:rPr>
        <w:t>договор</w:t>
      </w:r>
      <w:r>
        <w:rPr/>
        <w:t xml:space="preserve">а является твердой и определяется на весь срок исполнения </w:t>
      </w:r>
      <w:r>
        <w:rPr>
          <w:color w:val="000000"/>
        </w:rPr>
        <w:t>договор</w:t>
      </w:r>
      <w:r>
        <w:rPr/>
        <w:t xml:space="preserve">а. </w:t>
      </w:r>
    </w:p>
    <w:p>
      <w:pPr>
        <w:pStyle w:val="BodyTextIndent"/>
        <w:tabs>
          <w:tab w:val="clear" w:pos="708"/>
          <w:tab w:val="left" w:pos="540" w:leader="none"/>
        </w:tabs>
        <w:ind w:hanging="0"/>
        <w:rPr>
          <w:lang w:val="ru-RU"/>
        </w:rPr>
      </w:pPr>
      <w:r>
        <w:rPr>
          <w:lang w:val="ru-RU"/>
        </w:rPr>
        <w:t xml:space="preserve">2.3. </w:t>
      </w:r>
      <w:r>
        <w:rPr>
          <w:rFonts w:eastAsia="Times New Roman"/>
          <w:color w:themeColor="dark1" w:val="000000"/>
          <w:lang w:val="ru-RU"/>
        </w:rPr>
        <w:t xml:space="preserve">Расчет по настоящему </w:t>
      </w:r>
      <w:r>
        <w:rPr>
          <w:rFonts w:eastAsia="Times New Roman"/>
          <w:color w:val="000000"/>
          <w:lang w:val="ru-RU"/>
        </w:rPr>
        <w:t>договор</w:t>
      </w:r>
      <w:r>
        <w:rPr>
          <w:rFonts w:eastAsia="Times New Roman"/>
          <w:color w:themeColor="dark1" w:val="000000"/>
          <w:lang w:val="ru-RU"/>
        </w:rPr>
        <w:t xml:space="preserve">у производится Заказчиком в течение 10 рабочих дней с момента приемки товара по качеству на основании утвержденного Поставщиком Акта приемки </w:t>
      </w:r>
      <w:r>
        <w:rPr>
          <w:rFonts w:eastAsia="Times New Roman"/>
          <w:lang w:val="ru-RU"/>
        </w:rPr>
        <w:t>по форме ОКУД 0510452 (Приказ Минфина от 15.04.2021 г. №61н) (далее -ф. 0510452), счет-фактуры (УПД) или товарн</w:t>
      </w:r>
      <w:r>
        <w:rPr>
          <w:rFonts w:eastAsia="Times New Roman"/>
          <w:color w:themeColor="dark1" w:val="000000"/>
          <w:lang w:val="ru-RU"/>
        </w:rPr>
        <w:t>ой накладной</w:t>
      </w:r>
      <w:r>
        <w:rPr>
          <w:rFonts w:eastAsia="Times New Roman"/>
          <w:color w:themeColor="dark1" w:val="000000"/>
          <w:sz w:val="24"/>
          <w:lang w:val="ru-RU"/>
        </w:rPr>
        <w:t>.</w:t>
      </w:r>
    </w:p>
    <w:p>
      <w:pPr>
        <w:pStyle w:val="BodyTextIndent"/>
        <w:tabs>
          <w:tab w:val="clear" w:pos="708"/>
          <w:tab w:val="left" w:pos="540" w:leader="none"/>
        </w:tabs>
        <w:ind w:hanging="0"/>
        <w:rPr>
          <w:lang w:val="ru-RU"/>
        </w:rPr>
      </w:pPr>
      <w:r>
        <w:rPr>
          <w:lang w:val="ru-RU"/>
        </w:rPr>
        <w:t xml:space="preserve">2.4. Оплата по </w:t>
      </w:r>
      <w:r>
        <w:rPr>
          <w:color w:val="000000"/>
          <w:lang w:val="ru-RU"/>
        </w:rPr>
        <w:t>договор</w:t>
      </w:r>
      <w:r>
        <w:rPr>
          <w:lang w:val="ru-RU"/>
        </w:rPr>
        <w:t>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 xml:space="preserve">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color w:val="000000"/>
          <w:lang w:val="ru-RU"/>
        </w:rPr>
        <w:t>договор</w:t>
      </w:r>
      <w:r>
        <w:rPr>
          <w:lang w:val="ru-RU"/>
        </w:rPr>
        <w:t>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rFonts w:eastAsia="Calibri"/>
        </w:rPr>
        <w:t>ИПДД</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 xml:space="preserve">Заказчик по </w:t>
      </w:r>
      <w:r>
        <w:rPr>
          <w:b/>
          <w:color w:val="000000"/>
          <w:lang w:val="ru-RU"/>
        </w:rPr>
        <w:t>договор</w:t>
      </w:r>
      <w:r>
        <w:rPr>
          <w:b/>
          <w:lang w:val="ru-RU"/>
        </w:rPr>
        <w:t>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w:t>
      </w:r>
      <w:r>
        <w:rPr>
          <w:color w:val="000000"/>
          <w:lang w:val="ru-RU"/>
        </w:rPr>
        <w:t>договор</w:t>
      </w:r>
      <w:r>
        <w:rPr>
          <w:lang w:val="ru-RU"/>
        </w:rPr>
        <w:t xml:space="preserve">а, Спецификации (Приложение № 1 к </w:t>
      </w:r>
      <w:r>
        <w:rPr>
          <w:color w:val="000000"/>
          <w:lang w:val="ru-RU"/>
        </w:rPr>
        <w:t>договор</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w:t>
      </w:r>
      <w:r>
        <w:rPr>
          <w:color w:val="000000"/>
          <w:lang w:val="ru-RU"/>
        </w:rPr>
        <w:t>договор</w:t>
      </w:r>
      <w:r>
        <w:rPr>
          <w:lang w:val="ru-RU"/>
        </w:rPr>
        <w:t xml:space="preserve">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w:t>
      </w:r>
      <w:r>
        <w:rPr>
          <w:color w:val="000000"/>
          <w:lang w:val="ru-RU"/>
        </w:rPr>
        <w:t>договор</w:t>
      </w:r>
      <w:r>
        <w:rPr>
          <w:lang w:val="ru-RU"/>
        </w:rPr>
        <w:t xml:space="preserve">а количество поставляемого Товара, предусмотренного </w:t>
      </w:r>
      <w:r>
        <w:rPr>
          <w:color w:val="000000"/>
          <w:lang w:val="ru-RU"/>
        </w:rPr>
        <w:t>договор</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color w:val="000000"/>
          <w:lang w:val="ru-RU"/>
        </w:rPr>
        <w:t>договор</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color w:val="000000"/>
          <w:lang w:val="ru-RU"/>
        </w:rPr>
        <w:t>договор</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color w:val="000000"/>
          <w:lang w:val="ru-RU"/>
        </w:rPr>
        <w:t>договор</w:t>
      </w:r>
      <w:r>
        <w:rPr>
          <w:lang w:val="ru-RU"/>
        </w:rPr>
        <w:t>ом.</w:t>
      </w:r>
    </w:p>
    <w:p>
      <w:pPr>
        <w:pStyle w:val="BodyTextIndent"/>
        <w:tabs>
          <w:tab w:val="clear" w:pos="708"/>
          <w:tab w:val="left" w:pos="0" w:leader="none"/>
        </w:tabs>
        <w:ind w:hanging="0"/>
        <w:rPr>
          <w:lang w:val="ru-RU"/>
        </w:rPr>
      </w:pPr>
      <w:r>
        <w:rPr>
          <w:lang w:val="ru-RU"/>
        </w:rPr>
        <w:t xml:space="preserve">3.2.4 Требовать уплаты неустойки (штрафа, пени) в соответствии с разделом 8 </w:t>
      </w:r>
      <w:r>
        <w:rPr>
          <w:color w:val="000000"/>
          <w:lang w:val="ru-RU"/>
        </w:rPr>
        <w:t>договор</w:t>
      </w:r>
      <w:r>
        <w:rPr>
          <w:lang w:val="ru-RU"/>
        </w:rPr>
        <w:t>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color w:val="000000"/>
          <w:lang w:val="ru-RU"/>
        </w:rPr>
        <w:t>договор</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color w:val="000000"/>
          <w:lang w:val="ru-RU"/>
        </w:rPr>
        <w:t>договор</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день передачи Товара, надлежаще оформленные документы, предусмотренные </w:t>
      </w:r>
      <w:r>
        <w:rPr>
          <w:color w:val="000000"/>
          <w:lang w:val="ru-RU"/>
        </w:rPr>
        <w:t>договор</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color w:val="000000"/>
          <w:lang w:val="ru-RU"/>
        </w:rPr>
        <w:t>договор</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color w:val="000000"/>
          <w:lang w:val="ru-RU"/>
        </w:rPr>
        <w:t>договор</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fill="FFFFFF" w:val="clear"/>
        <w:tabs>
          <w:tab w:val="clear" w:pos="708"/>
          <w:tab w:val="left" w:pos="0" w:leader="none"/>
          <w:tab w:val="left" w:pos="900" w:leader="none"/>
        </w:tabs>
        <w:jc w:val="center"/>
        <w:rPr>
          <w:b/>
        </w:rPr>
      </w:pPr>
      <w:r>
        <w:rPr>
          <w:b/>
        </w:rPr>
        <w:t>4. Сроки и условия поставки Товара</w:t>
      </w:r>
    </w:p>
    <w:p>
      <w:pPr>
        <w:pStyle w:val="Normal"/>
        <w:shd w:fill="FFFFFF" w:val="clear"/>
        <w:tabs>
          <w:tab w:val="clear" w:pos="708"/>
          <w:tab w:val="left" w:pos="0" w:leader="none"/>
          <w:tab w:val="left" w:pos="900" w:leader="none"/>
        </w:tabs>
        <w:jc w:val="both"/>
        <w:rPr/>
      </w:pPr>
      <w:r>
        <w:rPr/>
        <w:t xml:space="preserve">4.1. Поставка товара осуществляется </w:t>
      </w:r>
      <w:r>
        <w:rPr>
          <w:b/>
          <w:bCs/>
        </w:rPr>
        <w:t xml:space="preserve">с момента заключения </w:t>
      </w:r>
      <w:r>
        <w:rPr>
          <w:b/>
          <w:bCs/>
          <w:color w:val="000000"/>
        </w:rPr>
        <w:t>договор</w:t>
      </w:r>
      <w:r>
        <w:rPr>
          <w:b/>
          <w:bCs/>
        </w:rPr>
        <w:t xml:space="preserve">а по </w:t>
      </w:r>
      <w:r>
        <w:rPr>
          <w:b/>
          <w:bCs/>
        </w:rPr>
        <w:t>21.08.2026</w:t>
      </w:r>
      <w:r>
        <w:rPr>
          <w:b/>
          <w:bCs/>
          <w:shd w:fill="FFFF00" w:val="clear"/>
        </w:rPr>
        <w:t>г.</w:t>
      </w:r>
    </w:p>
    <w:p>
      <w:pPr>
        <w:pStyle w:val="Normal"/>
        <w:shd w:fill="FFFFFF" w:val="clear"/>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fill="FFFFFF" w:val="clear"/>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fill="FFFFFF" w:val="clear"/>
        <w:tabs>
          <w:tab w:val="clear" w:pos="708"/>
          <w:tab w:val="left" w:pos="0" w:leader="none"/>
          <w:tab w:val="left" w:pos="900" w:leader="none"/>
        </w:tabs>
        <w:jc w:val="both"/>
        <w:rPr>
          <w:color w:themeColor="dark1" w:val="000000"/>
        </w:rPr>
      </w:pPr>
      <w:r>
        <w:rPr>
          <w:color w:themeColor="dark1" w:val="000000"/>
        </w:rPr>
        <w:t> </w:t>
      </w:r>
      <w:r>
        <w:rPr>
          <w:color w:themeColor="dark1" w:val="000000"/>
        </w:rPr>
        <w:t>- Счет-фактура – 2 экз. или Универсальный передаточный документ (УПД) – 2 экз. (по 1 экз. Заказчику и Поставщику).</w:t>
      </w:r>
    </w:p>
    <w:p>
      <w:pPr>
        <w:pStyle w:val="BodyTextIndent"/>
        <w:tabs>
          <w:tab w:val="clear" w:pos="708"/>
          <w:tab w:val="left" w:pos="900" w:leader="none"/>
        </w:tabs>
        <w:ind w:hanging="0"/>
        <w:rPr>
          <w:lang w:val="ru-RU"/>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color w:val="000000"/>
          <w:lang w:val="ru-RU"/>
        </w:rPr>
        <w:t>договор</w:t>
      </w:r>
      <w:r>
        <w:rPr>
          <w:lang w:val="ru-RU"/>
        </w:rPr>
        <w:t xml:space="preserve">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 xml:space="preserve">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w:t>
      </w:r>
      <w:r>
        <w:rPr>
          <w:color w:val="000000"/>
          <w:lang w:val="ru-RU"/>
        </w:rPr>
        <w:t>договор</w:t>
      </w:r>
      <w:r>
        <w:rPr>
          <w:lang w:val="ru-RU"/>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w:t>
      </w:r>
      <w:r>
        <w:rPr>
          <w:color w:val="000000"/>
        </w:rPr>
        <w:t>договор</w:t>
      </w:r>
      <w:r>
        <w:rPr/>
        <w:t>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xml:space="preserve">- реквизиты </w:t>
      </w:r>
      <w:r>
        <w:rPr>
          <w:color w:val="000000"/>
        </w:rPr>
        <w:t>договор</w:t>
      </w:r>
      <w:r>
        <w:rPr/>
        <w:t>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договора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Под ненадлежащим исполнение условий настоящего договора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договором,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w:t>
      </w:r>
      <w:r>
        <w:rPr>
          <w:b/>
          <w:bCs/>
        </w:rPr>
        <w:t>1000 руб.00 коп.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w:t>
      </w:r>
      <w:r>
        <w:rPr>
          <w:b/>
          <w:bCs/>
          <w:shd w:fill="FFFF00" w:val="clear"/>
        </w:rPr>
        <w:t xml:space="preserve">_____ руб (_____ руб. ____ коп.) </w:t>
      </w:r>
      <w:r>
        <w:rPr/>
        <w:t>и составляет 10% от цены настоящего договора.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договору.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договора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договор вступает в силу </w:t>
      </w:r>
      <w:r>
        <w:rPr>
          <w:rFonts w:eastAsia="Times New Roman" w:ascii="Times New Roman" w:hAnsi="Times New Roman"/>
          <w:b/>
          <w:bCs/>
          <w:sz w:val="20"/>
          <w:szCs w:val="20"/>
        </w:rPr>
        <w:t xml:space="preserve">с момента заключения и действует до </w:t>
      </w:r>
      <w:r>
        <w:rPr>
          <w:rFonts w:eastAsia="Times New Roman" w:ascii="Times New Roman" w:hAnsi="Times New Roman"/>
          <w:b/>
          <w:bCs/>
          <w:sz w:val="20"/>
          <w:szCs w:val="20"/>
        </w:rPr>
        <w:t>18.09</w:t>
      </w:r>
      <w:r>
        <w:rPr>
          <w:rFonts w:eastAsia="Times New Roman" w:ascii="Times New Roman" w:hAnsi="Times New Roman"/>
          <w:b/>
          <w:bCs/>
          <w:sz w:val="20"/>
          <w:szCs w:val="20"/>
          <w:shd w:fill="FDFCFC" w:val="clear"/>
        </w:rPr>
        <w:t>.2026 г</w:t>
      </w:r>
      <w:r>
        <w:rPr>
          <w:rFonts w:eastAsia="Times New Roman" w:ascii="Times New Roman" w:hAnsi="Times New Roman"/>
          <w:sz w:val="20"/>
          <w:szCs w:val="20"/>
          <w:shd w:fill="FDFCFC" w:val="clear"/>
        </w:rPr>
        <w:t>.,</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договора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договора от исполнения договора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договора в соответствии с действующим законодательством. В случае задержки поставки товара на 15 дней и более Заказчик имеет право расторгнуть договор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договору,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fill="FFFFFF" w:val="clear"/>
        <w:jc w:val="center"/>
        <w:rPr/>
      </w:pPr>
      <w:r>
        <w:rPr>
          <w:b/>
        </w:rPr>
        <w:t>10. Переход права собственности и риск случайной гибели Товара</w:t>
      </w:r>
    </w:p>
    <w:p>
      <w:pPr>
        <w:pStyle w:val="Normal"/>
        <w:shd w:fill="FFFFFF" w:val="clear"/>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fill="FFFFFF" w:val="clear"/>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fill="FFFFFF" w:val="clear"/>
        <w:tabs>
          <w:tab w:val="clear" w:pos="708"/>
          <w:tab w:val="left" w:pos="540" w:leader="none"/>
          <w:tab w:val="left" w:pos="1248" w:leader="none"/>
        </w:tabs>
        <w:jc w:val="both"/>
        <w:rPr/>
      </w:pPr>
      <w:r>
        <w:rPr/>
      </w:r>
    </w:p>
    <w:p>
      <w:pPr>
        <w:pStyle w:val="Normal"/>
        <w:shd w:fill="FFFFFF" w:val="clear"/>
        <w:tabs>
          <w:tab w:val="clear" w:pos="708"/>
          <w:tab w:val="left" w:pos="540" w:leader="none"/>
          <w:tab w:val="left" w:pos="1248" w:leader="none"/>
        </w:tabs>
        <w:jc w:val="center"/>
        <w:rPr>
          <w:b/>
        </w:rPr>
      </w:pPr>
      <w:r>
        <w:rPr>
          <w:b/>
        </w:rPr>
        <w:t>11. Противодействие коррупции</w:t>
      </w:r>
    </w:p>
    <w:p>
      <w:pPr>
        <w:pStyle w:val="Normal"/>
        <w:shd w:fill="FFFFFF" w:val="clear"/>
        <w:tabs>
          <w:tab w:val="clear" w:pos="708"/>
          <w:tab w:val="left" w:pos="540" w:leader="none"/>
          <w:tab w:val="left" w:pos="1248" w:leader="none"/>
        </w:tabs>
        <w:jc w:val="both"/>
        <w:rPr/>
      </w:pPr>
      <w:r>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fill="FFFFFF" w:val="clear"/>
        <w:tabs>
          <w:tab w:val="clear" w:pos="708"/>
          <w:tab w:val="left" w:pos="540" w:leader="none"/>
          <w:tab w:val="left" w:pos="1248" w:leader="none"/>
        </w:tabs>
        <w:jc w:val="both"/>
        <w:rPr/>
      </w:pPr>
      <w:r>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fill="FFFFFF" w:val="clear"/>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fill="FFFFFF" w:val="clear"/>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fill="FFFFFF" w:val="clear"/>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fill="FFFFFF" w:val="clear"/>
        <w:tabs>
          <w:tab w:val="clear" w:pos="708"/>
          <w:tab w:val="left" w:pos="540" w:leader="none"/>
          <w:tab w:val="left" w:pos="1248" w:leader="none"/>
        </w:tabs>
        <w:jc w:val="center"/>
        <w:rPr/>
      </w:pPr>
      <w:r>
        <w:rPr/>
      </w:r>
    </w:p>
    <w:p>
      <w:pPr>
        <w:pStyle w:val="Normal"/>
        <w:shd w:fill="FFFFFF" w:val="clear"/>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договору,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Normal"/>
        <w:shd w:fill="FFFFFF" w:val="clear"/>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Normal"/>
        <w:tabs>
          <w:tab w:val="clear" w:pos="708"/>
          <w:tab w:val="left" w:pos="540" w:leader="none"/>
        </w:tabs>
        <w:ind w:right="-142"/>
        <w:rPr/>
      </w:pPr>
      <w:r>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Pr>
      <w:tblGrid>
        <w:gridCol w:w="5636"/>
        <w:gridCol w:w="4820"/>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УФК по Новосибирской области (НИИ КПССЗ л/с 20396Х66880)</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УФК по Новосибирской области (НИИ КПССЗ л/с 22396Х66880)</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УФК по Новосибирской области (НИИ КПССЗ л/с 21396Х66880)</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ИНН 4205012290  КПП 420501001</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 xml:space="preserve">р/с 03214643000000015106 </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 xml:space="preserve">ОКЦ № 1 СибГУ Банка России//УФК по Новосибирской области, г. Новосибирск </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БИК 015004950</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к/с 40102810445370000043</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КБК 00000000000000000130</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ОГРН 1034205024479</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ОКПО 55608705</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ОКАТО 32401000000</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ОКТМО 32701000</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ОКОГУ 1330612</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ОКФС 12</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ОКОПФ 75103</w:t>
            </w:r>
          </w:p>
          <w:p>
            <w:pPr>
              <w:pStyle w:val="1CStyle12"/>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ОКВЭД 72.19</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jc w:val="both"/>
              <w:rPr>
                <w:rFonts w:cs="Times New Roman"/>
                <w:color w:val="000000"/>
                <w:sz w:val="20"/>
                <w:szCs w:val="20"/>
                <w:lang w:eastAsia="ru-RU"/>
              </w:rPr>
            </w:pPr>
            <w:r>
              <w:rPr>
                <w:rFonts w:cs="Times New Roman"/>
                <w:color w:val="000000"/>
                <w:sz w:val="20"/>
                <w:szCs w:val="20"/>
                <w:lang w:eastAsia="ru-RU"/>
              </w:rPr>
              <w:t>Начальник отдела обеспечения лекарственными препаратами и медицинскими изделиями</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t xml:space="preserve">___________________ </w:t>
            </w:r>
            <w:r>
              <w:rPr>
                <w:rFonts w:cs="Times New Roman" w:ascii="Times New Roman" w:hAnsi="Times New Roman"/>
                <w:color w:val="000000"/>
                <w:sz w:val="20"/>
                <w:szCs w:val="20"/>
                <w:lang w:eastAsia="ru-RU"/>
              </w:rPr>
              <w:t>Н.В.Ковжун</w:t>
            </w:r>
          </w:p>
          <w:p>
            <w:pPr>
              <w:pStyle w:val="Normal"/>
              <w:rPr/>
            </w:pPr>
            <w:r>
              <w:rPr/>
            </w:r>
          </w:p>
          <w:p>
            <w:pPr>
              <w:pStyle w:val="Normal"/>
              <w:rPr/>
            </w:pPr>
            <w:r>
              <w:rPr/>
            </w:r>
          </w:p>
          <w:p>
            <w:pPr>
              <w:pStyle w:val="Normal"/>
              <w:rPr/>
            </w:pPr>
            <w:r>
              <w:rPr/>
            </w:r>
          </w:p>
        </w:tc>
        <w:tc>
          <w:tcPr>
            <w:tcW w:w="4820"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default" r:id="rId2"/>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договору </w:t>
      </w:r>
      <w:r>
        <w:rPr>
          <w:b/>
          <w:bCs/>
        </w:rPr>
        <w:t xml:space="preserve">№ </w:t>
      </w:r>
      <w:r>
        <w:rPr>
          <w:b/>
          <w:bCs/>
        </w:rPr>
        <w:t>17</w:t>
      </w:r>
      <w:r>
        <w:rPr>
          <w:b/>
          <w:bCs/>
        </w:rPr>
        <w:t>/26-</w:t>
      </w:r>
      <w:r>
        <w:rPr>
          <w:b/>
          <w:bCs/>
        </w:rPr>
        <w:t>223</w:t>
      </w:r>
    </w:p>
    <w:p>
      <w:pPr>
        <w:pStyle w:val="Normal"/>
        <w:spacing w:before="0" w:after="60"/>
        <w:jc w:val="right"/>
        <w:rPr>
          <w:b/>
          <w:bCs/>
        </w:rPr>
      </w:pPr>
      <w:r>
        <w:rPr/>
        <w:t xml:space="preserve">                                                                                                                               </w:t>
      </w:r>
      <w:r>
        <w:rPr/>
        <w:t xml:space="preserve">от </w:t>
      </w:r>
      <w:r>
        <w:rPr>
          <w:rFonts w:eastAsia="Calibri"/>
          <w:lang w:eastAsia="en-US"/>
        </w:rPr>
        <w:t>«   » _____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p>
      <w:pPr>
        <w:pStyle w:val="Normal"/>
        <w:spacing w:before="0" w:after="60"/>
        <w:rPr>
          <w:b/>
          <w:bCs/>
          <w:sz w:val="24"/>
          <w:szCs w:val="24"/>
        </w:rPr>
      </w:pPr>
      <w:r>
        <w:rPr>
          <w:b/>
          <w:bCs/>
          <w:sz w:val="24"/>
          <w:szCs w:val="24"/>
        </w:rPr>
      </w:r>
    </w:p>
    <w:p>
      <w:pPr>
        <w:pStyle w:val="Normal"/>
        <w:jc w:val="center"/>
        <w:rPr>
          <w:sz w:val="22"/>
          <w:szCs w:val="22"/>
          <w:lang w:val="en-US" w:eastAsia="zh-CN"/>
        </w:rPr>
      </w:pPr>
      <w:r>
        <w:rPr>
          <w:sz w:val="22"/>
          <w:szCs w:val="22"/>
          <w:lang w:val="en-US" w:eastAsia="zh-CN"/>
        </w:rPr>
      </w:r>
    </w:p>
    <w:tbl>
      <w:tblPr>
        <w:tblW w:w="15360" w:type="dxa"/>
        <w:jc w:val="left"/>
        <w:tblInd w:w="-131" w:type="dxa"/>
        <w:tblLayout w:type="fixed"/>
        <w:tblCellMar>
          <w:top w:w="0" w:type="dxa"/>
          <w:left w:w="108" w:type="dxa"/>
          <w:bottom w:w="0" w:type="dxa"/>
          <w:right w:w="108" w:type="dxa"/>
        </w:tblCellMar>
      </w:tblPr>
      <w:tblGrid>
        <w:gridCol w:w="454"/>
        <w:gridCol w:w="6104"/>
        <w:gridCol w:w="1139"/>
        <w:gridCol w:w="2216"/>
        <w:gridCol w:w="2129"/>
        <w:gridCol w:w="1154"/>
        <w:gridCol w:w="2164"/>
      </w:tblGrid>
      <w:tr>
        <w:trPr>
          <w:trHeight w:val="244" w:hRule="atLeast"/>
        </w:trPr>
        <w:tc>
          <w:tcPr>
            <w:tcW w:w="454"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6104"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1139"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2216"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2129"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4"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2164"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454" w:type="dxa"/>
            <w:tcBorders>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lang w:val="en-US" w:eastAsia="zh-CN"/>
              </w:rPr>
              <w:t>1</w:t>
            </w:r>
          </w:p>
        </w:tc>
        <w:tc>
          <w:tcPr>
            <w:tcW w:w="6104" w:type="dxa"/>
            <w:tcBorders>
              <w:left w:val="single" w:sz="4" w:space="0" w:color="000000"/>
              <w:bottom w:val="single" w:sz="4" w:space="0" w:color="000000"/>
            </w:tcBorders>
            <w:vAlign w:val="center"/>
          </w:tcPr>
          <w:p>
            <w:pPr>
              <w:pStyle w:val="Normal"/>
              <w:rPr>
                <w:lang w:eastAsia="zh-CN"/>
              </w:rPr>
            </w:pPr>
            <w:r>
              <w:rPr>
                <w:lang w:eastAsia="zh-CN"/>
              </w:rPr>
              <w:t>Контейнер 250 мл лабораторный для взятия проб  с завинчивающейся крышкой, стерильный, полипропилен, с градуировкой, с полем для записи.</w:t>
            </w:r>
          </w:p>
          <w:p>
            <w:pPr>
              <w:pStyle w:val="Normal"/>
              <w:rPr>
                <w:lang w:eastAsia="zh-CN"/>
              </w:rPr>
            </w:pPr>
            <w:r>
              <w:rPr>
                <w:lang w:eastAsia="zh-CN"/>
              </w:rPr>
              <w:t>РУ:</w:t>
            </w:r>
          </w:p>
          <w:p>
            <w:pPr>
              <w:pStyle w:val="Normal"/>
              <w:rPr>
                <w:lang w:eastAsia="zh-CN"/>
              </w:rPr>
            </w:pPr>
            <w:r>
              <w:rPr>
                <w:lang w:eastAsia="zh-CN"/>
              </w:rPr>
              <w:t>Страна происхождения товара:</w:t>
            </w:r>
          </w:p>
          <w:p>
            <w:pPr>
              <w:pStyle w:val="Normal"/>
              <w:rPr>
                <w:lang w:eastAsia="zh-CN"/>
              </w:rPr>
            </w:pPr>
            <w:r>
              <w:rPr>
                <w:lang w:eastAsia="zh-CN"/>
              </w:rPr>
              <w:t xml:space="preserve">ОКПД 2: </w:t>
            </w:r>
            <w:r>
              <w:rPr>
                <w:lang w:eastAsia="zh-CN"/>
              </w:rPr>
              <w:t>32.50.50.189</w:t>
            </w:r>
          </w:p>
        </w:tc>
        <w:tc>
          <w:tcPr>
            <w:tcW w:w="1139"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lang w:eastAsia="zh-CN"/>
              </w:rPr>
              <w:t>шт</w:t>
            </w:r>
          </w:p>
        </w:tc>
        <w:tc>
          <w:tcPr>
            <w:tcW w:w="2216" w:type="dxa"/>
            <w:tcBorders>
              <w:left w:val="single" w:sz="4" w:space="0" w:color="000000"/>
              <w:bottom w:val="single" w:sz="4" w:space="0" w:color="000000"/>
            </w:tcBorders>
          </w:tcPr>
          <w:p>
            <w:pPr>
              <w:pStyle w:val="user5"/>
              <w:jc w:val="center"/>
              <w:rPr>
                <w:color w:val="000000"/>
                <w:sz w:val="24"/>
              </w:rPr>
            </w:pPr>
            <w:r>
              <w:rPr>
                <w:color w:val="000000"/>
                <w:sz w:val="24"/>
              </w:rPr>
              <w:t>360</w:t>
            </w:r>
          </w:p>
        </w:tc>
        <w:tc>
          <w:tcPr>
            <w:tcW w:w="2129" w:type="dxa"/>
            <w:tcBorders>
              <w:left w:val="single" w:sz="4" w:space="0" w:color="000000"/>
              <w:bottom w:val="single" w:sz="4" w:space="0" w:color="000000"/>
            </w:tcBorders>
          </w:tcPr>
          <w:p>
            <w:pPr>
              <w:pStyle w:val="Normal"/>
              <w:snapToGrid w:val="false"/>
              <w:rPr/>
            </w:pPr>
            <w:r>
              <w:rPr/>
            </w:r>
          </w:p>
        </w:tc>
        <w:tc>
          <w:tcPr>
            <w:tcW w:w="1154" w:type="dxa"/>
            <w:tcBorders>
              <w:left w:val="single" w:sz="4" w:space="0" w:color="000000"/>
              <w:bottom w:val="single" w:sz="4" w:space="0" w:color="000000"/>
            </w:tcBorders>
          </w:tcPr>
          <w:p>
            <w:pPr>
              <w:pStyle w:val="Normal"/>
              <w:snapToGrid w:val="false"/>
              <w:rPr/>
            </w:pPr>
            <w:r>
              <w:rPr/>
            </w:r>
          </w:p>
        </w:tc>
        <w:tc>
          <w:tcPr>
            <w:tcW w:w="2164" w:type="dxa"/>
            <w:tcBorders>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13196" w:type="dxa"/>
            <w:gridSpan w:val="6"/>
            <w:tcBorders>
              <w:left w:val="single" w:sz="4" w:space="0" w:color="000000"/>
              <w:bottom w:val="single" w:sz="4" w:space="0" w:color="000000"/>
            </w:tcBorders>
          </w:tcPr>
          <w:p>
            <w:pPr>
              <w:pStyle w:val="Normal"/>
              <w:snapToGrid w:val="false"/>
              <w:spacing w:lineRule="auto" w:line="276" w:before="0" w:after="200"/>
              <w:rPr>
                <w:lang w:val="en-US" w:eastAsia="zh-CN"/>
              </w:rPr>
            </w:pPr>
            <w:r>
              <w:rPr>
                <w:lang w:val="en-US" w:eastAsia="zh-CN"/>
              </w:rPr>
              <w:t>ИТОГО</w:t>
            </w:r>
          </w:p>
        </w:tc>
        <w:tc>
          <w:tcPr>
            <w:tcW w:w="2164" w:type="dxa"/>
            <w:tcBorders>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p>
      <w:pPr>
        <w:pStyle w:val="Normal"/>
        <w:jc w:val="both"/>
        <w:rPr>
          <w:rFonts w:cs="Times New Roman"/>
          <w:color w:val="000000"/>
          <w:sz w:val="20"/>
          <w:szCs w:val="20"/>
          <w:lang w:eastAsia="ru-RU"/>
        </w:rPr>
      </w:pPr>
      <w:r>
        <w:rPr>
          <w:rFonts w:cs="Times New Roman"/>
          <w:color w:val="000000"/>
          <w:sz w:val="20"/>
          <w:szCs w:val="20"/>
          <w:lang w:eastAsia="ru-RU"/>
        </w:rPr>
        <w:t>Начальник отдела обеспечения лекарственными препаратами и медицинскими изделиями</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12"/>
        <w:rPr>
          <w:rFonts w:ascii="Times New Roman" w:hAnsi="Times New Roman" w:cs="Times New Roman"/>
          <w:sz w:val="20"/>
          <w:szCs w:val="20"/>
          <w:lang w:eastAsia="ru-RU"/>
        </w:rPr>
      </w:pPr>
      <w:r>
        <w:rPr>
          <w:rFonts w:cs="Times New Roman" w:ascii="Times New Roman" w:hAnsi="Times New Roman"/>
          <w:color w:val="000000"/>
          <w:sz w:val="20"/>
          <w:szCs w:val="20"/>
          <w:lang w:eastAsia="ru-RU"/>
        </w:rPr>
        <w:t>___________________ Н.В.Ковжун</w:t>
      </w:r>
      <w:r>
        <w:rPr>
          <w:rFonts w:cs="Times New Roman" w:ascii="Times New Roman" w:hAnsi="Times New Roman"/>
          <w:sz w:val="20"/>
          <w:szCs w:val="20"/>
          <w:lang w:eastAsia="ru-RU"/>
        </w:rPr>
        <w:t xml:space="preserve">                                                                                                                                Должность  представителя поставщика</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t xml:space="preserve">                                                                                                                                                                         </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t xml:space="preserve">                                                                                                                                                                                </w:t>
      </w:r>
      <w:r>
        <w:rPr>
          <w:rFonts w:cs="Times New Roman" w:ascii="Times New Roman" w:hAnsi="Times New Roman"/>
          <w:sz w:val="20"/>
          <w:szCs w:val="20"/>
          <w:lang w:eastAsia="ru-RU"/>
        </w:rPr>
        <w:t>_______________ФИО</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spacing w:before="0" w:after="60"/>
        <w:rPr>
          <w:b/>
          <w:bCs/>
          <w:sz w:val="24"/>
          <w:szCs w:val="24"/>
        </w:rPr>
      </w:pPr>
      <w:r>
        <w:rPr>
          <w:b/>
          <w:bCs/>
          <w:sz w:val="24"/>
          <w:szCs w:val="24"/>
        </w:rPr>
      </w:r>
    </w:p>
    <w:sectPr>
      <w:footerReference w:type="default" r:id="rId3"/>
      <w:footerReference w:type="first" r:id="rId4"/>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keepLines/>
      <w:numPr>
        <w:ilvl w:val="0"/>
        <w:numId w:val="0"/>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0"/>
        <w:numId w:val="0"/>
      </w:numPr>
      <w:spacing w:before="360" w:after="200"/>
      <w:outlineLvl w:val="1"/>
    </w:pPr>
    <w:rPr>
      <w:rFonts w:ascii="Arial" w:hAnsi="Arial" w:eastAsia="Arial" w:cs="Arial"/>
      <w:sz w:val="34"/>
    </w:rPr>
  </w:style>
  <w:style w:type="paragraph" w:styleId="Heading3">
    <w:name w:val="heading 3"/>
    <w:basedOn w:val="Normal"/>
    <w:next w:val="Normal"/>
    <w:link w:val="3"/>
    <w:qFormat/>
    <w:pPr>
      <w:keepNext w:val="true"/>
      <w:keepLines/>
      <w:numPr>
        <w:ilvl w:val="0"/>
        <w:numId w:val="0"/>
      </w:numPr>
      <w:spacing w:before="320" w:after="200"/>
      <w:outlineLvl w:val="2"/>
    </w:pPr>
    <w:rPr>
      <w:rFonts w:ascii="Arial" w:hAnsi="Arial" w:eastAsia="Arial" w:cs="Arial"/>
      <w:sz w:val="30"/>
      <w:szCs w:val="30"/>
    </w:rPr>
  </w:style>
  <w:style w:type="paragraph" w:styleId="Heading4">
    <w:name w:val="heading 4"/>
    <w:basedOn w:val="Normal"/>
    <w:next w:val="Normal"/>
    <w:link w:val="4"/>
    <w:qFormat/>
    <w:pPr>
      <w:keepNext w:val="true"/>
      <w:keepLines/>
      <w:numPr>
        <w:ilvl w:val="0"/>
        <w:numId w:val="0"/>
      </w:numPr>
      <w:spacing w:before="320" w:after="200"/>
      <w:outlineLvl w:val="3"/>
    </w:pPr>
    <w:rPr>
      <w:rFonts w:ascii="Arial" w:hAnsi="Arial" w:eastAsia="Arial" w:cs="Arial"/>
      <w:b/>
      <w:bCs/>
      <w:sz w:val="26"/>
      <w:szCs w:val="26"/>
    </w:rPr>
  </w:style>
  <w:style w:type="paragraph" w:styleId="Heading5">
    <w:name w:val="heading 5"/>
    <w:basedOn w:val="Normal"/>
    <w:next w:val="Normal"/>
    <w:link w:val="5"/>
    <w:qFormat/>
    <w:pPr>
      <w:keepNext w:val="true"/>
      <w:keepLines/>
      <w:numPr>
        <w:ilvl w:val="0"/>
        <w:numId w:val="0"/>
      </w:numPr>
      <w:spacing w:before="320" w:after="200"/>
      <w:outlineLvl w:val="4"/>
    </w:pPr>
    <w:rPr>
      <w:rFonts w:ascii="Arial" w:hAnsi="Arial" w:eastAsia="Arial" w:cs="Arial"/>
      <w:b/>
      <w:bCs/>
      <w:sz w:val="24"/>
      <w:szCs w:val="24"/>
    </w:rPr>
  </w:style>
  <w:style w:type="paragraph" w:styleId="Heading6">
    <w:name w:val="heading 6"/>
    <w:basedOn w:val="Normal"/>
    <w:next w:val="Normal"/>
    <w:link w:val="6"/>
    <w:qFormat/>
    <w:pPr>
      <w:keepNext w:val="true"/>
      <w:keepLines/>
      <w:numPr>
        <w:ilvl w:val="0"/>
        <w:numId w:val="0"/>
      </w:numPr>
      <w:spacing w:before="320" w:after="200"/>
      <w:outlineLvl w:val="5"/>
    </w:pPr>
    <w:rPr>
      <w:rFonts w:ascii="Arial" w:hAnsi="Arial" w:eastAsia="Arial" w:cs="Arial"/>
      <w:b/>
      <w:bCs/>
      <w:sz w:val="22"/>
      <w:szCs w:val="22"/>
    </w:rPr>
  </w:style>
  <w:style w:type="paragraph" w:styleId="Heading7">
    <w:name w:val="heading 7"/>
    <w:basedOn w:val="Normal"/>
    <w:next w:val="Normal"/>
    <w:link w:val="7"/>
    <w:qFormat/>
    <w:pPr>
      <w:keepNext w:val="true"/>
      <w:keepLines/>
      <w:numPr>
        <w:ilvl w:val="0"/>
        <w:numId w:val="0"/>
      </w:numPr>
      <w:spacing w:before="320" w:after="200"/>
      <w:outlineLvl w:val="6"/>
    </w:pPr>
    <w:rPr>
      <w:rFonts w:ascii="Arial" w:hAnsi="Arial" w:eastAsia="Arial" w:cs="Arial"/>
      <w:b/>
      <w:bCs/>
      <w:i/>
      <w:iCs/>
      <w:sz w:val="22"/>
      <w:szCs w:val="22"/>
    </w:rPr>
  </w:style>
  <w:style w:type="paragraph" w:styleId="Heading8">
    <w:name w:val="heading 8"/>
    <w:basedOn w:val="Normal"/>
    <w:next w:val="Normal"/>
    <w:link w:val="8"/>
    <w:qFormat/>
    <w:pPr>
      <w:keepNext w:val="true"/>
      <w:keepLines/>
      <w:numPr>
        <w:ilvl w:val="0"/>
        <w:numId w:val="0"/>
      </w:numPr>
      <w:spacing w:before="320" w:after="200"/>
      <w:outlineLvl w:val="7"/>
    </w:pPr>
    <w:rPr>
      <w:rFonts w:ascii="Arial" w:hAnsi="Arial" w:eastAsia="Arial" w:cs="Arial"/>
      <w:i/>
      <w:iCs/>
      <w:sz w:val="22"/>
      <w:szCs w:val="22"/>
    </w:rPr>
  </w:style>
  <w:style w:type="paragraph" w:styleId="Heading9">
    <w:name w:val="heading 9"/>
    <w:basedOn w:val="Normal"/>
    <w:next w:val="Normal"/>
    <w:link w:val="9"/>
    <w:qFormat/>
    <w:pPr>
      <w:keepNext w:val="true"/>
      <w:keepLines/>
      <w:numPr>
        <w:ilvl w:val="0"/>
        <w:numId w:val="0"/>
      </w:numPr>
      <w:spacing w:before="320" w:after="200"/>
      <w:outlineLvl w:val="8"/>
    </w:pPr>
    <w:rPr>
      <w:rFonts w:ascii="Arial" w:hAnsi="Arial" w:eastAsia="Arial" w:cs="Arial"/>
      <w:i/>
      <w:iCs/>
      <w:sz w:val="21"/>
      <w:szCs w:val="21"/>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link w:val="Quote"/>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sz w:val="20"/>
      <w:szCs w:val="20"/>
    </w:rPr>
  </w:style>
  <w:style w:type="character" w:styleId="Style14">
    <w:name w:val="Нижний колонтитул Знак"/>
    <w:qFormat/>
    <w:rPr>
      <w:rFonts w:ascii="Times New Roman" w:hAnsi="Times New Roman" w:eastAsia="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rPr>
  </w:style>
  <w:style w:type="character" w:styleId="Style16">
    <w:name w:val="Тема примечания Знак"/>
    <w:basedOn w:val="Style15"/>
    <w:qFormat/>
    <w:rPr>
      <w:rFonts w:ascii="Times New Roman" w:hAnsi="Times New Roman" w:eastAsia="Times New Roman"/>
      <w:b/>
      <w:bCs/>
    </w:rPr>
  </w:style>
  <w:style w:type="character" w:styleId="Style17">
    <w:name w:val="Текст выноски Знак"/>
    <w:basedOn w:val="DefaultParagraphFont"/>
    <w:qFormat/>
    <w:rPr>
      <w:rFonts w:ascii="Tahoma" w:hAnsi="Tahoma" w:eastAsia="Times New Roman" w:cs="Tahoma"/>
      <w:sz w:val="16"/>
      <w:szCs w:val="16"/>
    </w:rPr>
  </w:style>
  <w:style w:type="character" w:styleId="Style18">
    <w:name w:val="Без интервала Знак"/>
    <w:qFormat/>
    <w:rPr>
      <w:sz w:val="24"/>
      <w:szCs w:val="24"/>
    </w:rPr>
  </w:style>
  <w:style w:type="character" w:styleId="11">
    <w:name w:val="Гиперссылка1"/>
    <w:basedOn w:val="DefaultParagraphFont"/>
    <w:qFormat/>
    <w:rPr>
      <w:color w:themeColor="hyperlink"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Title">
    <w:name w:val="Title"/>
    <w:basedOn w:val="Normal"/>
    <w:next w:val="BodyText"/>
    <w:qFormat/>
    <w:pPr>
      <w:spacing w:before="300" w:after="200"/>
      <w:contextualSpacing/>
    </w:pPr>
    <w:rPr>
      <w:sz w:val="48"/>
      <w:szCs w:val="48"/>
    </w:rPr>
  </w:style>
  <w:style w:type="paragraph" w:styleId="IndexHeading">
    <w:name w:val="index heading"/>
    <w:basedOn w:val="Normal"/>
    <w:pPr>
      <w:suppressLineNumbers/>
    </w:pPr>
    <w:rPr>
      <w:rFonts w:ascii="PT Astra Serif" w:hAnsi="PT Astra Serif" w:cs="Noto Sans Devanagari"/>
    </w:rPr>
  </w:style>
  <w:style w:type="paragraph" w:styleId="ListParagraph">
    <w:name w:val="List Paragraph"/>
    <w:basedOn w:val="Normal"/>
    <w:qFormat/>
    <w:pPr>
      <w:spacing w:before="0" w:after="0"/>
      <w:ind w:left="72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link w:val="21"/>
    <w:qFormat/>
    <w:pPr>
      <w:ind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fill="F2F2F2" w:val="clear"/>
      <w:ind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left="283"/>
    </w:pPr>
    <w:rPr/>
  </w:style>
  <w:style w:type="paragraph" w:styleId="TOC3">
    <w:name w:val="toc 3"/>
    <w:basedOn w:val="Normal"/>
    <w:next w:val="Normal"/>
    <w:pPr>
      <w:spacing w:before="0" w:after="57"/>
      <w:ind w:left="567"/>
    </w:pPr>
    <w:rPr/>
  </w:style>
  <w:style w:type="paragraph" w:styleId="TOC4">
    <w:name w:val="toc 4"/>
    <w:basedOn w:val="Normal"/>
    <w:next w:val="Normal"/>
    <w:pPr>
      <w:spacing w:before="0" w:after="57"/>
      <w:ind w:left="850"/>
    </w:pPr>
    <w:rPr/>
  </w:style>
  <w:style w:type="paragraph" w:styleId="TOC5">
    <w:name w:val="toc 5"/>
    <w:basedOn w:val="Normal"/>
    <w:next w:val="Normal"/>
    <w:pPr>
      <w:spacing w:before="0" w:after="57"/>
      <w:ind w:left="1134"/>
    </w:pPr>
    <w:rPr/>
  </w:style>
  <w:style w:type="paragraph" w:styleId="TOC6">
    <w:name w:val="toc 6"/>
    <w:basedOn w:val="Normal"/>
    <w:next w:val="Normal"/>
    <w:pPr>
      <w:spacing w:before="0" w:after="57"/>
      <w:ind w:left="1417"/>
    </w:pPr>
    <w:rPr/>
  </w:style>
  <w:style w:type="paragraph" w:styleId="TOC7">
    <w:name w:val="toc 7"/>
    <w:basedOn w:val="Normal"/>
    <w:next w:val="Normal"/>
    <w:pPr>
      <w:spacing w:before="0" w:after="57"/>
      <w:ind w:left="1701"/>
    </w:pPr>
    <w:rPr/>
  </w:style>
  <w:style w:type="paragraph" w:styleId="TOC8">
    <w:name w:val="toc 8"/>
    <w:basedOn w:val="Normal"/>
    <w:next w:val="Normal"/>
    <w:pPr>
      <w:spacing w:before="0" w:after="57"/>
      <w:ind w:left="1984"/>
    </w:pPr>
    <w:rPr/>
  </w:style>
  <w:style w:type="paragraph" w:styleId="TOC9">
    <w:name w:val="toc 9"/>
    <w:basedOn w:val="Normal"/>
    <w:next w:val="Normal"/>
    <w:pPr>
      <w:spacing w:before="0" w:after="57"/>
      <w:ind w:left="2268"/>
    </w:pPr>
    <w:rPr/>
  </w:style>
  <w:style w:type="paragraph" w:styleId="TOCHeading">
    <w:name w:val="TOC Heading"/>
    <w:qFormat/>
    <w:pPr>
      <w:widowControl/>
      <w:suppressAutoHyphens w:val="true"/>
      <w:kinsoku w:val="true"/>
      <w:overflowPunct w:val="true"/>
      <w:autoSpaceDE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pPr/>
    <w:rPr/>
  </w:style>
  <w:style w:type="paragraph" w:styleId="BodyTextIndent">
    <w:name w:val="Body Text Indent"/>
    <w:basedOn w:val="Normal"/>
    <w:pPr>
      <w:ind w:firstLine="709"/>
      <w:jc w:val="both"/>
    </w:pPr>
    <w:rPr>
      <w:rFonts w:eastAsia="Calibri"/>
      <w:lang w:val="en-US"/>
    </w:rPr>
  </w:style>
  <w:style w:type="paragraph" w:styleId="ConsPlusNormal1">
    <w:name w:val="ConsPlusNormal"/>
    <w:qFormat/>
    <w:pPr>
      <w:widowControl w:val="false"/>
      <w:suppressAutoHyphens w:val="true"/>
      <w:kinsoku w:val="true"/>
      <w:overflowPunct w:val="true"/>
      <w:autoSpaceDE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kinsoku w:val="true"/>
      <w:overflowPunct w:val="true"/>
      <w:autoSpaceDE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Верхний и нижний колонтитулы"/>
    <w:basedOn w:val="Normal"/>
    <w:qFormat/>
    <w:pPr/>
    <w:rPr/>
  </w:style>
  <w:style w:type="paragraph" w:styleId="Style22">
    <w:name w:val="Колонтитулы"/>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CommentText">
    <w:name w:val="annotation text"/>
    <w:basedOn w:val="Normal"/>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kinsoku w:val="true"/>
      <w:overflowPunct w:val="true"/>
      <w:autoSpaceDE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name w:val="Без интервала1"/>
    <w:qFormat/>
    <w:pPr>
      <w:widowControl/>
      <w:suppressAutoHyphens w:val="true"/>
      <w:kinsoku w:val="true"/>
      <w:overflowPunct w:val="true"/>
      <w:autoSpaceDE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4">
    <w:name w:val="Содержимое врезки (user)"/>
    <w:basedOn w:val="Normal"/>
    <w:qFormat/>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jc w:val="center"/>
    </w:pPr>
    <w:rPr>
      <w:b/>
      <w:bCs/>
    </w:rPr>
  </w:style>
  <w:style w:type="paragraph" w:styleId="Style23">
    <w:name w:val="Содержимое таблицы"/>
    <w:basedOn w:val="Normal"/>
    <w:qFormat/>
    <w:pPr>
      <w:widowControl w:val="false"/>
      <w:suppressLineNumbers/>
    </w:pPr>
    <w:rPr/>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1333</TotalTime>
  <Application>LibreOffice/25.2.6.2$Linux_X86_64 LibreOffice_project/520$Build-2</Application>
  <AppVersion>15.0000</AppVersion>
  <Pages>7</Pages>
  <Words>3145</Words>
  <Characters>22610</Characters>
  <CharactersWithSpaces>26951</CharactersWithSpaces>
  <Paragraphs>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2026-07-24T10:25:10Z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