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0"/>
          <w:szCs w:val="20"/>
        </w:rPr>
      </w:pPr>
      <w:r>
        <w:rPr>
          <w:sz w:val="20"/>
          <w:szCs w:val="20"/>
        </w:rPr>
        <w:t>Договор № ____</w:t>
      </w:r>
    </w:p>
    <w:p>
      <w:pPr>
        <w:pStyle w:val="Normal"/>
        <w:jc w:val="center"/>
        <w:rPr>
          <w:sz w:val="20"/>
          <w:szCs w:val="20"/>
        </w:rPr>
      </w:pPr>
      <w:r>
        <w:rPr>
          <w:sz w:val="20"/>
          <w:szCs w:val="20"/>
        </w:rPr>
        <w:t>на поставку товара</w:t>
      </w:r>
    </w:p>
    <w:p>
      <w:pPr>
        <w:pStyle w:val="Normal"/>
        <w:jc w:val="center"/>
        <w:rPr>
          <w:b/>
          <w:sz w:val="18"/>
          <w:szCs w:val="18"/>
        </w:rPr>
      </w:pPr>
      <w:r>
        <w:rPr>
          <w:b/>
          <w:sz w:val="18"/>
          <w:szCs w:val="18"/>
        </w:rPr>
        <w:t>ИКЗ 251665802145966580100100110000000244</w:t>
      </w:r>
    </w:p>
    <w:p>
      <w:pPr>
        <w:pStyle w:val="Normal"/>
        <w:jc w:val="both"/>
        <w:rPr>
          <w:rFonts w:eastAsia="Calibri"/>
          <w:sz w:val="18"/>
          <w:szCs w:val="18"/>
        </w:rPr>
      </w:pPr>
      <w:r>
        <w:rPr>
          <w:rFonts w:eastAsia="Calibri"/>
          <w:sz w:val="18"/>
          <w:szCs w:val="18"/>
        </w:rPr>
      </w:r>
    </w:p>
    <w:p>
      <w:pPr>
        <w:pStyle w:val="Normal"/>
        <w:jc w:val="both"/>
        <w:rPr>
          <w:rFonts w:eastAsia="Calibri"/>
          <w:sz w:val="20"/>
          <w:szCs w:val="20"/>
        </w:rPr>
      </w:pPr>
      <w:r>
        <w:rPr>
          <w:rFonts w:eastAsia="Calibri"/>
          <w:sz w:val="20"/>
          <w:szCs w:val="20"/>
        </w:rPr>
        <w:tab/>
        <w:t>г.Екатеринбург                                                                                                     «      »              2026 г.</w:t>
      </w:r>
    </w:p>
    <w:p>
      <w:pPr>
        <w:pStyle w:val="Normal"/>
        <w:jc w:val="both"/>
        <w:rPr>
          <w:rFonts w:eastAsia="Calibri"/>
          <w:sz w:val="20"/>
          <w:szCs w:val="20"/>
        </w:rPr>
      </w:pPr>
      <w:r>
        <w:rPr>
          <w:rFonts w:eastAsia="Calibri"/>
          <w:sz w:val="20"/>
          <w:szCs w:val="20"/>
        </w:rPr>
      </w:r>
    </w:p>
    <w:p>
      <w:pPr>
        <w:pStyle w:val="Normal"/>
        <w:jc w:val="both"/>
        <w:rPr>
          <w:sz w:val="20"/>
          <w:szCs w:val="20"/>
        </w:rPr>
      </w:pPr>
      <w:r>
        <w:rPr>
          <w:sz w:val="20"/>
          <w:szCs w:val="20"/>
        </w:rPr>
        <w:t>Федеральное государственное бюджетное  учреждение  «Уральский научно-исследовательский институт охраны материнства и младенчества» Министерства здравоохранения Российской Федерации, именуемое  в дальнейшем «Заказчик», в лице</w:t>
      </w:r>
      <w:r>
        <w:rPr>
          <w:rFonts w:eastAsia="Times New Roman" w:cs="Times New Roman"/>
          <w:color w:val="auto"/>
          <w:kern w:val="0"/>
          <w:sz w:val="20"/>
          <w:szCs w:val="20"/>
          <w:lang w:val="ru-RU" w:eastAsia="ru-RU" w:bidi="ar-SA"/>
        </w:rPr>
        <w:t xml:space="preserve"> экономиста Чистякова Александра Сергеевича, действующего на основании доверенности от 01.11.2025 г. № 38, с одной стороны, и  _______, именуемое в дальнейшем «Поставщик», в лице   __________, действующего на осн</w:t>
      </w:r>
      <w:r>
        <w:rPr>
          <w:sz w:val="20"/>
          <w:szCs w:val="20"/>
        </w:rPr>
        <w:t xml:space="preserve">овании ________, с другой стороны, вместе именуемые «Стороны», по отдельности «Сторона», </w:t>
      </w:r>
    </w:p>
    <w:p>
      <w:pPr>
        <w:pStyle w:val="Normal"/>
        <w:jc w:val="both"/>
        <w:rPr>
          <w:sz w:val="20"/>
          <w:szCs w:val="20"/>
        </w:rPr>
      </w:pPr>
      <w:r>
        <w:rPr>
          <w:sz w:val="20"/>
          <w:szCs w:val="20"/>
        </w:rPr>
        <w:t>в соответствии с пунктом _____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 заключили настоящий договор (далее – Договор) о  нижеследующем.</w:t>
      </w:r>
    </w:p>
    <w:p>
      <w:pPr>
        <w:pStyle w:val="Normal"/>
        <w:jc w:val="both"/>
        <w:rPr>
          <w:rFonts w:eastAsia="Calibri"/>
          <w:color w:val="FF0000"/>
          <w:sz w:val="20"/>
          <w:szCs w:val="20"/>
        </w:rPr>
      </w:pPr>
      <w:r>
        <w:rPr>
          <w:rFonts w:eastAsia="Calibri"/>
          <w:color w:val="FF0000"/>
          <w:sz w:val="20"/>
          <w:szCs w:val="20"/>
        </w:rPr>
      </w:r>
    </w:p>
    <w:p>
      <w:pPr>
        <w:pStyle w:val="Normal"/>
        <w:jc w:val="both"/>
        <w:rPr>
          <w:rFonts w:eastAsia="Calibri"/>
          <w:b/>
          <w:sz w:val="20"/>
          <w:szCs w:val="20"/>
        </w:rPr>
      </w:pPr>
      <w:r>
        <w:rPr>
          <w:rFonts w:eastAsia="Calibri"/>
          <w:b/>
          <w:sz w:val="20"/>
          <w:szCs w:val="20"/>
        </w:rPr>
        <w:t>1.Предмет Договора</w:t>
      </w:r>
    </w:p>
    <w:p>
      <w:pPr>
        <w:pStyle w:val="Normal"/>
        <w:ind w:hanging="180"/>
        <w:jc w:val="both"/>
        <w:rPr>
          <w:rFonts w:eastAsia="Calibri"/>
          <w:sz w:val="20"/>
          <w:szCs w:val="20"/>
        </w:rPr>
      </w:pPr>
      <w:r>
        <w:rPr>
          <w:rFonts w:eastAsia="Calibri"/>
          <w:b/>
          <w:sz w:val="20"/>
          <w:szCs w:val="20"/>
        </w:rPr>
        <w:t xml:space="preserve">   </w:t>
      </w:r>
      <w:r>
        <w:rPr>
          <w:rFonts w:eastAsia="Calibri"/>
          <w:sz w:val="20"/>
          <w:szCs w:val="20"/>
        </w:rPr>
        <w:t>1.1.Поставщик обязуется передать, а Заказчик  принять в собственность  и  оплатить   на условиях настоящего Договора  ________(далее – Товар) в количестве, ассортименте и по ценам, указанным в спецификации к настоящему договору, являющихся неотъемлемой его частью (приложение № 1).</w:t>
      </w:r>
    </w:p>
    <w:p>
      <w:pPr>
        <w:pStyle w:val="Normal"/>
        <w:ind w:hanging="180"/>
        <w:jc w:val="both"/>
        <w:rPr>
          <w:rFonts w:eastAsia="Calibri"/>
          <w:sz w:val="20"/>
          <w:szCs w:val="20"/>
        </w:rPr>
      </w:pPr>
      <w:r>
        <w:rPr>
          <w:rFonts w:eastAsia="Calibri"/>
          <w:sz w:val="20"/>
          <w:szCs w:val="20"/>
        </w:rPr>
      </w:r>
    </w:p>
    <w:p>
      <w:pPr>
        <w:pStyle w:val="Normal"/>
        <w:jc w:val="both"/>
        <w:rPr>
          <w:rFonts w:eastAsia="Calibri"/>
          <w:b/>
          <w:sz w:val="20"/>
          <w:szCs w:val="20"/>
        </w:rPr>
      </w:pPr>
      <w:r>
        <w:rPr>
          <w:rFonts w:eastAsia="Calibri"/>
          <w:b/>
          <w:sz w:val="20"/>
          <w:szCs w:val="20"/>
        </w:rPr>
        <w:t>2.Условия поставки . Срок годности Товара</w:t>
      </w:r>
    </w:p>
    <w:p>
      <w:pPr>
        <w:pStyle w:val="Normal"/>
        <w:jc w:val="both"/>
        <w:rPr>
          <w:rFonts w:eastAsia="Calibri"/>
          <w:sz w:val="20"/>
          <w:szCs w:val="20"/>
        </w:rPr>
      </w:pPr>
      <w:r>
        <w:rPr>
          <w:rFonts w:eastAsia="Calibri"/>
          <w:sz w:val="20"/>
          <w:szCs w:val="20"/>
        </w:rPr>
        <w:t>2.1. Поставка Товара   осуществляется в оригинальной и неповрежденной упаковке на условиях склад Заказчика. Разгрузка Товара на складе Заказчика осуществляется силами Поставщика.</w:t>
      </w:r>
    </w:p>
    <w:p>
      <w:pPr>
        <w:pStyle w:val="Normal"/>
        <w:jc w:val="both"/>
        <w:rPr>
          <w:rFonts w:eastAsia="Calibri" w:eastAsiaTheme="minorHAnsi"/>
          <w:sz w:val="20"/>
          <w:szCs w:val="20"/>
          <w:lang w:eastAsia="en-US"/>
        </w:rPr>
      </w:pPr>
      <w:r>
        <w:rPr>
          <w:rFonts w:eastAsia="Calibri"/>
          <w:sz w:val="20"/>
          <w:szCs w:val="20"/>
        </w:rPr>
        <w:t xml:space="preserve">2.2. </w:t>
      </w:r>
      <w:r>
        <w:rPr>
          <w:rFonts w:eastAsia="Calibri" w:eastAsiaTheme="minorHAnsi"/>
          <w:sz w:val="20"/>
          <w:szCs w:val="20"/>
          <w:lang w:eastAsia="en-US"/>
        </w:rPr>
        <w:t xml:space="preserve">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w:t>
      </w:r>
    </w:p>
    <w:p>
      <w:pPr>
        <w:pStyle w:val="Normal"/>
        <w:jc w:val="both"/>
        <w:rPr>
          <w:rFonts w:eastAsia="Calibri"/>
          <w:sz w:val="20"/>
          <w:szCs w:val="20"/>
        </w:rPr>
      </w:pPr>
      <w:r>
        <w:rPr>
          <w:rFonts w:eastAsia="Calibri"/>
          <w:sz w:val="20"/>
          <w:szCs w:val="20"/>
        </w:rPr>
        <w:t>2.3.Поставщик гарантирует, что Товар является новым, Товар свободен от прав третьих   лиц и не является предметом залога, ареста или иного обременения.</w:t>
      </w:r>
    </w:p>
    <w:p>
      <w:pPr>
        <w:pStyle w:val="Normal"/>
        <w:jc w:val="both"/>
        <w:rPr>
          <w:rFonts w:eastAsia="Calibri"/>
          <w:sz w:val="20"/>
          <w:szCs w:val="20"/>
        </w:rPr>
      </w:pPr>
      <w:r>
        <w:rPr>
          <w:rFonts w:eastAsia="Calibri"/>
          <w:sz w:val="20"/>
          <w:szCs w:val="20"/>
        </w:rPr>
        <w:tab/>
      </w:r>
    </w:p>
    <w:p>
      <w:pPr>
        <w:pStyle w:val="Normal"/>
        <w:jc w:val="both"/>
        <w:rPr>
          <w:rFonts w:eastAsia="Calibri"/>
          <w:b/>
          <w:sz w:val="20"/>
          <w:szCs w:val="20"/>
        </w:rPr>
      </w:pPr>
      <w:r>
        <w:rPr>
          <w:rFonts w:eastAsia="Calibri"/>
          <w:b/>
          <w:sz w:val="20"/>
          <w:szCs w:val="20"/>
        </w:rPr>
        <w:t>3.Цена договора и порядок оплаты</w:t>
      </w:r>
    </w:p>
    <w:p>
      <w:pPr>
        <w:pStyle w:val="Normal"/>
        <w:tabs>
          <w:tab w:val="left" w:pos="708" w:leader="none"/>
          <w:tab w:val="left" w:pos="1985" w:leader="none"/>
        </w:tabs>
        <w:jc w:val="both"/>
        <w:rPr>
          <w:rFonts w:eastAsia="ヒラギノ角ゴ Pro W3"/>
          <w:color w:val="000000"/>
          <w:sz w:val="20"/>
          <w:szCs w:val="20"/>
          <w:lang w:eastAsia="en-US"/>
        </w:rPr>
      </w:pPr>
      <w:r>
        <w:rPr>
          <w:rFonts w:eastAsia="ヒラギノ角ゴ Pro W3"/>
          <w:color w:val="000000"/>
          <w:sz w:val="20"/>
          <w:szCs w:val="20"/>
          <w:lang w:eastAsia="en-US"/>
        </w:rPr>
        <w:t xml:space="preserve">3.1.  </w:t>
      </w:r>
      <w:r>
        <w:rPr>
          <w:rFonts w:eastAsia="ヒラギノ角ゴ Pro W3"/>
          <w:color w:val="FF0000"/>
          <w:sz w:val="20"/>
          <w:szCs w:val="20"/>
          <w:lang w:eastAsia="en-US"/>
        </w:rPr>
        <w:t xml:space="preserve">Цена Товара </w:t>
      </w:r>
      <w:r>
        <w:rPr>
          <w:rFonts w:eastAsia="ヒラギノ角ゴ Pro W3"/>
          <w:color w:val="000000"/>
          <w:sz w:val="20"/>
          <w:szCs w:val="20"/>
          <w:lang w:eastAsia="en-US"/>
        </w:rPr>
        <w:t>по настоящему Договору составляет _________.</w:t>
      </w:r>
    </w:p>
    <w:p>
      <w:pPr>
        <w:pStyle w:val="Normal"/>
        <w:tabs>
          <w:tab w:val="left" w:pos="708" w:leader="none"/>
          <w:tab w:val="left" w:pos="1985" w:leader="none"/>
        </w:tabs>
        <w:jc w:val="both"/>
        <w:rPr>
          <w:sz w:val="20"/>
          <w:szCs w:val="20"/>
        </w:rPr>
      </w:pPr>
      <w:r>
        <w:rPr>
          <w:rFonts w:eastAsia="ヒラギノ角ゴ Pro W3"/>
          <w:color w:val="000000"/>
          <w:sz w:val="20"/>
          <w:szCs w:val="20"/>
          <w:lang w:eastAsia="en-US"/>
        </w:rPr>
        <w:t xml:space="preserve">Цена на Товар   установлена в рублях РФ, с учетом всех используемых в процессе работ материалов, изделий и оборудования, изготовление, поставку, погрузку, разгрузку, сборку, установку, страхование, уплату таможенных пошлин, налогов и других обязательных платежей, в том числе за проведение испытаний и получение заключений разрешительных и надзорных органов. </w:t>
      </w:r>
    </w:p>
    <w:p>
      <w:pPr>
        <w:pStyle w:val="Normal"/>
        <w:jc w:val="both"/>
        <w:rPr>
          <w:rFonts w:eastAsia="Calibri"/>
          <w:color w:val="000000"/>
          <w:spacing w:val="5"/>
          <w:sz w:val="20"/>
          <w:szCs w:val="20"/>
        </w:rPr>
      </w:pPr>
      <w:r>
        <w:rPr>
          <w:rFonts w:eastAsia="Calibri"/>
          <w:sz w:val="20"/>
          <w:szCs w:val="20"/>
        </w:rPr>
        <w:t xml:space="preserve">3.2.Цена Договора является твердой и определяется на весь срок исполнения Договора. Цена Договора может быть снижена без изменения предусмотренного   Договором количества Товара, качества поставляемого Товара и иных условий Договора (пункт 1.1. части 1 статьи 95 </w:t>
      </w:r>
      <w:r>
        <w:rPr>
          <w:rFonts w:eastAsia="Calibri"/>
          <w:color w:val="000000"/>
          <w:spacing w:val="5"/>
          <w:sz w:val="20"/>
          <w:szCs w:val="20"/>
        </w:rPr>
        <w:t>Федерального закона о контрактной системе).</w:t>
      </w:r>
    </w:p>
    <w:p>
      <w:pPr>
        <w:pStyle w:val="Normal"/>
        <w:shd w:val="clear" w:color="auto" w:fill="FFFFFF"/>
        <w:ind w:hanging="180"/>
        <w:jc w:val="both"/>
        <w:rPr>
          <w:color w:val="FF0000"/>
          <w:sz w:val="20"/>
        </w:rPr>
      </w:pPr>
      <w:r>
        <w:rPr>
          <w:rFonts w:eastAsia="Calibri"/>
          <w:sz w:val="20"/>
          <w:szCs w:val="20"/>
        </w:rPr>
        <w:t xml:space="preserve">   </w:t>
      </w:r>
      <w:r>
        <w:rPr>
          <w:rFonts w:eastAsia="Calibri"/>
          <w:sz w:val="20"/>
          <w:szCs w:val="20"/>
        </w:rPr>
        <w:t>3.3.О</w:t>
      </w:r>
      <w:r>
        <w:rPr>
          <w:rFonts w:eastAsia="Calibri"/>
          <w:color w:val="000000"/>
          <w:spacing w:val="5"/>
          <w:sz w:val="20"/>
          <w:szCs w:val="20"/>
        </w:rPr>
        <w:t xml:space="preserve">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 </w:t>
      </w:r>
      <w:r>
        <w:rPr>
          <w:color w:themeColor="text1" w:val="000000"/>
          <w:sz w:val="20"/>
        </w:rPr>
        <w:t xml:space="preserve">в срок не более 10 (десяти) рабочих дней </w:t>
      </w:r>
      <w:r>
        <w:rPr>
          <w:rFonts w:eastAsia="Calibri"/>
          <w:color w:themeColor="text1" w:val="000000"/>
          <w:sz w:val="20"/>
        </w:rPr>
        <w:t xml:space="preserve">с даты подписания Заказчиком документа о приемке, предусмотренного </w:t>
      </w:r>
      <w:r>
        <w:rPr>
          <w:rFonts w:eastAsia="Calibri"/>
          <w:sz w:val="20"/>
        </w:rPr>
        <w:t>пунктами 5.3. и 5.6.</w:t>
      </w:r>
      <w:r>
        <w:rPr>
          <w:sz w:val="20"/>
        </w:rPr>
        <w:t xml:space="preserve">, </w:t>
      </w:r>
      <w:r>
        <w:rPr>
          <w:color w:themeColor="text1" w:val="000000"/>
          <w:sz w:val="20"/>
        </w:rPr>
        <w:t xml:space="preserve">без предоплаты. Датой оплаты считается дата списания денежных средств со счета Заказчика. </w:t>
      </w:r>
    </w:p>
    <w:p>
      <w:pPr>
        <w:pStyle w:val="Normal"/>
        <w:jc w:val="both"/>
        <w:rPr>
          <w:rFonts w:eastAsia="Calibri"/>
          <w:color w:val="000000"/>
          <w:sz w:val="20"/>
          <w:szCs w:val="20"/>
        </w:rPr>
      </w:pPr>
      <w:r>
        <w:rPr>
          <w:rFonts w:eastAsia="Calibri"/>
          <w:color w:val="000000"/>
          <w:sz w:val="20"/>
          <w:szCs w:val="20"/>
        </w:rPr>
      </w:r>
    </w:p>
    <w:p>
      <w:pPr>
        <w:pStyle w:val="Normal"/>
        <w:jc w:val="both"/>
        <w:rPr>
          <w:rFonts w:eastAsia="Calibri"/>
          <w:b/>
          <w:sz w:val="20"/>
          <w:szCs w:val="20"/>
        </w:rPr>
      </w:pPr>
      <w:r>
        <w:rPr>
          <w:rFonts w:eastAsia="Calibri"/>
          <w:b/>
          <w:sz w:val="20"/>
          <w:szCs w:val="20"/>
        </w:rPr>
        <w:t>4.Качество и комплектность Товара</w:t>
      </w:r>
    </w:p>
    <w:p>
      <w:pPr>
        <w:pStyle w:val="Normal"/>
        <w:ind w:hanging="200"/>
        <w:jc w:val="both"/>
        <w:rPr>
          <w:rFonts w:eastAsia="Calibri"/>
          <w:color w:val="000000"/>
          <w:sz w:val="20"/>
          <w:szCs w:val="20"/>
        </w:rPr>
      </w:pPr>
      <w:r>
        <w:rPr>
          <w:rFonts w:eastAsia="Calibri"/>
          <w:sz w:val="20"/>
          <w:szCs w:val="20"/>
        </w:rPr>
        <w:t xml:space="preserve">   </w:t>
      </w:r>
      <w:r>
        <w:rPr>
          <w:rFonts w:eastAsia="Calibri"/>
          <w:sz w:val="20"/>
          <w:szCs w:val="20"/>
        </w:rPr>
        <w:t xml:space="preserve">4.1. Качество поставляемого Товара должно соответствовать предусмотренным стандартам и быть подтверждено сертификатами,  </w:t>
      </w:r>
      <w:r>
        <w:rPr>
          <w:rFonts w:eastAsia="Calibri"/>
          <w:color w:val="000000"/>
          <w:sz w:val="20"/>
          <w:szCs w:val="20"/>
        </w:rPr>
        <w:t xml:space="preserve">санитарно-эпидемиологическими заключениями (в случае, если поставляемый Товар подлежит обязательной гигиенической сертификации) или иными документами подтверждающими  безопасность и качество Товара,  выданными  в соответствии с Решением Комиссии таможенного союза от 18.06.2010 г № 299.  </w:t>
      </w:r>
    </w:p>
    <w:p>
      <w:pPr>
        <w:pStyle w:val="Normal"/>
        <w:ind w:hanging="200"/>
        <w:jc w:val="both"/>
        <w:rPr>
          <w:rFonts w:eastAsia="Calibri"/>
          <w:b/>
          <w:sz w:val="20"/>
          <w:szCs w:val="20"/>
        </w:rPr>
      </w:pPr>
      <w:r>
        <w:rPr>
          <w:rFonts w:eastAsia="Calibri"/>
          <w:sz w:val="20"/>
          <w:szCs w:val="20"/>
        </w:rPr>
        <w:t xml:space="preserve">    </w:t>
      </w:r>
      <w:r>
        <w:rPr>
          <w:rFonts w:eastAsia="Calibri"/>
          <w:sz w:val="20"/>
          <w:szCs w:val="20"/>
        </w:rPr>
        <w:t>4.2.Отсутствие перечисленных в настоящем разделе и оформленных в соответствии с   требованиями настоящего раздела Договора документов позволяет квалифицировать  поставляемый Товар, как не соответствующий по качеству и иным условиям настоящему Договору. Заказчик вправе  отказаться от получения  такой партии Товара, со всеми вытекающими отсюда последствиями.</w:t>
      </w:r>
    </w:p>
    <w:p>
      <w:pPr>
        <w:pStyle w:val="Normal"/>
        <w:jc w:val="both"/>
        <w:rPr>
          <w:rFonts w:eastAsia="Calibri"/>
          <w:b/>
          <w:sz w:val="20"/>
          <w:szCs w:val="20"/>
        </w:rPr>
      </w:pPr>
      <w:r>
        <w:rPr>
          <w:rFonts w:eastAsia="Calibri"/>
          <w:b/>
          <w:sz w:val="20"/>
          <w:szCs w:val="20"/>
        </w:rPr>
      </w:r>
    </w:p>
    <w:p>
      <w:pPr>
        <w:pStyle w:val="Normal"/>
        <w:jc w:val="both"/>
        <w:rPr>
          <w:rFonts w:eastAsia="Calibri"/>
          <w:b/>
          <w:sz w:val="20"/>
          <w:szCs w:val="20"/>
        </w:rPr>
      </w:pPr>
      <w:r>
        <w:rPr>
          <w:rFonts w:eastAsia="Calibri"/>
          <w:b/>
          <w:sz w:val="20"/>
          <w:szCs w:val="20"/>
        </w:rPr>
        <w:t>5.Срок, порядок поставки Товара. Взаимодействие сторон</w:t>
      </w:r>
    </w:p>
    <w:p>
      <w:pPr>
        <w:pStyle w:val="Normal"/>
        <w:tabs>
          <w:tab w:val="clear" w:pos="708"/>
          <w:tab w:val="left" w:pos="851" w:leader="none"/>
        </w:tabs>
        <w:jc w:val="both"/>
        <w:rPr>
          <w:color w:val="FF0000"/>
          <w:sz w:val="20"/>
          <w:szCs w:val="20"/>
        </w:rPr>
      </w:pPr>
      <w:r>
        <w:rPr>
          <w:rFonts w:eastAsia="Calibri"/>
          <w:sz w:val="20"/>
          <w:szCs w:val="20"/>
          <w:lang w:eastAsia="ar-SA"/>
        </w:rPr>
        <w:t xml:space="preserve">5.1.Поставка Товара осуществляется в срок : в течении </w:t>
      </w:r>
      <w:r>
        <w:rPr>
          <w:rFonts w:eastAsia="Calibri"/>
          <w:sz w:val="20"/>
          <w:szCs w:val="20"/>
          <w:lang w:val="en-US" w:eastAsia="ar-SA"/>
        </w:rPr>
        <w:t>10</w:t>
      </w:r>
      <w:r>
        <w:rPr>
          <w:rFonts w:eastAsia="Calibri"/>
          <w:sz w:val="20"/>
          <w:szCs w:val="20"/>
          <w:lang w:eastAsia="ar-SA"/>
        </w:rPr>
        <w:t xml:space="preserve"> календарных дней с момента заключения Договора</w:t>
      </w:r>
      <w:r>
        <w:rPr>
          <w:color w:val="FF0000"/>
          <w:sz w:val="20"/>
          <w:szCs w:val="20"/>
        </w:rPr>
        <w:t xml:space="preserve">. </w:t>
      </w:r>
    </w:p>
    <w:p>
      <w:pPr>
        <w:pStyle w:val="Normal"/>
        <w:tabs>
          <w:tab w:val="clear" w:pos="708"/>
          <w:tab w:val="left" w:pos="927" w:leader="none"/>
        </w:tabs>
        <w:jc w:val="both"/>
        <w:rPr>
          <w:rFonts w:eastAsia="Calibri"/>
          <w:sz w:val="20"/>
          <w:szCs w:val="20"/>
        </w:rPr>
      </w:pPr>
      <w:r>
        <w:rPr>
          <w:rFonts w:eastAsia="Calibri"/>
          <w:sz w:val="20"/>
          <w:szCs w:val="20"/>
        </w:rPr>
        <w:t>5.2.</w:t>
      </w:r>
      <w:r>
        <w:rPr>
          <w:rFonts w:eastAsia="Calibri"/>
          <w:color w:val="000000"/>
          <w:spacing w:val="5"/>
          <w:sz w:val="20"/>
          <w:szCs w:val="20"/>
        </w:rPr>
        <w:t xml:space="preserve">Приемка Товара по количеству и качеству производится в порядке, установленном Постановлением Госарбитража при Совете Министров СССР в инструкциях: </w:t>
      </w:r>
      <w:r>
        <w:rPr>
          <w:rFonts w:eastAsia="Calibri"/>
          <w:color w:val="000000"/>
          <w:sz w:val="20"/>
          <w:szCs w:val="20"/>
        </w:rPr>
        <w:t xml:space="preserve"> «О порядке приемки продукции производственно-технического назначения и Товаров народного потребления по качеству» № П-7 от 25.04.1966г., «О порядке приемки продукции производственно-технического назначения и Товаров народного потребления по количеству» № П-6 от 15.06.1965 г. </w:t>
      </w:r>
      <w:r>
        <w:rPr>
          <w:rFonts w:eastAsia="Calibri"/>
          <w:sz w:val="20"/>
          <w:szCs w:val="20"/>
        </w:rPr>
        <w:t xml:space="preserve"> в части, не противоречащей действующему гражданскому законодательству Российской Федерации  и настоящему Договору.</w:t>
        <w:tab/>
      </w:r>
    </w:p>
    <w:p>
      <w:pPr>
        <w:pStyle w:val="Normal"/>
        <w:tabs>
          <w:tab w:val="clear" w:pos="708"/>
          <w:tab w:val="left" w:pos="927" w:leader="none"/>
        </w:tabs>
        <w:jc w:val="both"/>
        <w:rPr>
          <w:sz w:val="20"/>
          <w:szCs w:val="20"/>
        </w:rPr>
      </w:pPr>
      <w:r>
        <w:rPr>
          <w:sz w:val="20"/>
          <w:szCs w:val="20"/>
        </w:rPr>
        <w:t>5.3. Фактической датой поставки Товара считается дата, указанная представителем Заказчика, осуществляющим приемку Товара,  в накладной или УПД.</w:t>
      </w:r>
    </w:p>
    <w:p>
      <w:pPr>
        <w:pStyle w:val="Normal"/>
        <w:jc w:val="both"/>
        <w:rPr>
          <w:sz w:val="20"/>
          <w:szCs w:val="20"/>
        </w:rPr>
      </w:pPr>
      <w:r>
        <w:rPr>
          <w:sz w:val="20"/>
          <w:szCs w:val="20"/>
        </w:rPr>
        <w:t>5.4.При поставке Товара Поставщик представляет следующие документы:  копию декларации о соответствии /сертификаты соответствия на Товар, товарную накладную или УПД,  счет и/или счет-фактуру, иные документы, подтверждающие качество и безопасность Товара.</w:t>
      </w:r>
    </w:p>
    <w:p>
      <w:pPr>
        <w:pStyle w:val="ConsPlusNormal"/>
        <w:jc w:val="both"/>
        <w:rPr>
          <w:rFonts w:ascii="Times New Roman" w:hAnsi="Times New Roman"/>
          <w:sz w:val="20"/>
        </w:rPr>
      </w:pPr>
      <w:r>
        <w:rPr>
          <w:rFonts w:cs="Times New Roman" w:ascii="Times New Roman" w:hAnsi="Times New Roman"/>
          <w:sz w:val="20"/>
        </w:rPr>
        <w:t xml:space="preserve">5.5. </w:t>
      </w:r>
      <w:r>
        <w:rPr>
          <w:rFonts w:ascii="Times New Roman" w:hAnsi="Times New Roman"/>
          <w:sz w:val="20"/>
        </w:rPr>
        <w:t>В случае выявления</w:t>
      </w:r>
      <w:r>
        <w:rPr>
          <w:rFonts w:ascii="Times New Roman" w:hAnsi="Times New Roman"/>
          <w:w w:val="91"/>
          <w:sz w:val="20"/>
        </w:rPr>
        <w:t xml:space="preserve"> </w:t>
      </w:r>
      <w:r>
        <w:rPr>
          <w:rFonts w:ascii="Times New Roman" w:hAnsi="Times New Roman"/>
          <w:sz w:val="20"/>
        </w:rPr>
        <w:t>Заказчиком несоответствия Товара требованиям, указанн</w:t>
      </w:r>
      <w:r>
        <w:rPr>
          <w:rFonts w:ascii="Times New Roman" w:hAnsi="Times New Roman"/>
          <w:w w:val="91"/>
          <w:sz w:val="20"/>
        </w:rPr>
        <w:t xml:space="preserve">ым </w:t>
      </w:r>
      <w:r>
        <w:rPr>
          <w:rFonts w:ascii="Times New Roman" w:hAnsi="Times New Roman"/>
          <w:sz w:val="20"/>
        </w:rPr>
        <w:t>в настоящем Договоре, Заказчик не принимает Товар, при этом Заказчиком составляется Акт о несоответствии поставленного Товара предъявляемым к нему по условиям настоящего Договора требованиям.</w:t>
      </w:r>
    </w:p>
    <w:p>
      <w:pPr>
        <w:pStyle w:val="ConsPlusNormal"/>
        <w:jc w:val="both"/>
        <w:rPr>
          <w:rFonts w:ascii="Times New Roman" w:hAnsi="Times New Roman"/>
          <w:sz w:val="20"/>
        </w:rPr>
      </w:pPr>
      <w:r>
        <w:rPr>
          <w:rFonts w:ascii="Times New Roman" w:hAnsi="Times New Roman"/>
          <w:sz w:val="20"/>
        </w:rPr>
        <w:t>Такой Товар   подлежит замене за счет Поставщика, включая расходы на выезд представителя Поставщика к Заказчику, транспортировку, погрузочно-разгрузочные работы, упаковку и страхование заменяемого Товара, услуги эксперта, в срок, установленный Актом о несоответствии поставляемого Товара</w:t>
      </w:r>
    </w:p>
    <w:p>
      <w:pPr>
        <w:pStyle w:val="ConsPlusNormal"/>
        <w:jc w:val="both"/>
        <w:rPr>
          <w:rFonts w:ascii="Times New Roman" w:hAnsi="Times New Roman" w:cs="Times New Roman"/>
          <w:sz w:val="20"/>
        </w:rPr>
      </w:pPr>
      <w:r>
        <w:rPr>
          <w:rFonts w:cs="Times New Roman" w:ascii="Times New Roman" w:hAnsi="Times New Roman"/>
          <w:sz w:val="20"/>
        </w:rPr>
        <w:t xml:space="preserve">5.6. Заказчик имеет право частично принять поставленный Товар с отражением информации о фактически принятом количестве Товара в документе о приемке Товара в соответствии с пунктом  5.3  Договора. </w:t>
      </w:r>
    </w:p>
    <w:p>
      <w:pPr>
        <w:pStyle w:val="Normal"/>
        <w:jc w:val="both"/>
        <w:rPr>
          <w:rFonts w:eastAsia="Calibri"/>
          <w:sz w:val="20"/>
          <w:szCs w:val="20"/>
        </w:rPr>
      </w:pPr>
      <w:r>
        <w:rPr>
          <w:rFonts w:eastAsia="Calibri"/>
          <w:sz w:val="20"/>
          <w:szCs w:val="20"/>
        </w:rPr>
        <w:t>5.7.</w:t>
      </w:r>
      <w:r>
        <w:rPr>
          <w:rFonts w:eastAsia="Calibri"/>
          <w:b/>
          <w:sz w:val="20"/>
          <w:szCs w:val="20"/>
        </w:rPr>
        <w:t xml:space="preserve"> </w:t>
      </w:r>
      <w:r>
        <w:rPr>
          <w:rFonts w:eastAsia="Calibri"/>
          <w:sz w:val="20"/>
          <w:szCs w:val="20"/>
        </w:rPr>
        <w:t>Поставляемый Товар должен быть упакован в тару, отвечающую требованиям ГОСТов, ТУ или технических регламентов и обеспечивающих его качество, сохранность при перевозке, разгрузке и хранении.</w:t>
      </w:r>
    </w:p>
    <w:p>
      <w:pPr>
        <w:pStyle w:val="Normal"/>
        <w:shd w:val="clear" w:color="auto" w:fill="FFFFFF"/>
        <w:jc w:val="both"/>
        <w:rPr>
          <w:rFonts w:eastAsia="Calibri"/>
          <w:sz w:val="20"/>
          <w:szCs w:val="20"/>
        </w:rPr>
      </w:pPr>
      <w:r>
        <w:rPr>
          <w:rFonts w:eastAsia="Calibri"/>
          <w:sz w:val="20"/>
          <w:szCs w:val="20"/>
        </w:rPr>
        <w:t xml:space="preserve">5.7.Отгрузка Товара в адрес Заказчика производится автотранспортом Поставщика и   за счет Поставщика. Все погрузо-разгрузочные работы осуществляются также силами, средствами и за счет Поставщика. </w:t>
      </w:r>
    </w:p>
    <w:p>
      <w:pPr>
        <w:pStyle w:val="Normal"/>
        <w:jc w:val="both"/>
        <w:rPr>
          <w:rFonts w:eastAsia="Calibri"/>
          <w:sz w:val="20"/>
          <w:szCs w:val="20"/>
        </w:rPr>
      </w:pPr>
      <w:r>
        <w:rPr>
          <w:rFonts w:eastAsia="Calibri"/>
          <w:sz w:val="20"/>
          <w:szCs w:val="20"/>
        </w:rPr>
        <w:t xml:space="preserve">5.8. Поставка Товара производится </w:t>
      </w:r>
      <w:r>
        <w:rPr>
          <w:rFonts w:eastAsia="Calibri"/>
          <w:color w:val="FF0000"/>
          <w:sz w:val="20"/>
          <w:szCs w:val="20"/>
        </w:rPr>
        <w:t xml:space="preserve">на материальный  склад </w:t>
      </w:r>
      <w:r>
        <w:rPr>
          <w:rFonts w:eastAsia="Calibri"/>
          <w:sz w:val="20"/>
          <w:szCs w:val="20"/>
        </w:rPr>
        <w:t>Заказчика, расположенного по адресу: г. Екатеринбург, ул. Репина,д.1, в течение рабочего времени Заказчика.</w:t>
      </w:r>
    </w:p>
    <w:p>
      <w:pPr>
        <w:pStyle w:val="ConsPlusNormal"/>
        <w:jc w:val="both"/>
        <w:rPr>
          <w:rFonts w:ascii="Times New Roman" w:hAnsi="Times New Roman" w:cs="Times New Roman"/>
          <w:sz w:val="20"/>
        </w:rPr>
      </w:pPr>
      <w:r>
        <w:rPr>
          <w:rFonts w:eastAsia="Calibri" w:cs="Times New Roman" w:ascii="Times New Roman" w:hAnsi="Times New Roman"/>
          <w:sz w:val="20"/>
          <w:lang w:eastAsia="en-US"/>
        </w:rPr>
        <w:t>5.9</w:t>
      </w:r>
      <w:r>
        <w:rPr>
          <w:rFonts w:eastAsia="Calibri"/>
          <w:sz w:val="20"/>
          <w:lang w:eastAsia="en-US"/>
        </w:rPr>
        <w:t xml:space="preserve">. </w:t>
      </w:r>
      <w:r>
        <w:rPr>
          <w:rFonts w:cs="Times New Roman" w:ascii="Times New Roman" w:hAnsi="Times New Roman"/>
          <w:sz w:val="20"/>
        </w:rPr>
        <w:t>Риск случайной гибели, утраты или повреждения Товара переходит к Заказчику с даты фактической приемки Товара (пункты 5.3.,5.4 и 5.6. Договора).</w:t>
      </w:r>
    </w:p>
    <w:p>
      <w:pPr>
        <w:pStyle w:val="Normal"/>
        <w:jc w:val="both"/>
        <w:rPr>
          <w:b/>
          <w:sz w:val="20"/>
          <w:szCs w:val="20"/>
        </w:rPr>
      </w:pPr>
      <w:r>
        <w:rPr>
          <w:sz w:val="20"/>
        </w:rPr>
        <w:t xml:space="preserve">5.10. </w:t>
      </w:r>
      <w:r>
        <w:rPr>
          <w:sz w:val="20"/>
          <w:szCs w:val="20"/>
        </w:rPr>
        <w:t>Поставщик декларирует соответствие требованиям, установленным пунктами 3 - 5, 7 - 11 части 1 статьи 31 Федерального закона о контрактной системе.</w:t>
      </w:r>
    </w:p>
    <w:p>
      <w:pPr>
        <w:pStyle w:val="Normal"/>
        <w:jc w:val="both"/>
        <w:rPr>
          <w:rFonts w:eastAsia="Calibri"/>
          <w:b/>
          <w:sz w:val="20"/>
          <w:szCs w:val="20"/>
        </w:rPr>
      </w:pPr>
      <w:r>
        <w:rPr>
          <w:rFonts w:eastAsia="Calibri"/>
          <w:b/>
          <w:sz w:val="20"/>
          <w:szCs w:val="20"/>
        </w:rPr>
        <w:t xml:space="preserve">    </w:t>
      </w:r>
    </w:p>
    <w:p>
      <w:pPr>
        <w:pStyle w:val="Normal"/>
        <w:ind w:hanging="360" w:left="360"/>
        <w:jc w:val="both"/>
        <w:rPr>
          <w:rFonts w:eastAsia="Calibri"/>
          <w:b/>
          <w:sz w:val="20"/>
          <w:szCs w:val="20"/>
        </w:rPr>
      </w:pPr>
      <w:r>
        <w:rPr>
          <w:rFonts w:eastAsia="Calibri"/>
          <w:b/>
          <w:sz w:val="20"/>
          <w:szCs w:val="20"/>
        </w:rPr>
        <w:t>6.Срок действия договора</w:t>
      </w:r>
    </w:p>
    <w:p>
      <w:pPr>
        <w:pStyle w:val="Normal"/>
        <w:jc w:val="both"/>
        <w:rPr>
          <w:rFonts w:eastAsia="Calibri"/>
          <w:sz w:val="20"/>
          <w:szCs w:val="20"/>
        </w:rPr>
      </w:pPr>
      <w:r>
        <w:rPr>
          <w:rFonts w:eastAsia="Calibri"/>
          <w:sz w:val="20"/>
          <w:szCs w:val="20"/>
        </w:rPr>
        <w:t xml:space="preserve">6.1.Настоящий Договор вступает в силу с даты его подписания  и действует до </w:t>
      </w:r>
      <w:r>
        <w:rPr>
          <w:rFonts w:eastAsia="Calibri"/>
          <w:b/>
          <w:color w:val="FF0000"/>
          <w:sz w:val="20"/>
          <w:szCs w:val="20"/>
        </w:rPr>
        <w:t>31.12.2026</w:t>
      </w:r>
      <w:r>
        <w:rPr>
          <w:rFonts w:eastAsia="Calibri"/>
          <w:color w:val="FF0000"/>
          <w:sz w:val="20"/>
          <w:szCs w:val="20"/>
        </w:rPr>
        <w:t xml:space="preserve"> </w:t>
      </w:r>
      <w:r>
        <w:rPr>
          <w:rFonts w:eastAsia="Calibri"/>
          <w:sz w:val="20"/>
          <w:szCs w:val="20"/>
        </w:rPr>
        <w:t xml:space="preserve">г. , </w:t>
      </w:r>
      <w:r>
        <w:rPr>
          <w:rFonts w:eastAsia="Calibri" w:eastAsiaTheme="minorHAnsi"/>
          <w:sz w:val="20"/>
          <w:szCs w:val="20"/>
          <w:lang w:eastAsia="en-US"/>
        </w:rPr>
        <w:t xml:space="preserve">а в части </w:t>
      </w:r>
      <w:r>
        <w:rPr>
          <w:rFonts w:eastAsia="Calibri"/>
          <w:sz w:val="20"/>
          <w:szCs w:val="20"/>
        </w:rPr>
        <w:t>принятых Сторонами обязательств – до полного их исполнения.</w:t>
      </w:r>
    </w:p>
    <w:p>
      <w:pPr>
        <w:pStyle w:val="Normal"/>
        <w:jc w:val="both"/>
        <w:rPr>
          <w:rFonts w:eastAsia="Calibri"/>
          <w:sz w:val="20"/>
          <w:szCs w:val="20"/>
        </w:rPr>
      </w:pPr>
      <w:r>
        <w:rPr>
          <w:rFonts w:eastAsia="Calibri"/>
          <w:sz w:val="20"/>
          <w:szCs w:val="20"/>
        </w:rPr>
      </w:r>
    </w:p>
    <w:p>
      <w:pPr>
        <w:pStyle w:val="Normal"/>
        <w:jc w:val="both"/>
        <w:rPr>
          <w:b/>
          <w:sz w:val="20"/>
          <w:szCs w:val="20"/>
        </w:rPr>
      </w:pPr>
      <w:r>
        <w:rPr>
          <w:b/>
          <w:sz w:val="20"/>
          <w:szCs w:val="20"/>
        </w:rPr>
        <w:t>7. Ответственность Сторон</w:t>
      </w:r>
    </w:p>
    <w:p>
      <w:pPr>
        <w:pStyle w:val="Normal"/>
        <w:jc w:val="both"/>
        <w:rPr>
          <w:sz w:val="20"/>
          <w:szCs w:val="20"/>
        </w:rPr>
      </w:pPr>
      <w:r>
        <w:rPr>
          <w:sz w:val="20"/>
          <w:szCs w:val="20"/>
        </w:rPr>
        <w:t>7.1.За неисполнение или ненадлежащее исполнение Договора Стороны несут ответственность в соответствии с законодательством Российской Федерации.</w:t>
      </w:r>
    </w:p>
    <w:p>
      <w:pPr>
        <w:pStyle w:val="Normal"/>
        <w:jc w:val="both"/>
        <w:rPr>
          <w:sz w:val="20"/>
          <w:szCs w:val="20"/>
        </w:rPr>
      </w:pPr>
      <w:r>
        <w:rPr>
          <w:sz w:val="20"/>
          <w:szCs w:val="20"/>
        </w:rPr>
        <w:t xml:space="preserve">7.2.За нарушение срока поставки Товара Поставщик уплачивает Заказчику пени. Пеня начисляется за каждый день просрочки исполнения Поставщиком обязательства, предусмотренного договором, и устанавливается в размере одной трехсотой действующей на дату уплаты пеней ключевой ставки  ЦБ РФ от цены Договора, уменьшенной на сумму, пропорциональную объему обязательств, предусмотренных Договором и фактически исполненных Поставщиком. </w:t>
      </w:r>
    </w:p>
    <w:p>
      <w:pPr>
        <w:pStyle w:val="Normal"/>
        <w:jc w:val="both"/>
        <w:rPr>
          <w:sz w:val="20"/>
          <w:szCs w:val="20"/>
        </w:rPr>
      </w:pPr>
      <w:r>
        <w:rPr>
          <w:sz w:val="20"/>
          <w:szCs w:val="20"/>
        </w:rPr>
        <w:t>7.3. В случае ненадлежащего исполнения Заказчиком своих обязательств по Договору,  Поставщик вправе потребовать уплату  пеней  в соответствии с  действующим законодательством РФ.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день уплаты пеней ключевой ставки  ЦБ РФ, уменьшенной на сумму, пропорциональную объему обязательств, предусмотренных Договором и фактически исполненных Заказчиком.</w:t>
      </w:r>
    </w:p>
    <w:p>
      <w:pPr>
        <w:pStyle w:val="Normal"/>
        <w:jc w:val="both"/>
        <w:rPr>
          <w:sz w:val="20"/>
          <w:szCs w:val="20"/>
        </w:rPr>
      </w:pPr>
      <w:r>
        <w:rPr>
          <w:sz w:val="20"/>
          <w:szCs w:val="20"/>
        </w:rPr>
        <w:t>7.4.</w:t>
      </w:r>
      <w:r>
        <w:rPr>
          <w:bCs/>
          <w:sz w:val="20"/>
          <w:szCs w:val="20"/>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последний уплачивает Заказчику штраф. Размер штрафа определяется в соответствии с </w:t>
      </w:r>
      <w:hyperlink r:id="rId2">
        <w:r>
          <w:rPr>
            <w:rStyle w:val="Style9"/>
            <w:bCs/>
            <w:sz w:val="20"/>
            <w:szCs w:val="20"/>
          </w:rPr>
          <w:t>Правилами</w:t>
        </w:r>
      </w:hyperlink>
      <w:r>
        <w:rPr>
          <w:bCs/>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(далее-Правила), и устанавливается </w:t>
      </w:r>
      <w:r>
        <w:rPr>
          <w:sz w:val="20"/>
          <w:szCs w:val="20"/>
        </w:rPr>
        <w:t xml:space="preserve">в размере 10  процентов  цены настоящего Договора.   </w:t>
      </w:r>
    </w:p>
    <w:p>
      <w:pPr>
        <w:pStyle w:val="Normal"/>
        <w:jc w:val="both"/>
        <w:rPr>
          <w:sz w:val="20"/>
          <w:szCs w:val="20"/>
        </w:rPr>
      </w:pPr>
      <w:r>
        <w:rPr>
          <w:sz w:val="20"/>
          <w:szCs w:val="20"/>
        </w:rPr>
        <w:t>7.5.</w:t>
      </w:r>
      <w:r>
        <w:rPr>
          <w:bCs/>
          <w:sz w:val="20"/>
          <w:szCs w:val="20"/>
        </w:rPr>
        <w:t xml:space="preserve"> За каждый факт неисполнения Заказчиком обязательств, предусмотренных Договором, за исключением просрочки исполнения обязательств,  Поставщик вправе потребовать уплату штрафа. </w:t>
      </w:r>
      <w:bookmarkStart w:id="0" w:name="Par143"/>
      <w:bookmarkEnd w:id="0"/>
      <w:r>
        <w:rPr>
          <w:sz w:val="20"/>
          <w:szCs w:val="20"/>
        </w:rPr>
        <w:t xml:space="preserve">Размер штрафа определяется в соответствии с </w:t>
      </w:r>
      <w:hyperlink r:id="rId3">
        <w:r>
          <w:rPr>
            <w:rStyle w:val="Style9"/>
            <w:sz w:val="20"/>
            <w:szCs w:val="20"/>
          </w:rPr>
          <w:t>Правилами</w:t>
        </w:r>
      </w:hyperlink>
      <w:r>
        <w:rPr>
          <w:sz w:val="20"/>
          <w:szCs w:val="20"/>
        </w:rPr>
        <w:t xml:space="preserve"> и составляет 1000 рублей</w:t>
      </w:r>
      <w:r>
        <w:rPr>
          <w:color w:val="000099"/>
          <w:sz w:val="20"/>
          <w:szCs w:val="20"/>
        </w:rPr>
        <w:t xml:space="preserve"> .               </w:t>
      </w:r>
    </w:p>
    <w:p>
      <w:pPr>
        <w:pStyle w:val="Normal"/>
        <w:jc w:val="both"/>
        <w:rPr>
          <w:sz w:val="20"/>
          <w:szCs w:val="20"/>
        </w:rPr>
      </w:pPr>
      <w:r>
        <w:rPr>
          <w:sz w:val="20"/>
          <w:szCs w:val="20"/>
        </w:rPr>
        <w:t>7.6.Уплата неустойки (штрафа, пеней) и возмещение убытков в случае ненадлежащего исполнения обязательства или неисполнения обязательства не освобождает Поставщика от исполнения обязательства.</w:t>
      </w:r>
    </w:p>
    <w:p>
      <w:pPr>
        <w:pStyle w:val="Normal"/>
        <w:jc w:val="both"/>
        <w:rPr>
          <w:sz w:val="20"/>
          <w:szCs w:val="20"/>
        </w:rPr>
      </w:pPr>
      <w:r>
        <w:rPr>
          <w:sz w:val="20"/>
          <w:szCs w:val="20"/>
        </w:rPr>
        <w:t xml:space="preserve">7.7. Убытки, причиненные в результате исполнения Договора третьему лицу,  возмещаются виновной Стороной.  </w:t>
      </w:r>
    </w:p>
    <w:p>
      <w:pPr>
        <w:pStyle w:val="Normal"/>
        <w:jc w:val="both"/>
        <w:rPr>
          <w:sz w:val="20"/>
          <w:szCs w:val="20"/>
        </w:rPr>
      </w:pPr>
      <w:r>
        <w:rPr>
          <w:sz w:val="20"/>
          <w:szCs w:val="20"/>
        </w:rPr>
        <w:t>7.8.</w:t>
      </w:r>
      <w:r>
        <w:rPr>
          <w:bCs/>
          <w:color w:val="0070C0"/>
          <w:sz w:val="20"/>
          <w:szCs w:val="20"/>
        </w:rPr>
        <w:t xml:space="preserve"> </w:t>
      </w:r>
      <w:r>
        <w:rPr>
          <w:bCs/>
          <w:sz w:val="20"/>
          <w:szCs w:val="20"/>
        </w:rPr>
        <w:t xml:space="preserve">Стороны </w:t>
      </w:r>
      <w:r>
        <w:rPr>
          <w:sz w:val="20"/>
          <w:szCs w:val="20"/>
        </w:rPr>
        <w:t>освобождаются от уплаты штрафа, пеней,  если   неисполнение     обязательств или ненадлежащего исполнения обязательств произошло вследствие непреодолимой силы или по вине другой стороны.</w:t>
      </w:r>
    </w:p>
    <w:p>
      <w:pPr>
        <w:pStyle w:val="Normal"/>
        <w:jc w:val="both"/>
        <w:rPr>
          <w:sz w:val="20"/>
          <w:szCs w:val="20"/>
        </w:rPr>
      </w:pPr>
      <w:r>
        <w:rPr>
          <w:sz w:val="20"/>
          <w:szCs w:val="20"/>
        </w:rPr>
      </w:r>
    </w:p>
    <w:p>
      <w:pPr>
        <w:pStyle w:val="Normal"/>
        <w:jc w:val="both"/>
        <w:rPr>
          <w:b/>
          <w:sz w:val="20"/>
          <w:szCs w:val="20"/>
        </w:rPr>
      </w:pPr>
      <w:r>
        <w:rPr>
          <w:b/>
          <w:sz w:val="20"/>
          <w:szCs w:val="20"/>
        </w:rPr>
        <w:t>8. Изменение и расторжение договора</w:t>
      </w:r>
    </w:p>
    <w:p>
      <w:pPr>
        <w:pStyle w:val="Normal"/>
        <w:jc w:val="both"/>
        <w:rPr>
          <w:sz w:val="20"/>
          <w:szCs w:val="20"/>
        </w:rPr>
      </w:pPr>
      <w:r>
        <w:rPr>
          <w:sz w:val="20"/>
          <w:szCs w:val="20"/>
        </w:rPr>
        <w:t xml:space="preserve">8.1. Все изменения к Договору должны быть совершены в письменном виде и оформлены дополнительными соглашениями. </w:t>
      </w:r>
    </w:p>
    <w:p>
      <w:pPr>
        <w:pStyle w:val="Normal"/>
        <w:jc w:val="both"/>
        <w:rPr>
          <w:sz w:val="20"/>
          <w:szCs w:val="20"/>
        </w:rPr>
      </w:pPr>
      <w:r>
        <w:rPr>
          <w:w w:val="91"/>
          <w:sz w:val="20"/>
          <w:szCs w:val="20"/>
        </w:rPr>
        <w:t xml:space="preserve">8.2. </w:t>
      </w:r>
      <w:r>
        <w:rPr>
          <w:sz w:val="20"/>
          <w:szCs w:val="20"/>
        </w:rPr>
        <w:t>Расторжение настоящего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законодательством, включая случаи непредоставления Поставщиком документов на Товар, предусмотренных настоящим Договором, задержки Поставщиком начала поставки Товара на  пять  и более дней.</w:t>
      </w:r>
    </w:p>
    <w:p>
      <w:pPr>
        <w:pStyle w:val="Normal"/>
        <w:jc w:val="both"/>
        <w:rPr>
          <w:sz w:val="20"/>
          <w:szCs w:val="20"/>
        </w:rPr>
      </w:pPr>
      <w:r>
        <w:rPr>
          <w:sz w:val="20"/>
          <w:szCs w:val="20"/>
        </w:rPr>
        <w:t xml:space="preserve">8.3. Изменение существенных условий Договора при его исполнении не </w:t>
        <w:tab/>
        <w:t xml:space="preserve">допускается, за </w:t>
        <w:tab/>
        <w:t xml:space="preserve">исключением их изменения по соглашению Сторон в следующих </w:t>
        <w:tab/>
        <w:t xml:space="preserve">случаях: </w:t>
        <w:tab/>
        <w:tab/>
        <w:tab/>
        <w:tab/>
        <w:tab/>
      </w:r>
    </w:p>
    <w:p>
      <w:pPr>
        <w:pStyle w:val="Normal"/>
        <w:jc w:val="both"/>
        <w:rPr>
          <w:sz w:val="20"/>
          <w:szCs w:val="20"/>
        </w:rPr>
      </w:pPr>
      <w:r>
        <w:rPr>
          <w:sz w:val="20"/>
          <w:szCs w:val="20"/>
        </w:rPr>
        <w:t xml:space="preserve">8.3.1. при снижении цены Договора без  изменения предусмотренного </w:t>
        <w:tab/>
        <w:t>Договором количества Товара, его качества  и иных условий Договора в соответствии с пунктом 1.1. части 1 статьи 95 Федерального закона о контрактной системе;</w:t>
      </w:r>
    </w:p>
    <w:p>
      <w:pPr>
        <w:pStyle w:val="Normal"/>
        <w:jc w:val="both"/>
        <w:rPr>
          <w:sz w:val="20"/>
          <w:szCs w:val="20"/>
        </w:rPr>
      </w:pPr>
      <w:r>
        <w:rPr>
          <w:sz w:val="20"/>
          <w:szCs w:val="20"/>
        </w:rPr>
        <w:t>8.3.2. если по предложению Заказчика увеличивается или уменьшается предусмотренное Договором количество поставляемого  Товара в соответствии с пунктом 1.2. части 1 статьи 95Федерального закона о контрактной системе;</w:t>
      </w:r>
    </w:p>
    <w:p>
      <w:pPr>
        <w:pStyle w:val="NormalWeb"/>
        <w:shd w:val="clear" w:color="auto" w:fill="FFFFFF"/>
        <w:spacing w:beforeAutospacing="0" w:before="0" w:afterAutospacing="0" w:after="0"/>
        <w:jc w:val="both"/>
        <w:rPr>
          <w:sz w:val="20"/>
          <w:szCs w:val="20"/>
        </w:rPr>
      </w:pPr>
      <w:r>
        <w:rPr>
          <w:sz w:val="20"/>
          <w:szCs w:val="20"/>
        </w:rPr>
        <w:t>8.3.3. если по предложению заказчика увеличивается предусмотренное контрактом количество Товара не более чем на тридцать процентов или уменьшается предусмотренное контрактом количество Товара не более чем на тридцать процентов в соответствии с ч.65.2 ст. 112 Федерального закона о контрактной системе.</w:t>
      </w:r>
    </w:p>
    <w:p>
      <w:pPr>
        <w:pStyle w:val="Normal"/>
        <w:jc w:val="both"/>
        <w:rPr>
          <w:sz w:val="20"/>
          <w:szCs w:val="20"/>
        </w:rPr>
      </w:pPr>
      <w:r>
        <w:rPr>
          <w:sz w:val="20"/>
          <w:szCs w:val="20"/>
        </w:rPr>
        <w:t xml:space="preserve">8.4. При исполнении Договора по согласованию Сторон допускается </w:t>
        <w:tab/>
        <w:t xml:space="preserve">поставка Товара, качество (потребительские свойства) которого является </w:t>
        <w:tab/>
        <w:t>улучшенным по сравнению с качеством, указанным в Договоре.</w:t>
      </w:r>
    </w:p>
    <w:p>
      <w:pPr>
        <w:pStyle w:val="Normal"/>
        <w:jc w:val="both"/>
        <w:rPr>
          <w:rFonts w:eastAsia="Calibri"/>
          <w:color w:val="002060"/>
          <w:sz w:val="20"/>
          <w:szCs w:val="20"/>
        </w:rPr>
      </w:pPr>
      <w:r>
        <w:rPr>
          <w:rFonts w:eastAsia="Calibri"/>
          <w:color w:val="002060"/>
          <w:sz w:val="20"/>
          <w:szCs w:val="20"/>
        </w:rPr>
      </w:r>
    </w:p>
    <w:p>
      <w:pPr>
        <w:pStyle w:val="Normal"/>
        <w:jc w:val="both"/>
        <w:rPr>
          <w:rFonts w:eastAsia="Calibri"/>
          <w:b/>
          <w:color w:val="000000"/>
          <w:spacing w:val="5"/>
          <w:sz w:val="20"/>
          <w:szCs w:val="20"/>
        </w:rPr>
      </w:pPr>
      <w:r>
        <w:rPr>
          <w:rFonts w:eastAsia="Calibri"/>
          <w:b/>
          <w:color w:val="000000"/>
          <w:spacing w:val="5"/>
          <w:sz w:val="20"/>
          <w:szCs w:val="20"/>
        </w:rPr>
        <w:t>9.Обстоятельства непреодолимой силы (форс-мажор)</w:t>
      </w:r>
    </w:p>
    <w:p>
      <w:pPr>
        <w:pStyle w:val="Normal"/>
        <w:jc w:val="both"/>
        <w:rPr>
          <w:rFonts w:eastAsia="Calibri"/>
          <w:sz w:val="20"/>
          <w:szCs w:val="20"/>
        </w:rPr>
      </w:pPr>
      <w:r>
        <w:rPr>
          <w:rFonts w:eastAsia="Calibri"/>
          <w:sz w:val="20"/>
          <w:szCs w:val="20"/>
        </w:rPr>
        <w:t>9.1. Ни одна из Сторон не несет ответственности перед другой Стороной за неисполнение либо ненадлежащее исполнение обязательств по Договору, в случае наступления обстоятельств непосредственно влияющих на исполнение Договора, возникших помимо воли Сторон и которые нельзя предвидеть или избежать. Такими обстоятельствами признаются: военные действия, объявление режима военного или чрезвычайного положения, блокада, эмбарго, взрывы, эпидемии, землетрясения, наводнения, пожары и другие стихийные бедствия, а также введение запретных либо ограничительных мер законодательством Российской Федерации, местными органами власти в период действия Договора. Инфляционные процессы в экономике к форс-мажорным обстоятельствам не относятся.</w:t>
      </w:r>
    </w:p>
    <w:p>
      <w:pPr>
        <w:pStyle w:val="Normal"/>
        <w:jc w:val="both"/>
        <w:rPr>
          <w:rFonts w:eastAsia="Calibri"/>
          <w:sz w:val="20"/>
          <w:szCs w:val="20"/>
        </w:rPr>
      </w:pPr>
      <w:r>
        <w:rPr>
          <w:rFonts w:eastAsia="Calibri"/>
          <w:sz w:val="20"/>
          <w:szCs w:val="20"/>
        </w:rPr>
        <w:t>9.2. Сторона, для которой возникли (прекратились) обстоятельства невозможности исполнения обязательств по Договору, обязана немедленно письменно уведомить другую Сторону о наступлении (прекращении) обстоятельств непреодолимой силы и их влиянии на исполнение обязательств по Договору, приложив к уведомлению документ, подтверждающий приведенные обстоятельства.</w:t>
      </w:r>
    </w:p>
    <w:p>
      <w:pPr>
        <w:pStyle w:val="Normal"/>
        <w:jc w:val="both"/>
        <w:rPr>
          <w:rFonts w:eastAsia="Calibri"/>
          <w:sz w:val="20"/>
          <w:szCs w:val="20"/>
        </w:rPr>
      </w:pPr>
      <w:r>
        <w:rPr>
          <w:rFonts w:eastAsia="Calibri"/>
          <w:sz w:val="20"/>
          <w:szCs w:val="20"/>
        </w:rPr>
        <w:t>Документ, выданный органом государственной власти, копия нормативного правого акта, являются подтверждением наличия и продолжительности действия непреодолимой силы.</w:t>
      </w:r>
    </w:p>
    <w:p>
      <w:pPr>
        <w:pStyle w:val="Normal"/>
        <w:jc w:val="both"/>
        <w:rPr>
          <w:rFonts w:eastAsia="Calibri"/>
          <w:sz w:val="20"/>
          <w:szCs w:val="20"/>
        </w:rPr>
      </w:pPr>
      <w:r>
        <w:rPr>
          <w:rFonts w:eastAsia="Calibri"/>
          <w:sz w:val="20"/>
          <w:szCs w:val="20"/>
        </w:rPr>
        <w:t>9.3. Если приведенные обстоятельства будут продолжаться более трех месяцев, любая  из Сторон  имеет  право отказаться  от дальнейшего исполнения Договора, и в этом случае ни одна из Сторон не вправе требовать от другой Стороны возмещения убытков.</w:t>
      </w:r>
    </w:p>
    <w:p>
      <w:pPr>
        <w:pStyle w:val="Normal"/>
        <w:jc w:val="both"/>
        <w:rPr>
          <w:rFonts w:eastAsia="Calibri"/>
          <w:sz w:val="20"/>
          <w:szCs w:val="20"/>
        </w:rPr>
      </w:pPr>
      <w:r>
        <w:rPr>
          <w:rFonts w:eastAsia="Calibri"/>
          <w:sz w:val="20"/>
          <w:szCs w:val="20"/>
        </w:rPr>
        <w:tab/>
      </w:r>
    </w:p>
    <w:p>
      <w:pPr>
        <w:pStyle w:val="Normal"/>
        <w:jc w:val="both"/>
        <w:rPr>
          <w:rFonts w:eastAsia="Calibri"/>
          <w:b/>
          <w:sz w:val="20"/>
          <w:szCs w:val="20"/>
        </w:rPr>
      </w:pPr>
      <w:r>
        <w:rPr>
          <w:rFonts w:eastAsia="Calibri"/>
          <w:b/>
          <w:sz w:val="20"/>
          <w:szCs w:val="20"/>
        </w:rPr>
        <w:t>10.Дополнительные условия</w:t>
      </w:r>
    </w:p>
    <w:p>
      <w:pPr>
        <w:pStyle w:val="Normal"/>
        <w:jc w:val="both"/>
        <w:rPr>
          <w:sz w:val="20"/>
          <w:szCs w:val="20"/>
        </w:rPr>
      </w:pPr>
      <w:r>
        <w:rPr>
          <w:sz w:val="20"/>
          <w:szCs w:val="20"/>
        </w:rPr>
        <w:t>10.1.Все приложения к Договору являются его неотъемлемой частью.</w:t>
      </w:r>
    </w:p>
    <w:p>
      <w:pPr>
        <w:pStyle w:val="Normal"/>
        <w:jc w:val="both"/>
        <w:rPr>
          <w:sz w:val="20"/>
          <w:szCs w:val="20"/>
        </w:rPr>
      </w:pPr>
      <w:r>
        <w:rPr>
          <w:sz w:val="20"/>
          <w:szCs w:val="20"/>
        </w:rPr>
        <w:t>10.2. При изменении наименования, местонахождения, банковских и иных реквизитов Стороны  обязаны письменно известить  друг друга о произошедших изменениях в срок не позднее пяти дней. Риск отрицательных последствий, связанных с неисполнением данной обязанности несет Сторона, не осуществившая такое уведомление.</w:t>
      </w:r>
    </w:p>
    <w:p>
      <w:pPr>
        <w:pStyle w:val="Normal"/>
        <w:jc w:val="both"/>
        <w:rPr>
          <w:sz w:val="20"/>
          <w:szCs w:val="20"/>
        </w:rPr>
      </w:pPr>
      <w:r>
        <w:rPr>
          <w:sz w:val="20"/>
          <w:szCs w:val="20"/>
        </w:rPr>
        <w:t>10.3. Споры между Сторонами разрешаются в досудебном (претензионном) порядке. Срок рассмотрения претензии 10 дней. Сторона, чье право нарушено, вправе обратиться в Арбитражный суд Свердловской области при неудовлетворении другой Стороной ее требований.</w:t>
      </w:r>
    </w:p>
    <w:p>
      <w:pPr>
        <w:pStyle w:val="Normal"/>
        <w:jc w:val="both"/>
        <w:rPr>
          <w:sz w:val="20"/>
          <w:szCs w:val="20"/>
        </w:rPr>
      </w:pPr>
      <w:r>
        <w:rPr>
          <w:sz w:val="20"/>
          <w:szCs w:val="20"/>
        </w:rPr>
        <w:t>10.4. Во всем остальном, что не оговорено настоящим Договором, Стороны руководствуются действующим законодательством Российской Федерации.</w:t>
      </w:r>
    </w:p>
    <w:p>
      <w:pPr>
        <w:pStyle w:val="Normal"/>
        <w:ind w:hanging="360" w:left="360"/>
        <w:jc w:val="both"/>
        <w:rPr>
          <w:rFonts w:eastAsia="Calibri"/>
          <w:sz w:val="20"/>
          <w:szCs w:val="20"/>
        </w:rPr>
      </w:pPr>
      <w:r>
        <w:rPr>
          <w:rFonts w:eastAsia="Calibri"/>
          <w:sz w:val="20"/>
          <w:szCs w:val="20"/>
        </w:rPr>
        <w:tab/>
      </w:r>
    </w:p>
    <w:p>
      <w:pPr>
        <w:pStyle w:val="Normal"/>
        <w:ind w:hanging="360" w:left="360"/>
        <w:jc w:val="both"/>
        <w:rPr>
          <w:rFonts w:eastAsia="Calibri"/>
          <w:b/>
          <w:sz w:val="20"/>
          <w:szCs w:val="20"/>
        </w:rPr>
      </w:pPr>
      <w:r>
        <w:rPr>
          <w:rFonts w:eastAsia="Calibri"/>
          <w:b/>
          <w:sz w:val="20"/>
          <w:szCs w:val="20"/>
        </w:rPr>
        <w:t>11.Юридические адреса и реквизиты:</w:t>
        <w:tab/>
      </w:r>
    </w:p>
    <w:p>
      <w:pPr>
        <w:pStyle w:val="Normal"/>
        <w:ind w:hanging="360" w:left="360"/>
        <w:jc w:val="both"/>
        <w:rPr>
          <w:rFonts w:eastAsia="Calibri"/>
          <w:b/>
          <w:sz w:val="20"/>
          <w:szCs w:val="20"/>
        </w:rPr>
      </w:pPr>
      <w:r>
        <w:rPr>
          <w:rFonts w:eastAsia="Calibri"/>
          <w:b/>
          <w:sz w:val="20"/>
          <w:szCs w:val="20"/>
        </w:rPr>
        <w:t>11.1.ЗАКАЗЧИК : ФГБУ «НИИ ОММ» Минздрава России</w:t>
      </w:r>
    </w:p>
    <w:p>
      <w:pPr>
        <w:pStyle w:val="Normal"/>
        <w:jc w:val="both"/>
        <w:rPr>
          <w:rFonts w:eastAsia="Calibri"/>
          <w:b/>
          <w:sz w:val="20"/>
          <w:szCs w:val="20"/>
        </w:rPr>
      </w:pPr>
      <w:r>
        <w:rPr>
          <w:sz w:val="20"/>
          <w:szCs w:val="20"/>
        </w:rPr>
        <w:t>620028 г.Екатеринбург, ул.Репина, 1 тел./факс(343) 371-87-68/ (343) 371-87-73 ИНН 6658021459  КПП 665801001 Банковские реквизиты:</w:t>
      </w:r>
      <w:r>
        <w:rPr>
          <w:rFonts w:cs="Cambria" w:ascii="Cambria" w:hAnsi="Cambria"/>
          <w:sz w:val="19"/>
          <w:szCs w:val="19"/>
        </w:rPr>
        <w:t>УФК по Новосибирской области (ФГБУ «НИИ ОММ» Минздрава России, л/с  20626Х94910, 226</w:t>
      </w:r>
      <w:r>
        <w:rPr>
          <w:rFonts w:cs="Cambria" w:ascii="Cambria" w:hAnsi="Cambria"/>
          <w:sz w:val="19"/>
          <w:szCs w:val="19"/>
        </w:rPr>
        <w:t xml:space="preserve">26Х94910) </w:t>
      </w:r>
      <w:r>
        <w:rPr>
          <w:rFonts w:cs="Cambria" w:ascii="Cambria" w:hAnsi="Cambria"/>
          <w:sz w:val="19"/>
          <w:szCs w:val="19"/>
        </w:rPr>
        <w:t>Единый казначейский счёт: 40102810445370000043, Казначейский счет: 03214643000000015113</w:t>
      </w:r>
    </w:p>
    <w:p>
      <w:pPr>
        <w:pStyle w:val="Normal"/>
        <w:jc w:val="both"/>
        <w:rPr>
          <w:rFonts w:ascii="Cambria" w:hAnsi="Cambria" w:cs="Cambria"/>
          <w:sz w:val="19"/>
          <w:szCs w:val="19"/>
        </w:rPr>
      </w:pPr>
      <w:r>
        <w:rPr>
          <w:rFonts w:cs="Cambria" w:ascii="Cambria" w:hAnsi="Cambria"/>
          <w:sz w:val="19"/>
          <w:szCs w:val="19"/>
        </w:rPr>
        <w:t>ОКЦ № 1 СибГУ Банка России//УФК по Новосибирской области, г Новосибирск БИК 015004950</w:t>
      </w:r>
    </w:p>
    <w:p>
      <w:pPr>
        <w:pStyle w:val="Normal"/>
        <w:ind w:hanging="360" w:left="360"/>
        <w:jc w:val="both"/>
        <w:rPr>
          <w:rFonts w:eastAsia="Calibri"/>
          <w:sz w:val="20"/>
          <w:szCs w:val="20"/>
        </w:rPr>
      </w:pPr>
      <w:r>
        <w:rPr>
          <w:rFonts w:eastAsia="Calibri"/>
          <w:b/>
          <w:sz w:val="20"/>
          <w:szCs w:val="20"/>
        </w:rPr>
        <w:t>11.2.ПОСТАВЩИК</w:t>
      </w:r>
      <w:r>
        <w:rPr>
          <w:rFonts w:eastAsia="Calibri"/>
          <w:sz w:val="20"/>
          <w:szCs w:val="20"/>
        </w:rPr>
        <w:t>:</w:t>
      </w:r>
      <w:r>
        <w:rPr>
          <w:rFonts w:eastAsia="Calibri"/>
          <w:b/>
          <w:bCs/>
          <w:sz w:val="20"/>
          <w:szCs w:val="20"/>
        </w:rPr>
        <w:t xml:space="preserve"> </w:t>
      </w:r>
    </w:p>
    <w:p>
      <w:pPr>
        <w:pStyle w:val="Normal"/>
        <w:ind w:hanging="360" w:left="360"/>
        <w:jc w:val="both"/>
        <w:rPr>
          <w:rFonts w:eastAsia="Calibri"/>
          <w:sz w:val="20"/>
          <w:szCs w:val="20"/>
        </w:rPr>
      </w:pPr>
      <w:r>
        <w:rPr>
          <w:rFonts w:eastAsia="Calibri"/>
          <w:sz w:val="20"/>
          <w:szCs w:val="20"/>
        </w:rPr>
      </w:r>
    </w:p>
    <w:p>
      <w:pPr>
        <w:pStyle w:val="Normal"/>
        <w:ind w:hanging="360" w:left="360"/>
        <w:jc w:val="both"/>
        <w:rPr>
          <w:rFonts w:eastAsia="Calibri"/>
          <w:sz w:val="20"/>
          <w:szCs w:val="20"/>
        </w:rPr>
      </w:pPr>
      <w:r>
        <w:rPr>
          <w:rFonts w:eastAsia="Calibri"/>
          <w:sz w:val="20"/>
          <w:szCs w:val="20"/>
        </w:rPr>
      </w:r>
    </w:p>
    <w:p>
      <w:pPr>
        <w:pStyle w:val="Normal"/>
        <w:ind w:hanging="360" w:left="360"/>
        <w:jc w:val="both"/>
        <w:rPr>
          <w:rFonts w:eastAsia="Calibri"/>
          <w:sz w:val="20"/>
          <w:szCs w:val="20"/>
        </w:rPr>
      </w:pPr>
      <w:r>
        <w:rPr>
          <w:rFonts w:eastAsia="Calibri"/>
          <w:b/>
          <w:bCs/>
          <w:sz w:val="20"/>
          <w:szCs w:val="20"/>
        </w:rPr>
        <w:t xml:space="preserve">       </w:t>
      </w:r>
      <w:r>
        <w:rPr>
          <w:rFonts w:eastAsia="Calibri"/>
          <w:b/>
          <w:sz w:val="20"/>
          <w:szCs w:val="20"/>
        </w:rPr>
        <w:t>ЗАКАЗЧИК                                                                        ПОСТАВЩИК</w:t>
      </w:r>
      <w:r>
        <w:rPr>
          <w:rFonts w:eastAsia="Calibri"/>
          <w:sz w:val="20"/>
          <w:szCs w:val="20"/>
        </w:rPr>
        <w:t xml:space="preserve">     </w:t>
      </w:r>
    </w:p>
    <w:p>
      <w:pPr>
        <w:pStyle w:val="Normal"/>
        <w:ind w:hanging="360" w:left="360"/>
        <w:jc w:val="both"/>
        <w:rPr>
          <w:rFonts w:eastAsia="Calibri"/>
          <w:sz w:val="20"/>
          <w:szCs w:val="20"/>
        </w:rPr>
      </w:pPr>
      <w:r>
        <w:rPr>
          <w:rFonts w:eastAsia="Calibri"/>
          <w:sz w:val="20"/>
          <w:szCs w:val="20"/>
        </w:rPr>
        <w:t xml:space="preserve"> </w:t>
      </w:r>
      <w:r>
        <w:rPr>
          <w:rFonts w:eastAsia="Calibri"/>
          <w:sz w:val="20"/>
          <w:szCs w:val="20"/>
        </w:rPr>
        <w:t>__________/ А.С.Чистяков    /                                                        ______/ _________ /</w:t>
      </w:r>
    </w:p>
    <w:p>
      <w:pPr>
        <w:pStyle w:val="Normal"/>
        <w:jc w:val="both"/>
        <w:rPr>
          <w:rFonts w:eastAsia="Calibri"/>
          <w:sz w:val="20"/>
          <w:szCs w:val="20"/>
        </w:rPr>
      </w:pPr>
      <w:r>
        <w:rPr>
          <w:rFonts w:eastAsia="Calibri"/>
          <w:sz w:val="20"/>
          <w:szCs w:val="20"/>
        </w:rPr>
      </w:r>
    </w:p>
    <w:p>
      <w:pPr>
        <w:pStyle w:val="Normal"/>
        <w:widowControl w:val="false"/>
        <w:numPr>
          <w:ilvl w:val="0"/>
          <w:numId w:val="0"/>
        </w:numPr>
        <w:ind w:hanging="0" w:left="0"/>
        <w:jc w:val="right"/>
        <w:outlineLvl w:val="1"/>
        <w:rPr>
          <w:sz w:val="20"/>
          <w:szCs w:val="20"/>
        </w:rPr>
      </w:pPr>
      <w:r>
        <w:rPr>
          <w:sz w:val="20"/>
          <w:szCs w:val="20"/>
        </w:rPr>
      </w:r>
    </w:p>
    <w:p>
      <w:pPr>
        <w:pStyle w:val="Normal"/>
        <w:widowControl w:val="false"/>
        <w:numPr>
          <w:ilvl w:val="0"/>
          <w:numId w:val="0"/>
        </w:numPr>
        <w:ind w:hanging="0" w:left="0"/>
        <w:jc w:val="right"/>
        <w:outlineLvl w:val="1"/>
        <w:rPr>
          <w:sz w:val="20"/>
          <w:szCs w:val="20"/>
        </w:rPr>
      </w:pPr>
      <w:r>
        <w:rPr>
          <w:sz w:val="20"/>
          <w:szCs w:val="20"/>
        </w:rPr>
      </w:r>
    </w:p>
    <w:p>
      <w:pPr>
        <w:pStyle w:val="Normal"/>
        <w:widowControl w:val="false"/>
        <w:numPr>
          <w:ilvl w:val="0"/>
          <w:numId w:val="0"/>
        </w:numPr>
        <w:ind w:hanging="0" w:left="0"/>
        <w:jc w:val="right"/>
        <w:outlineLvl w:val="1"/>
        <w:rPr>
          <w:sz w:val="20"/>
          <w:szCs w:val="20"/>
        </w:rPr>
      </w:pPr>
      <w:r>
        <w:rPr>
          <w:sz w:val="20"/>
          <w:szCs w:val="20"/>
        </w:rPr>
      </w:r>
    </w:p>
    <w:p>
      <w:pPr>
        <w:pStyle w:val="Normal"/>
        <w:widowControl w:val="false"/>
        <w:numPr>
          <w:ilvl w:val="0"/>
          <w:numId w:val="0"/>
        </w:numPr>
        <w:ind w:hanging="0" w:left="0"/>
        <w:jc w:val="right"/>
        <w:outlineLvl w:val="1"/>
        <w:rPr>
          <w:sz w:val="20"/>
          <w:szCs w:val="20"/>
        </w:rPr>
      </w:pPr>
      <w:r>
        <w:rPr>
          <w:sz w:val="20"/>
          <w:szCs w:val="20"/>
        </w:rPr>
      </w:r>
    </w:p>
    <w:p>
      <w:pPr>
        <w:pStyle w:val="Normal"/>
        <w:widowControl w:val="false"/>
        <w:numPr>
          <w:ilvl w:val="0"/>
          <w:numId w:val="0"/>
        </w:numPr>
        <w:ind w:hanging="0" w:left="0"/>
        <w:jc w:val="right"/>
        <w:outlineLvl w:val="1"/>
        <w:rPr>
          <w:sz w:val="20"/>
          <w:szCs w:val="20"/>
        </w:rPr>
      </w:pPr>
      <w:r>
        <w:rPr>
          <w:sz w:val="20"/>
          <w:szCs w:val="20"/>
        </w:rPr>
      </w:r>
    </w:p>
    <w:p>
      <w:pPr>
        <w:pStyle w:val="Normal"/>
        <w:widowControl w:val="false"/>
        <w:numPr>
          <w:ilvl w:val="0"/>
          <w:numId w:val="0"/>
        </w:numPr>
        <w:ind w:hanging="0" w:left="0"/>
        <w:jc w:val="right"/>
        <w:outlineLvl w:val="1"/>
        <w:rPr>
          <w:sz w:val="20"/>
          <w:szCs w:val="20"/>
        </w:rPr>
      </w:pPr>
      <w:r>
        <w:rPr>
          <w:sz w:val="20"/>
          <w:szCs w:val="20"/>
        </w:rPr>
      </w:r>
    </w:p>
    <w:p>
      <w:pPr>
        <w:pStyle w:val="Normal"/>
        <w:widowControl w:val="false"/>
        <w:numPr>
          <w:ilvl w:val="0"/>
          <w:numId w:val="0"/>
        </w:numPr>
        <w:ind w:hanging="0" w:left="0"/>
        <w:jc w:val="right"/>
        <w:outlineLvl w:val="1"/>
        <w:rPr>
          <w:sz w:val="20"/>
          <w:szCs w:val="20"/>
        </w:rPr>
      </w:pPr>
      <w:r>
        <w:rPr>
          <w:sz w:val="20"/>
          <w:szCs w:val="20"/>
        </w:rPr>
      </w:r>
    </w:p>
    <w:p>
      <w:pPr>
        <w:pStyle w:val="Normal"/>
        <w:widowControl w:val="false"/>
        <w:numPr>
          <w:ilvl w:val="0"/>
          <w:numId w:val="0"/>
        </w:numPr>
        <w:ind w:hanging="0" w:left="0"/>
        <w:jc w:val="right"/>
        <w:outlineLvl w:val="1"/>
        <w:rPr>
          <w:sz w:val="20"/>
          <w:szCs w:val="20"/>
        </w:rPr>
      </w:pPr>
      <w:r>
        <w:rPr>
          <w:sz w:val="20"/>
          <w:szCs w:val="20"/>
        </w:rPr>
      </w:r>
    </w:p>
    <w:p>
      <w:pPr>
        <w:pStyle w:val="Normal"/>
        <w:widowControl w:val="false"/>
        <w:numPr>
          <w:ilvl w:val="0"/>
          <w:numId w:val="0"/>
        </w:numPr>
        <w:ind w:hanging="0" w:left="0"/>
        <w:jc w:val="right"/>
        <w:outlineLvl w:val="1"/>
        <w:rPr>
          <w:sz w:val="20"/>
          <w:szCs w:val="20"/>
        </w:rPr>
      </w:pPr>
      <w:r>
        <w:rPr>
          <w:sz w:val="20"/>
          <w:szCs w:val="20"/>
        </w:rPr>
      </w:r>
    </w:p>
    <w:p>
      <w:pPr>
        <w:pStyle w:val="Normal"/>
        <w:widowControl w:val="false"/>
        <w:numPr>
          <w:ilvl w:val="0"/>
          <w:numId w:val="0"/>
        </w:numPr>
        <w:ind w:hanging="0" w:left="0"/>
        <w:jc w:val="right"/>
        <w:outlineLvl w:val="1"/>
        <w:rPr>
          <w:sz w:val="20"/>
          <w:szCs w:val="20"/>
        </w:rPr>
      </w:pPr>
      <w:r>
        <w:rPr>
          <w:sz w:val="20"/>
          <w:szCs w:val="20"/>
        </w:rPr>
      </w:r>
    </w:p>
    <w:p>
      <w:pPr>
        <w:pStyle w:val="Normal"/>
        <w:widowControl w:val="false"/>
        <w:numPr>
          <w:ilvl w:val="0"/>
          <w:numId w:val="0"/>
        </w:numPr>
        <w:ind w:hanging="0" w:left="0"/>
        <w:jc w:val="right"/>
        <w:outlineLvl w:val="1"/>
        <w:rPr>
          <w:sz w:val="20"/>
          <w:szCs w:val="20"/>
        </w:rPr>
      </w:pPr>
      <w:r>
        <w:rPr>
          <w:sz w:val="20"/>
          <w:szCs w:val="20"/>
        </w:rPr>
      </w:r>
    </w:p>
    <w:p>
      <w:pPr>
        <w:pStyle w:val="Normal"/>
        <w:widowControl w:val="false"/>
        <w:numPr>
          <w:ilvl w:val="0"/>
          <w:numId w:val="0"/>
        </w:numPr>
        <w:ind w:hanging="0" w:left="0"/>
        <w:jc w:val="right"/>
        <w:outlineLvl w:val="1"/>
        <w:rPr>
          <w:sz w:val="20"/>
          <w:szCs w:val="20"/>
        </w:rPr>
      </w:pPr>
      <w:r>
        <w:rPr>
          <w:sz w:val="20"/>
          <w:szCs w:val="20"/>
        </w:rPr>
      </w:r>
    </w:p>
    <w:p>
      <w:pPr>
        <w:pStyle w:val="Normal"/>
        <w:widowControl w:val="false"/>
        <w:numPr>
          <w:ilvl w:val="0"/>
          <w:numId w:val="0"/>
        </w:numPr>
        <w:ind w:hanging="0" w:left="0"/>
        <w:jc w:val="right"/>
        <w:outlineLvl w:val="1"/>
        <w:rPr>
          <w:sz w:val="20"/>
          <w:szCs w:val="20"/>
        </w:rPr>
      </w:pPr>
      <w:r>
        <w:rPr>
          <w:sz w:val="20"/>
          <w:szCs w:val="20"/>
        </w:rPr>
        <w:t>Приложение №1 к договору № ______</w:t>
      </w:r>
    </w:p>
    <w:p>
      <w:pPr>
        <w:pStyle w:val="Normal"/>
        <w:widowControl w:val="false"/>
        <w:jc w:val="right"/>
        <w:rPr>
          <w:sz w:val="20"/>
          <w:szCs w:val="20"/>
        </w:rPr>
      </w:pPr>
      <w:r>
        <w:rPr>
          <w:sz w:val="20"/>
          <w:szCs w:val="20"/>
        </w:rPr>
        <w:t>___от "__" ______ 202__ г</w:t>
      </w:r>
    </w:p>
    <w:p>
      <w:pPr>
        <w:pStyle w:val="Normal"/>
        <w:rPr>
          <w:color w:val="000000"/>
          <w:sz w:val="20"/>
          <w:szCs w:val="20"/>
        </w:rPr>
      </w:pPr>
      <w:r>
        <w:rPr>
          <w:color w:val="000000"/>
          <w:sz w:val="20"/>
          <w:szCs w:val="20"/>
        </w:rPr>
        <w:t xml:space="preserve"> </w:t>
      </w:r>
    </w:p>
    <w:p>
      <w:pPr>
        <w:pStyle w:val="Normal"/>
        <w:rPr/>
      </w:pPr>
      <w:r>
        <w:rPr/>
        <w:t xml:space="preserve"> </w:t>
      </w:r>
    </w:p>
    <w:p>
      <w:pPr>
        <w:pStyle w:val="Normal"/>
        <w:jc w:val="center"/>
        <w:rPr/>
      </w:pPr>
      <w:r>
        <w:rPr/>
      </w:r>
    </w:p>
    <w:p>
      <w:pPr>
        <w:pStyle w:val="Normal"/>
        <w:jc w:val="center"/>
        <w:rPr>
          <w:color w:val="000000"/>
          <w:sz w:val="20"/>
          <w:szCs w:val="20"/>
        </w:rPr>
      </w:pPr>
      <w:r>
        <w:rPr>
          <w:color w:val="000000"/>
          <w:sz w:val="20"/>
          <w:szCs w:val="20"/>
        </w:rPr>
        <w:t>СПЕЦИФИКАЦИЯ</w:t>
      </w:r>
    </w:p>
    <w:p>
      <w:pPr>
        <w:pStyle w:val="Normal"/>
        <w:jc w:val="center"/>
        <w:rPr/>
      </w:pPr>
      <w:r>
        <w:rPr/>
      </w:r>
    </w:p>
    <w:p>
      <w:pPr>
        <w:pStyle w:val="Normal"/>
        <w:jc w:val="center"/>
        <w:rPr>
          <w:color w:val="000000"/>
          <w:sz w:val="20"/>
          <w:szCs w:val="20"/>
        </w:rPr>
      </w:pPr>
      <w:r>
        <w:rPr>
          <w:color w:val="000000"/>
          <w:sz w:val="20"/>
          <w:szCs w:val="20"/>
        </w:rPr>
        <w:t>На поставку товара</w:t>
      </w:r>
    </w:p>
    <w:p>
      <w:pPr>
        <w:pStyle w:val="Normal"/>
        <w:jc w:val="center"/>
        <w:rPr>
          <w:color w:val="000000"/>
          <w:sz w:val="20"/>
          <w:szCs w:val="20"/>
        </w:rPr>
      </w:pPr>
      <w:r>
        <w:rPr>
          <w:color w:val="000000"/>
          <w:sz w:val="20"/>
          <w:szCs w:val="20"/>
        </w:rPr>
      </w:r>
    </w:p>
    <w:p>
      <w:pPr>
        <w:pStyle w:val="Normal"/>
        <w:tabs>
          <w:tab w:val="clear" w:pos="708"/>
          <w:tab w:val="left" w:pos="5400" w:leader="none"/>
        </w:tabs>
        <w:jc w:val="both"/>
        <w:rPr>
          <w:sz w:val="18"/>
          <w:szCs w:val="18"/>
        </w:rPr>
      </w:pPr>
      <w:r>
        <w:rPr>
          <w:sz w:val="18"/>
          <w:szCs w:val="18"/>
        </w:rPr>
      </w:r>
    </w:p>
    <w:p>
      <w:pPr>
        <w:pStyle w:val="Normal"/>
        <w:tabs>
          <w:tab w:val="clear" w:pos="708"/>
          <w:tab w:val="left" w:pos="5400" w:leader="none"/>
        </w:tabs>
        <w:jc w:val="both"/>
        <w:rPr>
          <w:sz w:val="18"/>
          <w:szCs w:val="18"/>
        </w:rPr>
      </w:pPr>
      <w:r>
        <w:rPr>
          <w:sz w:val="18"/>
          <w:szCs w:val="18"/>
        </w:rPr>
      </w:r>
    </w:p>
    <w:tbl>
      <w:tblPr>
        <w:tblW w:w="9855"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481"/>
        <w:gridCol w:w="2872"/>
        <w:gridCol w:w="1195"/>
        <w:gridCol w:w="1086"/>
        <w:gridCol w:w="1103"/>
        <w:gridCol w:w="1633"/>
        <w:gridCol w:w="1485"/>
      </w:tblGrid>
      <w:tr>
        <w:trPr>
          <w:trHeight w:val="539" w:hRule="atLeast"/>
        </w:trPr>
        <w:tc>
          <w:tcPr>
            <w:tcW w:w="48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400" w:leader="none"/>
              </w:tabs>
              <w:jc w:val="center"/>
              <w:rPr>
                <w:sz w:val="18"/>
                <w:szCs w:val="18"/>
              </w:rPr>
            </w:pPr>
            <w:r>
              <w:rPr>
                <w:sz w:val="18"/>
                <w:szCs w:val="18"/>
              </w:rPr>
              <w:t>№</w:t>
            </w:r>
          </w:p>
          <w:p>
            <w:pPr>
              <w:pStyle w:val="Normal"/>
              <w:tabs>
                <w:tab w:val="clear" w:pos="708"/>
                <w:tab w:val="left" w:pos="5400" w:leader="none"/>
              </w:tabs>
              <w:jc w:val="center"/>
              <w:rPr>
                <w:sz w:val="18"/>
                <w:szCs w:val="18"/>
              </w:rPr>
            </w:pPr>
            <w:r>
              <w:rPr>
                <w:sz w:val="18"/>
                <w:szCs w:val="18"/>
              </w:rPr>
              <w:t>п/п</w:t>
            </w:r>
          </w:p>
        </w:tc>
        <w:tc>
          <w:tcPr>
            <w:tcW w:w="287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400" w:leader="none"/>
              </w:tabs>
              <w:jc w:val="center"/>
              <w:rPr>
                <w:sz w:val="18"/>
                <w:szCs w:val="18"/>
              </w:rPr>
            </w:pPr>
            <w:r>
              <w:rPr>
                <w:sz w:val="18"/>
                <w:szCs w:val="18"/>
              </w:rPr>
              <w:t>Наименование Товара</w:t>
            </w:r>
          </w:p>
        </w:tc>
        <w:tc>
          <w:tcPr>
            <w:tcW w:w="119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400" w:leader="none"/>
              </w:tabs>
              <w:jc w:val="center"/>
              <w:rPr>
                <w:sz w:val="18"/>
                <w:szCs w:val="18"/>
              </w:rPr>
            </w:pPr>
            <w:r>
              <w:rPr>
                <w:sz w:val="18"/>
                <w:szCs w:val="18"/>
              </w:rPr>
              <w:t>Ед.</w:t>
            </w:r>
          </w:p>
          <w:p>
            <w:pPr>
              <w:pStyle w:val="Normal"/>
              <w:tabs>
                <w:tab w:val="clear" w:pos="708"/>
                <w:tab w:val="left" w:pos="5400" w:leader="none"/>
              </w:tabs>
              <w:jc w:val="center"/>
              <w:rPr>
                <w:sz w:val="18"/>
                <w:szCs w:val="18"/>
              </w:rPr>
            </w:pPr>
            <w:r>
              <w:rPr>
                <w:sz w:val="18"/>
                <w:szCs w:val="18"/>
              </w:rPr>
              <w:t>изм., уп.</w:t>
            </w:r>
          </w:p>
        </w:tc>
        <w:tc>
          <w:tcPr>
            <w:tcW w:w="108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400" w:leader="none"/>
              </w:tabs>
              <w:jc w:val="center"/>
              <w:rPr>
                <w:sz w:val="18"/>
                <w:szCs w:val="18"/>
              </w:rPr>
            </w:pPr>
            <w:r>
              <w:rPr>
                <w:sz w:val="18"/>
                <w:szCs w:val="18"/>
              </w:rPr>
              <w:t>Кол-во</w:t>
            </w:r>
          </w:p>
        </w:tc>
        <w:tc>
          <w:tcPr>
            <w:tcW w:w="110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400" w:leader="none"/>
              </w:tabs>
              <w:jc w:val="center"/>
              <w:rPr>
                <w:sz w:val="18"/>
                <w:szCs w:val="18"/>
              </w:rPr>
            </w:pPr>
            <w:r>
              <w:rPr>
                <w:sz w:val="18"/>
                <w:szCs w:val="18"/>
              </w:rPr>
              <w:t>Цена,</w:t>
            </w:r>
          </w:p>
          <w:p>
            <w:pPr>
              <w:pStyle w:val="Normal"/>
              <w:tabs>
                <w:tab w:val="clear" w:pos="708"/>
                <w:tab w:val="left" w:pos="5400" w:leader="none"/>
              </w:tabs>
              <w:jc w:val="center"/>
              <w:rPr>
                <w:sz w:val="18"/>
                <w:szCs w:val="18"/>
              </w:rPr>
            </w:pPr>
            <w:r>
              <w:rPr>
                <w:sz w:val="18"/>
                <w:szCs w:val="18"/>
              </w:rPr>
              <w:t>Руб.</w:t>
            </w:r>
          </w:p>
        </w:tc>
        <w:tc>
          <w:tcPr>
            <w:tcW w:w="163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400" w:leader="none"/>
              </w:tabs>
              <w:jc w:val="center"/>
              <w:rPr>
                <w:sz w:val="18"/>
                <w:szCs w:val="18"/>
              </w:rPr>
            </w:pPr>
            <w:r>
              <w:rPr>
                <w:sz w:val="18"/>
                <w:szCs w:val="18"/>
              </w:rPr>
              <w:t>НДС,</w:t>
            </w:r>
          </w:p>
          <w:p>
            <w:pPr>
              <w:pStyle w:val="Normal"/>
              <w:tabs>
                <w:tab w:val="clear" w:pos="708"/>
                <w:tab w:val="left" w:pos="5400" w:leader="none"/>
              </w:tabs>
              <w:jc w:val="center"/>
              <w:rPr>
                <w:sz w:val="18"/>
                <w:szCs w:val="18"/>
              </w:rPr>
            </w:pPr>
            <w:r>
              <w:rPr>
                <w:sz w:val="18"/>
                <w:szCs w:val="18"/>
              </w:rPr>
              <w:t>%</w:t>
            </w:r>
          </w:p>
        </w:tc>
        <w:tc>
          <w:tcPr>
            <w:tcW w:w="148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400" w:leader="none"/>
              </w:tabs>
              <w:jc w:val="center"/>
              <w:rPr>
                <w:sz w:val="18"/>
                <w:szCs w:val="18"/>
              </w:rPr>
            </w:pPr>
            <w:r>
              <w:rPr>
                <w:sz w:val="18"/>
                <w:szCs w:val="18"/>
              </w:rPr>
              <w:t>Сумма,</w:t>
            </w:r>
          </w:p>
          <w:p>
            <w:pPr>
              <w:pStyle w:val="Normal"/>
              <w:tabs>
                <w:tab w:val="clear" w:pos="708"/>
                <w:tab w:val="left" w:pos="5400" w:leader="none"/>
              </w:tabs>
              <w:jc w:val="center"/>
              <w:rPr>
                <w:sz w:val="18"/>
                <w:szCs w:val="18"/>
              </w:rPr>
            </w:pPr>
            <w:r>
              <w:rPr>
                <w:sz w:val="18"/>
                <w:szCs w:val="18"/>
              </w:rPr>
              <w:t>Руб.</w:t>
            </w:r>
          </w:p>
        </w:tc>
      </w:tr>
      <w:tr>
        <w:trPr/>
        <w:tc>
          <w:tcPr>
            <w:tcW w:w="48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400" w:leader="none"/>
              </w:tabs>
              <w:jc w:val="both"/>
              <w:rPr>
                <w:sz w:val="18"/>
                <w:szCs w:val="18"/>
              </w:rPr>
            </w:pPr>
            <w:r>
              <w:rPr>
                <w:sz w:val="18"/>
                <w:szCs w:val="18"/>
              </w:rPr>
              <w:t>1</w:t>
            </w:r>
          </w:p>
        </w:tc>
        <w:tc>
          <w:tcPr>
            <w:tcW w:w="2872"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0"/>
                <w:szCs w:val="20"/>
              </w:rPr>
            </w:pPr>
            <w:r>
              <w:rPr>
                <w:rFonts w:cs="Arial" w:ascii="Arial" w:hAnsi="Arial"/>
                <w:sz w:val="20"/>
                <w:szCs w:val="20"/>
              </w:rPr>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5400" w:leader="none"/>
              </w:tabs>
              <w:jc w:val="center"/>
              <w:rPr>
                <w:sz w:val="18"/>
                <w:szCs w:val="18"/>
              </w:rPr>
            </w:pPr>
            <w:r>
              <w:rPr>
                <w:sz w:val="18"/>
                <w:szCs w:val="18"/>
              </w:rPr>
            </w:r>
          </w:p>
        </w:tc>
        <w:tc>
          <w:tcPr>
            <w:tcW w:w="1086" w:type="dxa"/>
            <w:tcBorders>
              <w:top w:val="single" w:sz="4" w:space="0" w:color="000000"/>
              <w:left w:val="single" w:sz="4" w:space="0" w:color="000000"/>
              <w:bottom w:val="single" w:sz="4" w:space="0" w:color="000000"/>
              <w:right w:val="single" w:sz="4" w:space="0" w:color="000000"/>
            </w:tcBorders>
          </w:tcPr>
          <w:p>
            <w:pPr>
              <w:pStyle w:val="Normal"/>
              <w:jc w:val="right"/>
              <w:rPr>
                <w:rFonts w:ascii="Arial" w:hAnsi="Arial" w:cs="Arial"/>
                <w:sz w:val="20"/>
                <w:szCs w:val="20"/>
              </w:rPr>
            </w:pPr>
            <w:r>
              <w:rPr>
                <w:rFonts w:cs="Arial" w:ascii="Arial" w:hAnsi="Arial"/>
                <w:sz w:val="20"/>
                <w:szCs w:val="20"/>
              </w:rPr>
            </w:r>
          </w:p>
        </w:tc>
        <w:tc>
          <w:tcPr>
            <w:tcW w:w="1103" w:type="dxa"/>
            <w:tcBorders>
              <w:top w:val="single" w:sz="4" w:space="0" w:color="000000"/>
              <w:left w:val="single" w:sz="4" w:space="0" w:color="000000"/>
              <w:bottom w:val="single" w:sz="4" w:space="0" w:color="000000"/>
              <w:right w:val="single" w:sz="4" w:space="0" w:color="000000"/>
            </w:tcBorders>
          </w:tcPr>
          <w:p>
            <w:pPr>
              <w:pStyle w:val="Normal"/>
              <w:jc w:val="right"/>
              <w:rPr>
                <w:rFonts w:ascii="Arial" w:hAnsi="Arial" w:cs="Arial"/>
                <w:sz w:val="20"/>
                <w:szCs w:val="20"/>
              </w:rPr>
            </w:pPr>
            <w:r>
              <w:rPr>
                <w:rFonts w:cs="Arial" w:ascii="Arial" w:hAnsi="Arial"/>
                <w:sz w:val="20"/>
                <w:szCs w:val="20"/>
              </w:rPr>
            </w:r>
          </w:p>
        </w:tc>
        <w:tc>
          <w:tcPr>
            <w:tcW w:w="1633" w:type="dxa"/>
            <w:tcBorders>
              <w:top w:val="single" w:sz="4" w:space="0" w:color="000000"/>
              <w:left w:val="single" w:sz="4" w:space="0" w:color="000000"/>
              <w:bottom w:val="single" w:sz="4" w:space="0" w:color="000000"/>
              <w:right w:val="single" w:sz="4" w:space="0" w:color="000000"/>
            </w:tcBorders>
          </w:tcPr>
          <w:p>
            <w:pPr>
              <w:pStyle w:val="Normal"/>
              <w:jc w:val="right"/>
              <w:rPr>
                <w:rFonts w:ascii="Arial" w:hAnsi="Arial" w:cs="Arial"/>
                <w:sz w:val="20"/>
                <w:szCs w:val="20"/>
              </w:rPr>
            </w:pPr>
            <w:r>
              <w:rPr>
                <w:rFonts w:cs="Arial" w:ascii="Arial" w:hAnsi="Arial"/>
                <w:sz w:val="20"/>
                <w:szCs w:val="20"/>
              </w:rPr>
            </w:r>
          </w:p>
        </w:tc>
        <w:tc>
          <w:tcPr>
            <w:tcW w:w="1485" w:type="dxa"/>
            <w:tcBorders>
              <w:top w:val="single" w:sz="4" w:space="0" w:color="000000"/>
              <w:left w:val="single" w:sz="4" w:space="0" w:color="000000"/>
              <w:bottom w:val="single" w:sz="4" w:space="0" w:color="000000"/>
              <w:right w:val="single" w:sz="4" w:space="0" w:color="000000"/>
            </w:tcBorders>
          </w:tcPr>
          <w:p>
            <w:pPr>
              <w:pStyle w:val="Normal"/>
              <w:jc w:val="right"/>
              <w:rPr>
                <w:rFonts w:ascii="Arial" w:hAnsi="Arial" w:cs="Arial"/>
                <w:sz w:val="20"/>
                <w:szCs w:val="20"/>
              </w:rPr>
            </w:pPr>
            <w:r>
              <w:rPr>
                <w:rFonts w:cs="Arial" w:ascii="Arial" w:hAnsi="Arial"/>
                <w:sz w:val="20"/>
                <w:szCs w:val="20"/>
              </w:rPr>
            </w:r>
          </w:p>
        </w:tc>
      </w:tr>
    </w:tbl>
    <w:p>
      <w:pPr>
        <w:pStyle w:val="Normal"/>
        <w:jc w:val="center"/>
        <w:rPr>
          <w:color w:val="000000"/>
          <w:sz w:val="20"/>
          <w:szCs w:val="20"/>
        </w:rPr>
      </w:pPr>
      <w:r>
        <w:rPr>
          <w:color w:val="000000"/>
          <w:sz w:val="20"/>
          <w:szCs w:val="20"/>
        </w:rPr>
      </w:r>
    </w:p>
    <w:p>
      <w:pPr>
        <w:pStyle w:val="Normal"/>
        <w:jc w:val="center"/>
        <w:rPr>
          <w:color w:val="000000"/>
          <w:sz w:val="20"/>
          <w:szCs w:val="20"/>
        </w:rPr>
      </w:pPr>
      <w:r>
        <w:rPr>
          <w:color w:val="000000"/>
          <w:sz w:val="20"/>
          <w:szCs w:val="20"/>
        </w:rPr>
      </w:r>
    </w:p>
    <w:p>
      <w:pPr>
        <w:pStyle w:val="Normal"/>
        <w:jc w:val="center"/>
        <w:rPr>
          <w:color w:val="000000"/>
          <w:sz w:val="20"/>
          <w:szCs w:val="20"/>
        </w:rPr>
      </w:pPr>
      <w:r>
        <w:rPr>
          <w:color w:val="000000"/>
          <w:sz w:val="20"/>
          <w:szCs w:val="20"/>
        </w:rPr>
      </w:r>
    </w:p>
    <w:p>
      <w:pPr>
        <w:pStyle w:val="Normal"/>
        <w:jc w:val="center"/>
        <w:rPr>
          <w:color w:val="000000"/>
          <w:sz w:val="20"/>
          <w:szCs w:val="20"/>
        </w:rPr>
      </w:pPr>
      <w:r>
        <w:rPr>
          <w:color w:val="000000"/>
          <w:sz w:val="20"/>
          <w:szCs w:val="20"/>
        </w:rPr>
      </w:r>
    </w:p>
    <w:p>
      <w:pPr>
        <w:pStyle w:val="Normal"/>
        <w:jc w:val="both"/>
        <w:rPr/>
      </w:pPr>
      <w:r>
        <w:rPr/>
      </w:r>
    </w:p>
    <w:p>
      <w:pPr>
        <w:pStyle w:val="Normal"/>
        <w:rPr>
          <w:color w:val="000000"/>
          <w:sz w:val="20"/>
          <w:szCs w:val="20"/>
        </w:rPr>
      </w:pPr>
      <w:r>
        <w:rPr>
          <w:color w:val="000000"/>
          <w:sz w:val="20"/>
          <w:szCs w:val="20"/>
        </w:rPr>
        <w:t xml:space="preserve">Итого: _______________ (сумма прописью), в том числе НДС __________________.  </w:t>
      </w:r>
    </w:p>
    <w:p>
      <w:pPr>
        <w:pStyle w:val="Normal"/>
        <w:rPr>
          <w:color w:val="000000"/>
          <w:sz w:val="20"/>
          <w:szCs w:val="20"/>
        </w:rPr>
      </w:pPr>
      <w:r>
        <w:rPr>
          <w:color w:val="000000"/>
          <w:sz w:val="20"/>
          <w:szCs w:val="20"/>
        </w:rPr>
      </w:r>
    </w:p>
    <w:p>
      <w:pPr>
        <w:pStyle w:val="Normal"/>
        <w:rPr>
          <w:color w:val="000000"/>
          <w:sz w:val="20"/>
          <w:szCs w:val="20"/>
        </w:rPr>
      </w:pPr>
      <w:r>
        <w:rPr>
          <w:color w:val="000000"/>
          <w:sz w:val="20"/>
          <w:szCs w:val="20"/>
        </w:rPr>
      </w:r>
    </w:p>
    <w:p>
      <w:pPr>
        <w:pStyle w:val="Normal"/>
        <w:rPr>
          <w:color w:val="000000"/>
          <w:sz w:val="20"/>
          <w:szCs w:val="20"/>
        </w:rPr>
      </w:pPr>
      <w:r>
        <w:rPr>
          <w:color w:val="000000"/>
          <w:sz w:val="20"/>
          <w:szCs w:val="20"/>
        </w:rPr>
      </w:r>
    </w:p>
    <w:p>
      <w:pPr>
        <w:pStyle w:val="Normal"/>
        <w:rPr>
          <w:color w:val="000000"/>
          <w:sz w:val="20"/>
          <w:szCs w:val="20"/>
        </w:rPr>
      </w:pPr>
      <w:r>
        <w:rPr>
          <w:color w:val="000000"/>
          <w:sz w:val="20"/>
          <w:szCs w:val="20"/>
        </w:rPr>
      </w:r>
    </w:p>
    <w:p>
      <w:pPr>
        <w:pStyle w:val="Normal"/>
        <w:rPr>
          <w:color w:val="000000"/>
          <w:sz w:val="20"/>
          <w:szCs w:val="20"/>
        </w:rPr>
      </w:pPr>
      <w:r>
        <w:rPr>
          <w:color w:val="000000"/>
          <w:sz w:val="20"/>
          <w:szCs w:val="20"/>
        </w:rPr>
      </w:r>
    </w:p>
    <w:p>
      <w:pPr>
        <w:pStyle w:val="Normal"/>
        <w:rPr>
          <w:color w:val="000000"/>
          <w:sz w:val="20"/>
          <w:szCs w:val="20"/>
        </w:rPr>
      </w:pPr>
      <w:r>
        <w:rPr>
          <w:color w:val="000000"/>
          <w:sz w:val="20"/>
          <w:szCs w:val="20"/>
        </w:rPr>
        <w:tab/>
        <w:tab/>
        <w:tab/>
        <w:t>Заказчик</w:t>
        <w:tab/>
        <w:tab/>
        <w:tab/>
        <w:tab/>
        <w:tab/>
        <w:tab/>
        <w:t>Поставщик</w:t>
      </w:r>
    </w:p>
    <w:p>
      <w:pPr>
        <w:pStyle w:val="Normal"/>
        <w:rPr>
          <w:color w:val="000000"/>
          <w:sz w:val="20"/>
          <w:szCs w:val="20"/>
        </w:rPr>
      </w:pPr>
      <w:r>
        <w:rPr>
          <w:color w:val="000000"/>
          <w:sz w:val="20"/>
          <w:szCs w:val="20"/>
        </w:rPr>
        <w:t xml:space="preserve">         </w:t>
      </w:r>
      <w:r>
        <w:rPr>
          <w:color w:val="000000"/>
          <w:sz w:val="20"/>
          <w:szCs w:val="20"/>
        </w:rPr>
        <w:tab/>
        <w:tab/>
        <w:t>_____________________</w:t>
        <w:tab/>
        <w:tab/>
        <w:tab/>
        <w:tab/>
        <w:tab/>
        <w:t>____________________</w:t>
      </w:r>
    </w:p>
    <w:p>
      <w:pPr>
        <w:pStyle w:val="Normal"/>
        <w:tabs>
          <w:tab w:val="clear" w:pos="708"/>
          <w:tab w:val="left" w:pos="851" w:leader="none"/>
        </w:tabs>
        <w:ind w:firstLine="709" w:left="142"/>
        <w:jc w:val="right"/>
        <w:rPr>
          <w:sz w:val="20"/>
          <w:szCs w:val="20"/>
        </w:rPr>
      </w:pPr>
      <w:r>
        <w:rPr>
          <w:sz w:val="20"/>
          <w:szCs w:val="20"/>
        </w:rPr>
      </w:r>
    </w:p>
    <w:p>
      <w:pPr>
        <w:pStyle w:val="Normal"/>
        <w:tabs>
          <w:tab w:val="clear" w:pos="708"/>
          <w:tab w:val="left" w:pos="851" w:leader="none"/>
        </w:tabs>
        <w:ind w:firstLine="709" w:left="142"/>
        <w:jc w:val="right"/>
        <w:rPr>
          <w:sz w:val="20"/>
          <w:szCs w:val="20"/>
        </w:rPr>
      </w:pPr>
      <w:r>
        <w:rPr>
          <w:sz w:val="20"/>
          <w:szCs w:val="20"/>
        </w:rPr>
      </w:r>
      <w:bookmarkStart w:id="1" w:name="_GoBack"/>
      <w:bookmarkStart w:id="2" w:name="_GoBack"/>
      <w:bookmarkEnd w:id="2"/>
    </w:p>
    <w:p>
      <w:pPr>
        <w:pStyle w:val="Normal"/>
        <w:tabs>
          <w:tab w:val="clear" w:pos="708"/>
          <w:tab w:val="left" w:pos="851" w:leader="none"/>
        </w:tabs>
        <w:ind w:firstLine="709" w:left="142"/>
        <w:jc w:val="right"/>
        <w:rPr>
          <w:sz w:val="20"/>
          <w:szCs w:val="20"/>
        </w:rPr>
      </w:pPr>
      <w:r>
        <w:rPr>
          <w:sz w:val="20"/>
          <w:szCs w:val="20"/>
        </w:rPr>
      </w:r>
    </w:p>
    <w:p>
      <w:pPr>
        <w:pStyle w:val="Normal"/>
        <w:tabs>
          <w:tab w:val="clear" w:pos="708"/>
          <w:tab w:val="left" w:pos="851" w:leader="none"/>
        </w:tabs>
        <w:ind w:firstLine="709" w:left="142"/>
        <w:jc w:val="right"/>
        <w:rPr>
          <w:sz w:val="20"/>
          <w:szCs w:val="20"/>
        </w:rPr>
      </w:pPr>
      <w:r>
        <w:rPr>
          <w:sz w:val="20"/>
          <w:szCs w:val="20"/>
        </w:rPr>
      </w:r>
    </w:p>
    <w:p>
      <w:pPr>
        <w:pStyle w:val="Normal"/>
        <w:tabs>
          <w:tab w:val="clear" w:pos="708"/>
          <w:tab w:val="left" w:pos="851" w:leader="none"/>
        </w:tabs>
        <w:ind w:firstLine="709" w:left="142"/>
        <w:jc w:val="right"/>
        <w:rPr>
          <w:sz w:val="20"/>
          <w:szCs w:val="20"/>
        </w:rPr>
      </w:pPr>
      <w:r>
        <w:rPr>
          <w:sz w:val="20"/>
          <w:szCs w:val="20"/>
        </w:rPr>
      </w:r>
    </w:p>
    <w:p>
      <w:pPr>
        <w:pStyle w:val="Normal"/>
        <w:tabs>
          <w:tab w:val="clear" w:pos="708"/>
          <w:tab w:val="left" w:pos="851" w:leader="none"/>
        </w:tabs>
        <w:ind w:firstLine="709" w:left="142"/>
        <w:jc w:val="right"/>
        <w:rPr>
          <w:sz w:val="20"/>
          <w:szCs w:val="20"/>
        </w:rPr>
      </w:pPr>
      <w:r>
        <w:rPr>
          <w:sz w:val="20"/>
          <w:szCs w:val="20"/>
        </w:rPr>
      </w:r>
    </w:p>
    <w:p>
      <w:pPr>
        <w:pStyle w:val="Normal"/>
        <w:tabs>
          <w:tab w:val="clear" w:pos="708"/>
          <w:tab w:val="left" w:pos="851" w:leader="none"/>
        </w:tabs>
        <w:ind w:firstLine="709" w:left="142"/>
        <w:jc w:val="right"/>
        <w:rPr>
          <w:sz w:val="20"/>
          <w:szCs w:val="20"/>
        </w:rPr>
      </w:pPr>
      <w:r>
        <w:rPr>
          <w:sz w:val="20"/>
          <w:szCs w:val="20"/>
        </w:rPr>
      </w:r>
    </w:p>
    <w:p>
      <w:pPr>
        <w:pStyle w:val="Normal"/>
        <w:tabs>
          <w:tab w:val="clear" w:pos="708"/>
          <w:tab w:val="left" w:pos="851" w:leader="none"/>
        </w:tabs>
        <w:ind w:firstLine="709" w:left="142"/>
        <w:jc w:val="right"/>
        <w:rPr>
          <w:sz w:val="20"/>
          <w:szCs w:val="20"/>
        </w:rPr>
      </w:pPr>
      <w:r>
        <w:rPr>
          <w:sz w:val="20"/>
          <w:szCs w:val="20"/>
        </w:rPr>
      </w:r>
    </w:p>
    <w:p>
      <w:pPr>
        <w:pStyle w:val="Normal"/>
        <w:tabs>
          <w:tab w:val="clear" w:pos="708"/>
          <w:tab w:val="left" w:pos="851" w:leader="none"/>
        </w:tabs>
        <w:ind w:firstLine="709" w:left="142"/>
        <w:jc w:val="right"/>
        <w:rPr>
          <w:sz w:val="20"/>
          <w:szCs w:val="20"/>
        </w:rPr>
      </w:pPr>
      <w:r>
        <w:rPr>
          <w:sz w:val="20"/>
          <w:szCs w:val="20"/>
        </w:rPr>
      </w:r>
    </w:p>
    <w:p>
      <w:pPr>
        <w:pStyle w:val="Normal"/>
        <w:tabs>
          <w:tab w:val="clear" w:pos="708"/>
          <w:tab w:val="left" w:pos="851" w:leader="none"/>
        </w:tabs>
        <w:ind w:firstLine="709" w:left="142"/>
        <w:jc w:val="right"/>
        <w:rPr>
          <w:sz w:val="20"/>
          <w:szCs w:val="20"/>
        </w:rPr>
      </w:pPr>
      <w:r>
        <w:rPr>
          <w:sz w:val="20"/>
          <w:szCs w:val="20"/>
        </w:rPr>
      </w:r>
    </w:p>
    <w:p>
      <w:pPr>
        <w:pStyle w:val="Normal"/>
        <w:tabs>
          <w:tab w:val="clear" w:pos="708"/>
          <w:tab w:val="left" w:pos="851" w:leader="none"/>
        </w:tabs>
        <w:ind w:firstLine="709" w:left="142"/>
        <w:jc w:val="right"/>
        <w:rPr>
          <w:sz w:val="20"/>
          <w:szCs w:val="20"/>
        </w:rPr>
      </w:pPr>
      <w:r>
        <w:rPr>
          <w:sz w:val="20"/>
          <w:szCs w:val="20"/>
        </w:rPr>
      </w:r>
    </w:p>
    <w:p>
      <w:pPr>
        <w:pStyle w:val="Normal"/>
        <w:tabs>
          <w:tab w:val="clear" w:pos="708"/>
          <w:tab w:val="left" w:pos="851" w:leader="none"/>
        </w:tabs>
        <w:ind w:firstLine="709" w:left="142"/>
        <w:jc w:val="right"/>
        <w:rPr>
          <w:sz w:val="20"/>
          <w:szCs w:val="20"/>
        </w:rPr>
      </w:pPr>
      <w:r>
        <w:rPr>
          <w:sz w:val="20"/>
          <w:szCs w:val="20"/>
        </w:rPr>
      </w:r>
    </w:p>
    <w:p>
      <w:pPr>
        <w:pStyle w:val="Normal"/>
        <w:tabs>
          <w:tab w:val="clear" w:pos="708"/>
          <w:tab w:val="left" w:pos="851" w:leader="none"/>
        </w:tabs>
        <w:ind w:firstLine="709" w:left="142"/>
        <w:jc w:val="right"/>
        <w:rPr>
          <w:sz w:val="20"/>
          <w:szCs w:val="20"/>
        </w:rPr>
      </w:pPr>
      <w:r>
        <w:rPr>
          <w:sz w:val="20"/>
          <w:szCs w:val="20"/>
        </w:rPr>
      </w:r>
    </w:p>
    <w:p>
      <w:pPr>
        <w:pStyle w:val="Normal"/>
        <w:tabs>
          <w:tab w:val="clear" w:pos="708"/>
          <w:tab w:val="left" w:pos="851" w:leader="none"/>
        </w:tabs>
        <w:ind w:firstLine="709" w:left="142"/>
        <w:jc w:val="right"/>
        <w:rPr>
          <w:sz w:val="20"/>
          <w:szCs w:val="20"/>
        </w:rPr>
      </w:pPr>
      <w:r>
        <w:rPr>
          <w:sz w:val="20"/>
          <w:szCs w:val="20"/>
        </w:rPr>
      </w:r>
    </w:p>
    <w:p>
      <w:pPr>
        <w:pStyle w:val="Normal"/>
        <w:tabs>
          <w:tab w:val="clear" w:pos="708"/>
          <w:tab w:val="left" w:pos="851" w:leader="none"/>
        </w:tabs>
        <w:ind w:firstLine="709" w:left="142"/>
        <w:jc w:val="right"/>
        <w:rPr>
          <w:sz w:val="20"/>
          <w:szCs w:val="20"/>
        </w:rPr>
      </w:pPr>
      <w:r>
        <w:rPr>
          <w:sz w:val="20"/>
          <w:szCs w:val="20"/>
        </w:rPr>
      </w:r>
    </w:p>
    <w:p>
      <w:pPr>
        <w:pStyle w:val="Normal"/>
        <w:tabs>
          <w:tab w:val="clear" w:pos="708"/>
          <w:tab w:val="left" w:pos="851" w:leader="none"/>
        </w:tabs>
        <w:ind w:firstLine="709" w:left="142"/>
        <w:jc w:val="right"/>
        <w:rPr>
          <w:sz w:val="20"/>
          <w:szCs w:val="20"/>
        </w:rPr>
      </w:pPr>
      <w:r>
        <w:rPr>
          <w:sz w:val="20"/>
          <w:szCs w:val="20"/>
        </w:rPr>
      </w:r>
    </w:p>
    <w:p>
      <w:pPr>
        <w:pStyle w:val="Normal"/>
        <w:tabs>
          <w:tab w:val="clear" w:pos="708"/>
          <w:tab w:val="left" w:pos="851" w:leader="none"/>
        </w:tabs>
        <w:ind w:firstLine="709" w:left="142"/>
        <w:jc w:val="right"/>
        <w:rPr>
          <w:sz w:val="20"/>
          <w:szCs w:val="20"/>
        </w:rPr>
      </w:pPr>
      <w:r>
        <w:rPr>
          <w:sz w:val="20"/>
          <w:szCs w:val="20"/>
        </w:rPr>
      </w:r>
    </w:p>
    <w:p>
      <w:pPr>
        <w:pStyle w:val="Normal"/>
        <w:tabs>
          <w:tab w:val="clear" w:pos="708"/>
          <w:tab w:val="left" w:pos="851" w:leader="none"/>
        </w:tabs>
        <w:ind w:firstLine="709" w:left="142"/>
        <w:jc w:val="right"/>
        <w:rPr>
          <w:sz w:val="20"/>
          <w:szCs w:val="20"/>
        </w:rPr>
      </w:pPr>
      <w:r>
        <w:rPr>
          <w:sz w:val="20"/>
          <w:szCs w:val="20"/>
        </w:rPr>
      </w:r>
    </w:p>
    <w:p>
      <w:pPr>
        <w:pStyle w:val="Normal"/>
        <w:tabs>
          <w:tab w:val="clear" w:pos="708"/>
          <w:tab w:val="left" w:pos="851" w:leader="none"/>
        </w:tabs>
        <w:ind w:firstLine="709" w:left="142"/>
        <w:jc w:val="right"/>
        <w:rPr>
          <w:sz w:val="20"/>
          <w:szCs w:val="20"/>
        </w:rPr>
      </w:pPr>
      <w:r>
        <w:rPr>
          <w:sz w:val="20"/>
          <w:szCs w:val="20"/>
        </w:rPr>
      </w:r>
    </w:p>
    <w:p>
      <w:pPr>
        <w:pStyle w:val="Normal"/>
        <w:tabs>
          <w:tab w:val="clear" w:pos="708"/>
          <w:tab w:val="left" w:pos="851" w:leader="none"/>
        </w:tabs>
        <w:ind w:firstLine="709" w:left="142"/>
        <w:jc w:val="right"/>
        <w:rPr>
          <w:sz w:val="20"/>
          <w:szCs w:val="20"/>
        </w:rPr>
      </w:pPr>
      <w:r>
        <w:rPr>
          <w:sz w:val="20"/>
          <w:szCs w:val="20"/>
        </w:rPr>
      </w:r>
    </w:p>
    <w:p>
      <w:pPr>
        <w:pStyle w:val="Normal"/>
        <w:tabs>
          <w:tab w:val="clear" w:pos="708"/>
          <w:tab w:val="left" w:pos="851" w:leader="none"/>
        </w:tabs>
        <w:ind w:firstLine="709" w:left="142"/>
        <w:jc w:val="right"/>
        <w:rPr>
          <w:sz w:val="20"/>
          <w:szCs w:val="20"/>
        </w:rPr>
      </w:pPr>
      <w:r>
        <w:rPr>
          <w:sz w:val="20"/>
          <w:szCs w:val="20"/>
        </w:rPr>
      </w:r>
    </w:p>
    <w:p>
      <w:pPr>
        <w:pStyle w:val="Normal"/>
        <w:tabs>
          <w:tab w:val="clear" w:pos="708"/>
          <w:tab w:val="left" w:pos="851" w:leader="none"/>
        </w:tabs>
        <w:ind w:firstLine="709" w:left="142"/>
        <w:jc w:val="right"/>
        <w:rPr>
          <w:sz w:val="20"/>
          <w:szCs w:val="20"/>
        </w:rPr>
      </w:pPr>
      <w:r>
        <w:rPr>
          <w:sz w:val="20"/>
          <w:szCs w:val="20"/>
        </w:rPr>
      </w:r>
    </w:p>
    <w:p>
      <w:pPr>
        <w:pStyle w:val="Normal"/>
        <w:tabs>
          <w:tab w:val="clear" w:pos="708"/>
          <w:tab w:val="left" w:pos="851" w:leader="none"/>
        </w:tabs>
        <w:ind w:firstLine="709" w:left="142"/>
        <w:jc w:val="both"/>
        <w:rPr>
          <w:sz w:val="20"/>
          <w:szCs w:val="20"/>
        </w:rPr>
      </w:pPr>
      <w:r>
        <w:rPr>
          <w:sz w:val="20"/>
          <w:szCs w:val="20"/>
        </w:rPr>
        <w:tab/>
        <w:tab/>
        <w:tab/>
      </w:r>
    </w:p>
    <w:sectPr>
      <w:footerReference w:type="even" r:id="rId4"/>
      <w:footerReference w:type="default" r:id="rId5"/>
      <w:footerReference w:type="first" r:id="rId6"/>
      <w:type w:val="nextPage"/>
      <w:pgSz w:w="11906" w:h="16838"/>
      <w:pgMar w:left="1276" w:right="794" w:gutter="0" w:header="0" w:top="567" w:footer="709" w:bottom="76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swiss"/>
    <w:pitch w:val="variable"/>
  </w:font>
  <w:font w:name="Liberation Sans">
    <w:altName w:val="Arial"/>
    <w:charset w:val="cc"/>
    <w:family w:val="swiss"/>
    <w:pitch w:val="variable"/>
  </w:font>
  <w:font w:name="Cambria">
    <w:charset w:val="cc"/>
    <w:family w:val="roman"/>
    <w:pitch w:val="variable"/>
  </w:font>
  <w:font w:name="Arial">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distT="0" distB="0" distL="0" distR="0" simplePos="0" relativeHeight="8"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shape_0"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distT="0" distB="0" distL="0" distR="0" simplePos="0" relativeHeight="6" behindDoc="1" locked="0" layoutInCell="0" allowOverlap="1">
              <wp:simplePos x="0" y="0"/>
              <wp:positionH relativeFrom="margin">
                <wp:align>right</wp:align>
              </wp:positionH>
              <wp:positionV relativeFrom="paragraph">
                <wp:posOffset>635</wp:posOffset>
              </wp:positionV>
              <wp:extent cx="76835" cy="173990"/>
              <wp:effectExtent l="0" t="0" r="0" b="0"/>
              <wp:wrapSquare wrapText="bothSides"/>
              <wp:docPr id="2" name="Врезка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wps:txbx>
                    <wps:bodyPr lIns="0" tIns="0" rIns="0" bIns="0" anchor="t">
                      <a:spAutoFit/>
                    </wps:bodyPr>
                  </wps:wsp>
                </a:graphicData>
              </a:graphic>
            </wp:anchor>
          </w:drawing>
        </mc:Choice>
        <mc:Fallback>
          <w:pict>
            <v:rect id="shape_0" stroked="f" o:allowincell="f" style="position:absolute;margin-left:485.7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48"/>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62edc"/>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Нижний колонтитул Знак"/>
    <w:basedOn w:val="DefaultParagraphFont"/>
    <w:uiPriority w:val="99"/>
    <w:qFormat/>
    <w:rsid w:val="00862edc"/>
    <w:rPr>
      <w:rFonts w:ascii="Times New Roman" w:hAnsi="Times New Roman" w:eastAsia="Times New Roman" w:cs="Times New Roman"/>
      <w:sz w:val="24"/>
      <w:szCs w:val="24"/>
      <w:lang w:eastAsia="ru-RU"/>
    </w:rPr>
  </w:style>
  <w:style w:type="character" w:styleId="PageNumber">
    <w:name w:val="page number"/>
    <w:basedOn w:val="DefaultParagraphFont"/>
    <w:rsid w:val="00862edc"/>
    <w:rPr/>
  </w:style>
  <w:style w:type="character" w:styleId="Style15" w:customStyle="1">
    <w:name w:val="Текст выноски Знак"/>
    <w:basedOn w:val="DefaultParagraphFont"/>
    <w:link w:val="BalloonText"/>
    <w:uiPriority w:val="99"/>
    <w:semiHidden/>
    <w:qFormat/>
    <w:rsid w:val="00210986"/>
    <w:rPr>
      <w:rFonts w:ascii="Tahoma" w:hAnsi="Tahoma" w:eastAsia="Times New Roman" w:cs="Tahoma"/>
      <w:sz w:val="16"/>
      <w:szCs w:val="16"/>
      <w:lang w:eastAsia="ru-RU"/>
    </w:rPr>
  </w:style>
  <w:style w:type="character" w:styleId="Hyperlink">
    <w:name w:val="Hyperlink"/>
    <w:basedOn w:val="DefaultParagraphFont"/>
    <w:uiPriority w:val="99"/>
    <w:rsid w:val="00b24731"/>
    <w:rPr>
      <w:rFonts w:cs="Times New Roman"/>
      <w:color w:val="0000FF"/>
      <w:u w:val="single"/>
    </w:rPr>
  </w:style>
  <w:style w:type="paragraph" w:styleId="Style16">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7">
    <w:name w:val="Указатель"/>
    <w:basedOn w:val="Normal"/>
    <w:qFormat/>
    <w:pPr>
      <w:suppressLineNumbers/>
    </w:pPr>
    <w:rPr>
      <w:rFonts w:cs="Lucida Sans"/>
    </w:rPr>
  </w:style>
  <w:style w:type="paragraph" w:styleId="user">
    <w:name w:val="Заголовок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1">
    <w:name w:val="Указатель (user)"/>
    <w:basedOn w:val="Normal"/>
    <w:qFormat/>
    <w:pPr>
      <w:suppressLineNumbers/>
    </w:pPr>
    <w:rPr>
      <w:rFonts w:cs="Lucida Sans"/>
    </w:rPr>
  </w:style>
  <w:style w:type="paragraph" w:styleId="Style18">
    <w:name w:val="Колонтитулы"/>
    <w:basedOn w:val="Normal"/>
    <w:qFormat/>
    <w:pPr/>
    <w:rPr/>
  </w:style>
  <w:style w:type="paragraph" w:styleId="user2">
    <w:name w:val="Колонтитулы (user)"/>
    <w:basedOn w:val="Normal"/>
    <w:qFormat/>
    <w:pPr/>
    <w:rPr/>
  </w:style>
  <w:style w:type="paragraph" w:styleId="Footer">
    <w:name w:val="footer"/>
    <w:basedOn w:val="Normal"/>
    <w:link w:val="Style14"/>
    <w:uiPriority w:val="99"/>
    <w:rsid w:val="00862edc"/>
    <w:pPr>
      <w:tabs>
        <w:tab w:val="clear" w:pos="708"/>
        <w:tab w:val="center" w:pos="4677" w:leader="none"/>
        <w:tab w:val="right" w:pos="9355" w:leader="none"/>
      </w:tabs>
    </w:pPr>
    <w:rPr/>
  </w:style>
  <w:style w:type="paragraph" w:styleId="ConsPlusNormal" w:customStyle="1">
    <w:name w:val="ConsPlusNormal"/>
    <w:qFormat/>
    <w:rsid w:val="0041626c"/>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BalloonText">
    <w:name w:val="Balloon Text"/>
    <w:basedOn w:val="Normal"/>
    <w:link w:val="Style15"/>
    <w:uiPriority w:val="99"/>
    <w:semiHidden/>
    <w:unhideWhenUsed/>
    <w:qFormat/>
    <w:rsid w:val="00210986"/>
    <w:pPr/>
    <w:rPr>
      <w:rFonts w:ascii="Tahoma" w:hAnsi="Tahoma" w:cs="Tahoma"/>
      <w:sz w:val="16"/>
      <w:szCs w:val="16"/>
    </w:rPr>
  </w:style>
  <w:style w:type="paragraph" w:styleId="NormalWeb">
    <w:name w:val="Normal (Web)"/>
    <w:basedOn w:val="Normal"/>
    <w:uiPriority w:val="99"/>
    <w:unhideWhenUsed/>
    <w:qFormat/>
    <w:rsid w:val="00a10e69"/>
    <w:pPr>
      <w:spacing w:beforeAutospacing="1" w:afterAutospacing="1"/>
    </w:pPr>
    <w:rPr/>
  </w:style>
  <w:style w:type="paragraph" w:styleId="user3">
    <w:name w:val="Содержимое врезки (user)"/>
    <w:basedOn w:val="Normal"/>
    <w:qFormat/>
    <w:pPr/>
    <w:rPr/>
  </w:style>
  <w:style w:type="paragraph" w:styleId="Style19">
    <w:name w:val="Содержимое врезки"/>
    <w:basedOn w:val="Normal"/>
    <w:qFormat/>
    <w:pPr/>
    <w:rPr/>
  </w:style>
  <w:style w:type="numbering" w:styleId="user4"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59"/>
    <w:rsid w:val="00fe780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0C3EF4715478CAEBBD4C4D2706AB83AC4F61FE785DE489127934CF4EC9F1C23083258A1DEE29838C485B6394B118A646A34541r9dAF" TargetMode="External"/><Relationship Id="rId3" Type="http://schemas.openxmlformats.org/officeDocument/2006/relationships/hyperlink" Target="consultantplus://offline/ref=06D6761D21A3DF182A33643B61FB18CE987601430F9A9C39C4D459D304487F165BA36BF6344C24F869781625C43E52FDB5E9E6lCWFL"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D3301-48C0-4FE0-86DB-EEC64013E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Application>LibreOffice/26.2.1.2$Windows_X86_64 LibreOffice_project/620$Build-2</Application>
  <AppVersion>15.0000</AppVersion>
  <Pages>4</Pages>
  <Words>1723</Words>
  <Characters>12433</Characters>
  <CharactersWithSpaces>14505</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2025-03-18T12:02:00Z</dcterms:created>
  <dc:creator>Черний Марина Владимировна</dc:creator>
  <dc:description/>
  <dc:language>ru-RU</dc:language>
  <cp:lastModifiedBy/>
  <cp:lastPrinted>2023-03-06T06:51:00Z</cp:lastPrinted>
  <dcterms:modified xsi:type="dcterms:W3CDTF">2026-06-26T11:18:33Z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