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keepNext w:val="0"/>
        <w:spacing w:before="0" w:after="0"/>
        <w:widowControl w:val="off"/>
        <w:rPr>
          <w:rFonts w:ascii="Times New Roman" w:hAnsi="Times New Roman"/>
          <w:b/>
          <w:caps/>
          <w:sz w:val="16"/>
          <w:szCs w:val="16"/>
        </w:rPr>
      </w:pPr>
      <w:r>
        <w:rPr>
          <w:rFonts w:ascii="Times New Roman" w:hAnsi="Times New Roman"/>
          <w:b/>
          <w:caps/>
          <w:sz w:val="16"/>
          <w:szCs w:val="16"/>
        </w:rPr>
      </w:r>
      <w:r>
        <w:rPr>
          <w:rFonts w:ascii="Times New Roman" w:hAnsi="Times New Roman"/>
          <w:b/>
          <w:caps/>
          <w:sz w:val="16"/>
          <w:szCs w:val="16"/>
        </w:rPr>
      </w:r>
      <w:r>
        <w:rPr>
          <w:rFonts w:ascii="Times New Roman" w:hAnsi="Times New Roman"/>
          <w:b/>
          <w:caps/>
          <w:sz w:val="16"/>
          <w:szCs w:val="16"/>
        </w:rPr>
      </w:r>
    </w:p>
    <w:p>
      <w:r/>
      <w:r/>
    </w:p>
    <w:p>
      <w:pPr>
        <w:pStyle w:val="833"/>
        <w:jc w:val="center"/>
        <w:keepNext w:val="0"/>
        <w:spacing w:before="0" w:after="0"/>
        <w:widowControl w:val="off"/>
        <w:rPr>
          <w:rFonts w:ascii="Times New Roman" w:hAnsi="Times New Roman"/>
          <w:b/>
          <w:caps/>
          <w:szCs w:val="24"/>
          <w:lang w:val="ru-RU"/>
        </w:rPr>
      </w:pPr>
      <w:r>
        <w:rPr>
          <w:rFonts w:ascii="Times New Roman" w:hAnsi="Times New Roman"/>
          <w:b/>
          <w:caps/>
          <w:szCs w:val="24"/>
        </w:rPr>
        <w:t xml:space="preserve">ОБОСНОВАНИЕ НАЧАЛЬНОЙ (МАКСИМАЛЬНОЙ) ЦЕНЫ КОНТРАКТА</w:t>
      </w:r>
      <w:r>
        <w:rPr>
          <w:rFonts w:ascii="Times New Roman" w:hAnsi="Times New Roman"/>
          <w:b/>
          <w:caps/>
          <w:szCs w:val="24"/>
          <w:lang w:val="ru-RU"/>
        </w:rPr>
      </w:r>
      <w:r>
        <w:rPr>
          <w:rFonts w:ascii="Times New Roman" w:hAnsi="Times New Roman"/>
          <w:b/>
          <w:caps/>
          <w:szCs w:val="24"/>
          <w:lang w:val="ru-RU"/>
        </w:rPr>
      </w:r>
    </w:p>
    <w:p>
      <w:pPr>
        <w:pStyle w:val="833"/>
        <w:jc w:val="center"/>
        <w:keepNext w:val="0"/>
        <w:spacing w:before="0" w:after="0"/>
        <w:widowControl w:val="off"/>
        <w:rPr>
          <w:rFonts w:ascii="Times New Roman" w:hAnsi="Times New Roman"/>
          <w:b/>
          <w:caps/>
          <w:sz w:val="10"/>
          <w:szCs w:val="10"/>
          <w:lang w:val="ru-RU"/>
        </w:rPr>
      </w:pPr>
      <w:r>
        <w:rPr>
          <w:rFonts w:ascii="Times New Roman" w:hAnsi="Times New Roman"/>
          <w:b/>
          <w:caps/>
          <w:sz w:val="10"/>
          <w:szCs w:val="10"/>
          <w:lang w:val="ru-RU"/>
        </w:rPr>
      </w:r>
      <w:r>
        <w:rPr>
          <w:rFonts w:ascii="Times New Roman" w:hAnsi="Times New Roman"/>
          <w:b/>
          <w:caps/>
          <w:sz w:val="10"/>
          <w:szCs w:val="10"/>
          <w:lang w:val="ru-RU"/>
        </w:rPr>
      </w:r>
      <w:r>
        <w:rPr>
          <w:rFonts w:ascii="Times New Roman" w:hAnsi="Times New Roman"/>
          <w:b/>
          <w:caps/>
          <w:sz w:val="10"/>
          <w:szCs w:val="10"/>
          <w:lang w:val="ru-RU"/>
        </w:rPr>
      </w:r>
    </w:p>
    <w:p>
      <w:pPr>
        <w:jc w:val="center"/>
        <w:shd w:val="clear" w:color="auto" w:fill="ffffff"/>
        <w:tabs>
          <w:tab w:val="left" w:pos="0" w:leader="none"/>
          <w:tab w:val="left" w:pos="439" w:leader="none"/>
        </w:tabs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  <w:t xml:space="preserve">на выполнение работ  оценки эффективности защиты (защищенности) информации от утечки по техническим каналам автоматизированного рабочего места, расположенного в административном здании Управления Росреестра по Ленинградской области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shd w:val="clear" w:color="auto" w:fill="ffffff"/>
        <w:tabs>
          <w:tab w:val="left" w:pos="0" w:leader="none"/>
          <w:tab w:val="left" w:pos="439" w:leader="none"/>
        </w:tabs>
        <w:rPr>
          <w:b/>
          <w:bCs/>
          <w:sz w:val="16"/>
          <w:szCs w:val="16"/>
        </w:rPr>
      </w:pPr>
      <w:r>
        <w:rPr>
          <w:b/>
          <w:highlight w:val="none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shd w:val="clear" w:color="auto" w:fill="ffffff"/>
        <w:tabs>
          <w:tab w:val="left" w:pos="0" w:leader="none"/>
          <w:tab w:val="left" w:pos="439" w:leader="none"/>
        </w:tabs>
      </w:pPr>
      <w:r>
        <w:tab/>
      </w:r>
      <w:r>
        <w:tab/>
      </w:r>
      <w:r>
        <w:t xml:space="preserve">Начальная (максимальная) цена контракта, начальная сумма цен единиц товара, работ, услуг (далее - НМЦК) определ</w:t>
      </w:r>
      <w:r>
        <w:t xml:space="preserve">яется </w:t>
      </w:r>
      <w:r>
        <w:t xml:space="preserve">в соответствии с</w:t>
      </w:r>
      <w:r>
        <w:t xml:space="preserve">о статьей 22</w:t>
      </w:r>
      <w:r>
        <w:t xml:space="preserve"> Федеральн</w:t>
      </w:r>
      <w:r>
        <w:t xml:space="preserve">ого закона</w:t>
      </w:r>
      <w: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(далее – Закон № 44-ФЗ)</w:t>
      </w:r>
      <w:r>
        <w:t xml:space="preserve">, приказом Минэкономразвития России от</w:t>
      </w:r>
      <w:r>
        <w:t xml:space="preserve"> 02.10.2013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Методические рекомендации).</w:t>
      </w:r>
      <w:r/>
    </w:p>
    <w:p>
      <w:pPr>
        <w:shd w:val="clear" w:color="auto" w:fill="ffffff"/>
        <w:tabs>
          <w:tab w:val="left" w:pos="0" w:leader="none"/>
          <w:tab w:val="left" w:pos="439" w:leader="none"/>
        </w:tabs>
      </w:pPr>
      <w:r>
        <w:tab/>
      </w:r>
      <w:r>
        <w:tab/>
      </w:r>
      <w:r>
        <w:t xml:space="preserve">Метод определения НМЦК: метод сопостави</w:t>
      </w:r>
      <w:r>
        <w:t xml:space="preserve">мых рыночных цен (анализ рынка)</w:t>
      </w:r>
      <w:r/>
    </w:p>
    <w:p>
      <w:pPr>
        <w:tabs>
          <w:tab w:val="right" w:pos="2840" w:leader="none"/>
        </w:tabs>
      </w:pPr>
      <w:r>
        <w:tab/>
      </w:r>
      <w:r>
        <w:t xml:space="preserve">В целях определения НМЦК был осуществлен сбор ценовой информации </w:t>
      </w:r>
      <w:r>
        <w:t xml:space="preserve">среди исполнителей,</w:t>
      </w:r>
      <w:r>
        <w:t xml:space="preserve"> оказывающих услуги</w:t>
      </w:r>
      <w:r>
        <w:t xml:space="preserve">, являющ</w:t>
      </w:r>
      <w:r>
        <w:t xml:space="preserve">иеся </w:t>
      </w:r>
      <w:r>
        <w:t xml:space="preserve">объектом закупки.</w:t>
      </w:r>
      <w:r/>
    </w:p>
    <w:p>
      <w:pPr>
        <w:tabs>
          <w:tab w:val="right" w:pos="2840" w:leader="none"/>
        </w:tabs>
      </w:pPr>
      <w:r/>
      <w:r/>
    </w:p>
    <w:tbl>
      <w:tblPr>
        <w:tblW w:w="1553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587"/>
        <w:gridCol w:w="1135"/>
        <w:gridCol w:w="992"/>
        <w:gridCol w:w="1417"/>
        <w:gridCol w:w="1418"/>
        <w:gridCol w:w="1417"/>
        <w:gridCol w:w="1700"/>
        <w:gridCol w:w="1419"/>
        <w:gridCol w:w="1845"/>
        <w:gridCol w:w="15"/>
        <w:gridCol w:w="28"/>
      </w:tblGrid>
      <w:tr>
        <w:tblPrEx/>
        <w:trPr>
          <w:trHeight w:val="330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Таблица цен для определения начальной (максимальной) цены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товара, работы,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  <w:r>
              <w:rPr>
                <w:sz w:val="20"/>
                <w:szCs w:val="20"/>
              </w:rPr>
              <w:t xml:space="preserve">измер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информации и цена за единицу,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однородности и средних значений цен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8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7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Ценовое предложение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Вх. 25167 от 25.06.2026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Ценовое предложение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Вх. 25746 от 30.06.2026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Ценовое предложение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 xml:space="preserve">Вх. от 30.06.2026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</w:t>
            </w:r>
            <w:r>
              <w:rPr>
                <w:sz w:val="20"/>
                <w:szCs w:val="20"/>
              </w:rPr>
              <w:t xml:space="preserve">. вариации (V), %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не более 33 %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цена за </w:t>
            </w:r>
            <w:r>
              <w:rPr>
                <w:sz w:val="20"/>
                <w:szCs w:val="20"/>
              </w:rPr>
              <w:t xml:space="preserve">ед</w:t>
            </w:r>
            <w:r>
              <w:rPr>
                <w:sz w:val="20"/>
                <w:szCs w:val="20"/>
              </w:rPr>
              <w:t xml:space="preserve">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7" w:type="dxa"/>
            <w:vAlign w:val="bottom"/>
            <w:vMerge w:val="restart"/>
            <w:textDirection w:val="lrTb"/>
            <w:noWrap w:val="false"/>
          </w:tcPr>
          <w:p>
            <w:pPr>
              <w:pStyle w:val="841"/>
              <w:ind w:right="282"/>
              <w:jc w:val="both"/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41"/>
              <w:ind w:right="282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74.90.20.140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1"/>
              <w:ind w:right="282"/>
              <w:jc w:val="both"/>
              <w:widowControl w:val="off"/>
            </w:pPr>
            <w:r>
              <w:rPr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Выполнению работ оценки эффективности защиты (защищенности) информации от утечки по техническим каналам автоматизированного рабочего места, расположенного в административном здании 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 Ленинградской области)</w:t>
            </w:r>
            <w:r>
              <w:rPr>
                <w:color w:val="000000"/>
              </w:rPr>
              <w:t xml:space="preserve">»</w:t>
            </w:r>
            <w:r/>
          </w:p>
          <w:p>
            <w:pPr>
              <w:jc w:val="left"/>
              <w:tabs>
                <w:tab w:val="right" w:pos="284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171 000,00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155 500,00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160 000,00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4,92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155 500,00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155 500,00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48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155 500,00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tabs>
          <w:tab w:val="right" w:pos="2840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>
        <w:rPr>
          <w:rFonts w:eastAsia="Calibri"/>
          <w:lang w:eastAsia="en-US"/>
        </w:rPr>
        <w:t xml:space="preserve">Коэффициент вариации цены не превышает 33%, таким образом, совокупность значений, используемых в расчете, при определении НМЦК </w:t>
      </w:r>
      <w:r>
        <w:rPr>
          <w:rFonts w:eastAsia="Calibri"/>
          <w:lang w:eastAsia="en-US"/>
        </w:rPr>
        <w:t xml:space="preserve">явля-ется</w:t>
      </w:r>
      <w:r>
        <w:rPr>
          <w:rFonts w:eastAsia="Calibri"/>
          <w:lang w:eastAsia="en-US"/>
        </w:rPr>
        <w:t xml:space="preserve"> однородной.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rPr>
          <w:rFonts w:eastAsia="Calibri"/>
          <w:lang w:eastAsia="en-US"/>
        </w:rPr>
      </w:pPr>
      <w:r>
        <w:rPr>
          <w:bCs/>
          <w:i/>
          <w:sz w:val="22"/>
          <w:szCs w:val="22"/>
          <w:u w:val="single"/>
          <w:lang w:eastAsia="en-US"/>
        </w:rPr>
        <w:t xml:space="preserve">НМЦК включает все ра</w:t>
      </w:r>
      <w:r>
        <w:rPr>
          <w:bCs/>
          <w:i/>
          <w:sz w:val="22"/>
          <w:szCs w:val="22"/>
          <w:u w:val="single"/>
          <w:lang w:eastAsia="en-US"/>
        </w:rPr>
        <w:t xml:space="preserve">сходы, которые может понести Исполнитель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связанные с исполнением контракта.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rPr>
          <w:rFonts w:eastAsia="Calibri"/>
          <w:lang w:eastAsia="en-US"/>
        </w:rPr>
      </w:pPr>
      <w:r>
        <w:rPr>
          <w:b/>
          <w:bCs/>
          <w:sz w:val="22"/>
          <w:szCs w:val="22"/>
          <w:u w:val="single"/>
          <w:lang w:eastAsia="en-US"/>
        </w:rPr>
        <w:t xml:space="preserve">Начальная (максимальная) цена контракта</w:t>
      </w:r>
      <w:r>
        <w:rPr>
          <w:bCs/>
          <w:sz w:val="22"/>
          <w:szCs w:val="22"/>
          <w:lang w:eastAsia="en-US"/>
        </w:rPr>
        <w:t xml:space="preserve"> установлена в пределах лимитов бюджетных обязательств на оказание услуги по предоставлению доступа к сети Интернет</w:t>
      </w:r>
      <w:r>
        <w:rPr>
          <w:bCs/>
          <w:sz w:val="22"/>
          <w:szCs w:val="22"/>
          <w:lang w:eastAsia="en-US"/>
        </w:rPr>
        <w:t xml:space="preserve"> составляет </w:t>
      </w:r>
      <w:r>
        <w:rPr>
          <w:bCs/>
          <w:sz w:val="22"/>
          <w:szCs w:val="22"/>
          <w:lang w:eastAsia="en-US"/>
        </w:rPr>
        <w:t xml:space="preserve">155 500 (Сто пятьдесят пять тысяч пятьсот) рублей</w:t>
      </w:r>
      <w:r>
        <w:rPr>
          <w:bCs/>
          <w:sz w:val="22"/>
          <w:szCs w:val="22"/>
          <w:lang w:eastAsia="en-US"/>
        </w:rPr>
        <w:t xml:space="preserve"> 00 копейки.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sectPr>
      <w:footnotePr/>
      <w:endnotePr/>
      <w:type w:val="nextPage"/>
      <w:pgSz w:w="16838" w:h="11906" w:orient="landscape"/>
      <w:pgMar w:top="568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character" w:styleId="662">
    <w:name w:val="Heading 4 Char"/>
    <w:basedOn w:val="834"/>
    <w:link w:val="833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4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4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4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4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4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4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both"/>
    </w:pPr>
    <w:rPr>
      <w:rFonts w:ascii="Times New Roman" w:hAnsi="Times New Roman" w:eastAsia="Times New Roman"/>
      <w:sz w:val="24"/>
      <w:szCs w:val="24"/>
    </w:rPr>
  </w:style>
  <w:style w:type="paragraph" w:styleId="833">
    <w:name w:val="Heading 4"/>
    <w:basedOn w:val="832"/>
    <w:next w:val="832"/>
    <w:link w:val="837"/>
    <w:unhideWhenUsed/>
    <w:qFormat/>
    <w:pPr>
      <w:keepNext/>
      <w:spacing w:before="240" w:after="60"/>
      <w:outlineLvl w:val="3"/>
    </w:pPr>
    <w:rPr>
      <w:rFonts w:ascii="Arial" w:hAnsi="Arial"/>
      <w:szCs w:val="20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Заголовок 4 Знак"/>
    <w:link w:val="833"/>
    <w:rPr>
      <w:rFonts w:ascii="Arial" w:hAnsi="Arial" w:eastAsia="Times New Roman" w:cs="Times New Roman"/>
      <w:sz w:val="24"/>
      <w:szCs w:val="20"/>
    </w:rPr>
  </w:style>
  <w:style w:type="paragraph" w:styleId="838">
    <w:name w:val="Balloon Text"/>
    <w:basedOn w:val="832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link w:val="83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0">
    <w:name w:val="List Paragraph"/>
    <w:basedOn w:val="832"/>
    <w:uiPriority w:val="34"/>
    <w:qFormat/>
    <w:pPr>
      <w:contextualSpacing/>
      <w:ind w:left="720"/>
    </w:pPr>
  </w:style>
  <w:style w:type="paragraph" w:styleId="841" w:customStyle="1">
    <w:name w:val="Îáû÷íûé"/>
    <w:qFormat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Управление Росреестра по Владимирской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Чорнаморян Ирина Сережовна</dc:creator>
  <cp:keywords/>
  <cp:revision>50</cp:revision>
  <dcterms:created xsi:type="dcterms:W3CDTF">2022-08-31T09:16:00Z</dcterms:created>
  <dcterms:modified xsi:type="dcterms:W3CDTF">2026-06-30T08:53:02Z</dcterms:modified>
</cp:coreProperties>
</file>