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pacing w:val="40"/>
          <w:sz w:val="25"/>
          <w:szCs w:val="25"/>
          <w:lang w:eastAsia="ru-RU"/>
        </w:rPr>
        <w:t xml:space="preserve">Государственный контракт</w:t>
      </w: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 № ____________</w:t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Санкт-Петербург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«____» ______ 2026 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Управление Федеральной службы государственной регистрации, кадастра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/>
        <w:t xml:space="preserve">и картографии по Ленинградской области (Управление Росреестра по Ленинградской области)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имени Российской Федерации, именуемое в дальнейшем «Государственный заказчик», в лице заместителя руководителя Воробьева Михаила Викторовича, действующего на основании доверенности от 16.12.2025 №1267, с одной стороны,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____________,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именуемое в дальнейшем «Исполнитель» в лице _________, действующего на основании _________, с другой стороны, совместно именуемые «Стороны», на основании  пункта 4 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асти 1 статьи 93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1. ПРЕДМЕТ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Исполнитель обязуется выполнить и сдать Заказчику, а последний обязуется принять и оплатить работы по оценке эффективности защиты (защищенности) информации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автоматизированной системы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дооснащением средством доверенной загрузки (СДЗ)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проведению специальных проверок (СП) технических средств (далее – Работы) на соответствие требованиям по безопасности в соответствии со Спецификацией (Приложение №1 к Контракту).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Стороны пришли к соглашению и официально заверяют и гарантируют, что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Работы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являющиеся предметом настоящего Контракта, не относятся к государственному оборонному заказу и не подпадают под прямое действие Федерального закона от 29.12.2012 № 275-ФЗ «О государственном оборонном заказе».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Работы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выполняются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территории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cap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caps/>
          <w:sz w:val="25"/>
          <w:szCs w:val="25"/>
          <w:lang w:eastAsia="ru-RU"/>
        </w:rPr>
        <w:t xml:space="preserve">2. Стоимость работ и порядок их оплаты</w:t>
      </w:r>
      <w:r>
        <w:rPr>
          <w:rFonts w:ascii="Times New Roman" w:hAnsi="Times New Roman" w:eastAsia="Times New Roman" w:cs="Times New Roman"/>
          <w:b/>
          <w:caps/>
          <w:sz w:val="25"/>
          <w:szCs w:val="25"/>
        </w:rPr>
      </w:r>
      <w:r>
        <w:rPr>
          <w:rFonts w:ascii="Times New Roman" w:hAnsi="Times New Roman" w:eastAsia="Times New Roman" w:cs="Times New Roman"/>
          <w:b/>
          <w:caps/>
          <w:sz w:val="25"/>
          <w:szCs w:val="25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(___) (цифрами и прописью)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копеек, в том числе 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(___)/без НДС (цифрами и прописью)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копеек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является твердой и определяется на весь срок исполнения Контракта и изменению не подлежит за исключением случаев, предусмотренных действующим законодательством Российской Федерации.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цену Контракта включены все затраты, издержки и иные расходы Исполнителя, связанные с надлежащим исполнением Контракта.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Финансирование осуществляется за счет средств федерального бюджета в пределах установленных лимитов бюджетных обязательств на 2026 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Оплата производится Заказчиком по факту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выполнения работ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путем перечисления денежных средств на расчетный счет Исполнителя, в течение 7 (семи) рабочих дней после получения акта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сдачи-приемки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подписанных сторонами,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счет-фактур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*.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*Счет-фактура предоставляется в случае, если Исполнитель является плательщиком НДС.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ind w:firstLine="851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Датой оплаты является дата поступления денежных средств на расчетный счет Исполнителя.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851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В случае приостановления по просьбе Заказчика выполнения Контракта, начатого Исполнителем, на срок более 3 (Трех) месяцев подряд, Заказчик оплачивает Исполнителю фактические затраты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выполненному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объёму работ на момент приостановления исполнения по акту фактических затрат, согласованному Сторонами.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Исполнитель и Заказчик имеют право в любое время провести сверку взаимных расчетов. Одна из сторон Контракта направляет Акт сверки заказным письмом с уведомлением Почтой России или письмом с привлечением курьерской службы другой стороне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онтракта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адресу, указанному в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разделе настоящего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онтракта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Сторона, получившая акт сверки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взаимных расчетов, в течение 10 (Десяти) рабочих дней со дня получения Акта сверки подписывает и возвращает его Исполнителю, либо предоставляет в письменной форме мотивированный отказ.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 Авансовый платеж не предусмотрен.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eastAsia="Times New Roman" w:cs="Times New Roman"/>
          <w:b/>
          <w:cap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caps/>
          <w:sz w:val="25"/>
          <w:szCs w:val="25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/>
          <w:caps/>
          <w:sz w:val="25"/>
          <w:szCs w:val="25"/>
          <w:lang w:eastAsia="ru-RU"/>
        </w:rPr>
        <w:tab/>
        <w:t xml:space="preserve">Права и Обязанности сторон</w:t>
      </w:r>
      <w:r>
        <w:rPr>
          <w:rFonts w:ascii="Times New Roman" w:hAnsi="Times New Roman" w:eastAsia="Times New Roman" w:cs="Times New Roman"/>
          <w:b/>
          <w:caps/>
          <w:sz w:val="25"/>
          <w:szCs w:val="25"/>
        </w:rPr>
      </w:r>
      <w:r>
        <w:rPr>
          <w:rFonts w:ascii="Times New Roman" w:hAnsi="Times New Roman" w:eastAsia="Times New Roman" w:cs="Times New Roman"/>
          <w:b/>
          <w:caps/>
          <w:sz w:val="25"/>
          <w:szCs w:val="25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bCs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aps/>
          <w:sz w:val="24"/>
          <w:szCs w:val="24"/>
          <w:lang w:eastAsia="ru-RU"/>
        </w:rPr>
        <w:t xml:space="preserve">3.1.</w:t>
      </w:r>
      <w:r>
        <w:rPr>
          <w:rFonts w:ascii="Times New Roman" w:hAnsi="Times New Roman" w:eastAsia="Times New Roman" w:cs="Times New Roman"/>
          <w:bCs/>
          <w:cap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Исполнитель вправ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е:</w:t>
      </w:r>
      <w:r>
        <w:rPr>
          <w:rFonts w:ascii="Times New Roman" w:hAnsi="Times New Roman" w:eastAsia="Times New Roman" w:cs="Times New Roman"/>
          <w:bCs/>
          <w:cap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aps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Требовать от Заказчика полную и своевременную оплату Работ.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3.1.2. По согласованию с Заказчиком досрочно исполнить обязательства по Контракту.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3.1.3. Привлекать к выполнению Контракта соисполнителей (третьих лиц) по согласованию с Заказчиком. Невыполнение соисполнителем (третьим лицом) обязательств перед Исполнителем не освобождает Исполнителя от выполнения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3.1.4. Требовать от Заказчика материалы, документы и информацию в полном объеме, необходимую для качественного проведения работ по Контракту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3.1.5. Осуществлять иные права, предусмотренные Контрактом и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aps/>
          <w:sz w:val="24"/>
          <w:szCs w:val="24"/>
          <w:lang w:eastAsia="ru-RU"/>
        </w:rPr>
        <w:t xml:space="preserve">3.2.</w:t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Исполнитель обязан</w:t>
      </w:r>
      <w:r>
        <w:rPr>
          <w:rFonts w:ascii="Times New Roman" w:hAnsi="Times New Roman" w:eastAsia="Times New Roman" w:cs="Times New Roman"/>
          <w:bCs/>
          <w:cap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caps/>
          <w:sz w:val="24"/>
          <w:szCs w:val="24"/>
        </w:rPr>
      </w:r>
      <w:r>
        <w:rPr>
          <w:rFonts w:ascii="Times New Roman" w:hAnsi="Times New Roman" w:eastAsia="Times New Roman" w:cs="Times New Roman"/>
          <w:b/>
          <w:caps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3.2.1. Соблюдать условия Контракта и приложений к нему.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3.2.2. Обладать разрешительными документами (лицензиями, разрешениями, свидетельствами, сертификатами и иными документами), необходимыми в соответствии с законодательством Российской Федерации для выполнения Работ, являющихся предметом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3.2.3. Выполнить работы в объеме, по содержанию и в сроки, предусмотренные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онтрактом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3.2.4. </w:t>
      </w:r>
      <w:r>
        <w:rPr>
          <w:rFonts w:ascii="Times New Roman" w:hAnsi="Times New Roman" w:cs="Times New Roman"/>
          <w:sz w:val="24"/>
          <w:szCs w:val="24"/>
        </w:rPr>
        <w:t xml:space="preserve">Соблюдать условия конфиденциальности информации, составляющей государственную или иную охраняемую законом тайну.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3.2.4. Документально оформленные результаты Работ в соответствии с нормативно- методическими документами ФСБ России и ФСТЭК России выслать в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Санкт-Петербург, ул. Блохина, д. 8, лит. А, тел. (812) 499-00-34.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Заказчик несет ответственность за достоверность указанного адреса получателя результатов Работ по настоящему Контракту.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bCs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aps/>
          <w:sz w:val="24"/>
          <w:szCs w:val="24"/>
          <w:lang w:eastAsia="ru-RU"/>
        </w:rPr>
        <w:t xml:space="preserve">3.3.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Заказчик обязан</w:t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Cs/>
          <w:cap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aps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Предоставить Исполнителю в период действия настоящего Контракта доступ на объект Заказчика, дополнительное оборудование, документацию и иные материалы, необходимые для выполнения Работ в течение 5 (пяти) рабочих дней с даты подписания настоящего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3.3.2. Оказывать Исполнителю при необходимости содействие специалистов для качественного выполнения Работ по настоящему Контракту.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3.3.3. По письменному запросу Исполнителя предоставлять дополнительные сведения/материалы, необходимые для исполнения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3.3.4. Принять отчетные документы по результатам выполненных Исполнителем Работ, подписав в порядке, установленном в настоящем Контракте, акт сдачи-приемки работ.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3.3.5. Оплатить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Исполнителя в размере и в сроки, предусмотренные п.2.2. настоящего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Заказчик вправе: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3.4.1. Требовать от Исполнителя надлежащего исполнения обязательств, установленных Контрактом, а также требовать своевременного устранения выявленных недостатков выполненных работ, если они возникли по вине Исполнителя.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условиями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3.4.3. В случае досрочного исполнения Исполнителем обязательств по Контракту принять выполненные Работы, в соответствии с установленным в Контракте порядком.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3.4.4. Контролировать исполнение Исполнителем Контракта, осуществлять контроль хода и качества, выполненных Исполнителем Работ, в том числе оказывать содействие Исполнителю, без вмешательства в оперативную хозяйственную деятельность последнего.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3.4.5. Запрашивать у Исполнителя информацию о ходе исполнения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3.4.6. Осуществлять иные права, установленные настоящим Контрактом и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cap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caps/>
          <w:sz w:val="25"/>
          <w:szCs w:val="25"/>
          <w:lang w:eastAsia="ru-RU"/>
        </w:rPr>
        <w:t xml:space="preserve">4. Срок ВЫПОЛНЕНИЯ РАБОТ, срок действия и особые условия расторжения КОНТРАКТА</w:t>
      </w:r>
      <w:r>
        <w:rPr>
          <w:rFonts w:ascii="Times New Roman" w:hAnsi="Times New Roman" w:eastAsia="Times New Roman" w:cs="Times New Roman"/>
          <w:b/>
          <w:caps/>
          <w:sz w:val="25"/>
          <w:szCs w:val="25"/>
        </w:rPr>
      </w:r>
      <w:r>
        <w:rPr>
          <w:rFonts w:ascii="Times New Roman" w:hAnsi="Times New Roman" w:eastAsia="Times New Roman" w:cs="Times New Roman"/>
          <w:b/>
          <w:caps/>
          <w:sz w:val="25"/>
          <w:szCs w:val="25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 Настоящий Контракт вступает в силу с даты его подписания Сторонами и действует до полного исполнения Сторонами обязательств, но не позднее 28 декабря 2026 года.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4.2. Действие настоящего Контракта может быть досрочно прекращено в следующих случаях: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-311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 взаимному соглашению Сторон;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-311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 заявлению заинтересованной Стороны не менее чем за 1 месяц до расторжения настоящего Контракта, при условии исполнения всех ранее принятых на себя обязательств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настоящему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Контракта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-311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досрочном прекращении Контракта стороны проводят сверку взаиморасчетов с компенсацией понесенных Сторонами затрат на дату прекращения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-3119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 Срок выполнения Работ – 30 (Тридцат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рабочих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дней с даты подписания Контракта.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-3119" w:leader="none"/>
        </w:tabs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aps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5"/>
          <w:szCs w:val="25"/>
          <w:lang w:eastAsia="ru-RU"/>
        </w:rPr>
        <w:t xml:space="preserve">5. ПОРЯДОК ПРИЕМА, </w:t>
      </w:r>
      <w:r>
        <w:rPr>
          <w:rFonts w:ascii="Times New Roman" w:hAnsi="Times New Roman" w:eastAsia="Times New Roman" w:cs="Times New Roman"/>
          <w:b/>
          <w:bCs/>
          <w:caps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b/>
          <w:bCs/>
          <w:caps/>
          <w:sz w:val="25"/>
          <w:szCs w:val="25"/>
          <w:lang w:eastAsia="ru-RU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ap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caps/>
          <w:sz w:val="25"/>
          <w:szCs w:val="25"/>
          <w:lang w:eastAsia="ru-RU"/>
        </w:rPr>
        <w:t xml:space="preserve"> Представление результатов ВЫПОЛНЕНИЯ РАБОТ</w:t>
      </w:r>
      <w:r>
        <w:rPr>
          <w:rFonts w:ascii="Times New Roman" w:hAnsi="Times New Roman" w:eastAsia="Times New Roman" w:cs="Times New Roman"/>
          <w:b/>
          <w:bCs/>
          <w:caps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caps/>
          <w:sz w:val="25"/>
          <w:szCs w:val="25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 Доставка технических средств (ТС) на стенд Исполнителя (_______________) для проведения работ и их обратная доставка после выполнения работ, осуществляется транспортом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5.2. Заказчик уведомлен о том, что после проведен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ия специальных работ Исполнителем, ТС могут быть получены Заказчиком либо с использованием собственных транспортных средств, либо транспортных средств подразделений специальной связи, либо фельдъегерский службы. Привлечение транспортных компаний запрещено.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 ТС для проведения работ передаются Заказчиком Исполнителю в работоспособном состоянии, полностью укомплектованные по условиям эксплуатации на объекте, по двухстороннему акту приема-передачи.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5.4. Подписывая настоящий Контракт Заказчик предупрежден о том, что в случае выявления в технических средствах, получе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нных для проведения специальных работ, элементов (узлов, блоков), позволяющих организовать технический канал утечки информации, Исполнитель письменно уведомляет Заказчика о возможности получения отрицательного заключения по результатам работ по настоящему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Контракту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соответствии с действующими нормативно-методическими документами.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5.5. Заказчик обязан в течении 2 (двух) рабочих дней с даты получения вышеуказанного уведомления направить Исполнителю письменное решение о согласии получения отрицательного заключ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ения, или о необходимости проведения доработки технических средств (извлечения элементов (узлов, блоков), позволяющих организовать технический канал утечки информации) силами Исполнителя при наличии такой технической возможности. При этом Заказчик оформляе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 заявку на проведение таких работ, в которой указано согласие на возможность прекращения работоспособности технических средств после проведения доработки (извлечения элементов (узлов, блоков), позволяющих организовать технический канал утечки информации).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5.6. Работы Исполнителя по доработке (извлечению 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ТС обнаруженных Исполнителем элементов (узлов, блоков), позволяющих организовать технический канал утечки информации) без гарантии сохранения работоспособности ТС не входят в стоимость настоящего Контракта и оплачиваются дополнительно по заявке Заказчика.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После выполнения работ Исполнитель обязан передать Заказчику по двустороннему акту проверенные ТС в работоспособном состоянии.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В случае нарушения работоспособности ТС в процессе проведения работ представители Исполнителя и Заказчика определяют причину выхода из строя ТС, степень виновности Сторон и составляют акт - заключение.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На основании акта - заключения виновная Сторона обязана произвести ремонт ТС за свой счет или возместить нанесенный ущерб.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Факт выполненных работ, указанных в п. 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настоящего Контракта, подтверждается подписанием акта сдачи-приемки работ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бумажном виде.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5.1.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 необходимости 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ооснащение автоматизированной системы (АС)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материалами и(или) покупными комплектующими изделиями (с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редством доверенной загрузки (СДЗ) для соответствия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объекта информатизации требованиям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НМД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осуществляется Исполнителем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при выполнении работ на объекте Заказчика. По результатам дооснащения объекта Заказчика материалами и(или) покупными комплектующими изделиями Исполнителем на объекте Заказчика Стороны подписывают акт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использования материалов для производства работ в области информационной безопасности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Со дня выполнения Работ по Контракту Исполнитель в течение 5 (пяти) рабочих дней представляет Заказчику акт сдачи-приемки Работ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счет-фактуру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счет на окончательный расчет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целью повышения оперативности в работе, Исполнитель высылает скан-копии подписанных экземпляров акта сдачи-приемки Работ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счет-фактуры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счета на окончательный расчет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адрес электронной почты Заказчика, указанный в разделе 14 Контракта, с последующим предоставлением оригиналов первичных документов.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Заказчик в течение 5 (Пяти) рабочих дней со дня получения оригиналов акта сдачи-приемки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обязан направить Исполнителю подписанны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 сдачи-приемки работ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 мотивированный отказ.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После подписания акта сдачи-приемки Заказчик, с целью повышения оперативности в работе, высылает в трехдневный срок скан-копи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подписанн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экземпляр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акта сдачи-приемки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абот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адрес электронной почты Исполнителя, указанный в разделе 14 настоящего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В случае мотивированного отказа Заказчика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выполненных работ, сторонами составляется двусторонний акт с указанием перечня недоработок и сроков их устранения.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В случае неполучения Исполнителем от Заказчика подписанн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акта сдачи-приемки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 мотивированного отказа от приемки работ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установленный п. 5.1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настоящего Контракта срок,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их результаты, счет-фактура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считаются принятыми Заказчиком и подлежат оплате на условиях настоящего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jc w:val="center"/>
        <w:spacing w:after="1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6.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 случ</w:t>
      </w:r>
      <w:r>
        <w:rPr>
          <w:rFonts w:ascii="Times New Roman" w:hAnsi="Times New Roman" w:cs="Times New Roman"/>
          <w:sz w:val="24"/>
          <w:szCs w:val="24"/>
        </w:rPr>
        <w:t xml:space="preserve">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неустойки (штрафа, пени).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</w:t>
      </w:r>
      <w:r>
        <w:rPr>
          <w:rFonts w:ascii="Times New Roman" w:hAnsi="Times New Roman" w:cs="Times New Roman"/>
          <w:sz w:val="24"/>
          <w:szCs w:val="24"/>
        </w:rPr>
        <w:t xml:space="preserve">ния,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не уплаченной в срок суммы.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размер штрафа устанавливается в порядке, установленном Правилами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в размере 1 000 (Одна тысяча) рублей 00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В случае просрочки </w:t>
      </w:r>
      <w:r>
        <w:rPr>
          <w:rFonts w:ascii="Times New Roman" w:hAnsi="Times New Roman" w:cs="Times New Roman"/>
          <w:sz w:val="24"/>
          <w:szCs w:val="24"/>
        </w:rPr>
        <w:t xml:space="preserve">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 Исполнителем, предусмотренных Контрактом, а также в иных случаях неисполнения или ненадлежащего исполнения обязательств, предусмотренных Контрактом, Заказчик направляет Исполнителю требование об уплате неустоек (штрафа, пени).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Пеня начисляется за каждый день просрочки исп</w:t>
      </w:r>
      <w:r>
        <w:rPr>
          <w:rFonts w:ascii="Times New Roman" w:hAnsi="Times New Roman" w:cs="Times New Roman"/>
          <w:sz w:val="24"/>
          <w:szCs w:val="24"/>
        </w:rPr>
        <w:t xml:space="preserve">олнения обязательств Исполнителем, предусмотренных Контрактом,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</w:t>
      </w:r>
      <w:r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</w:t>
      </w:r>
      <w:r>
        <w:rPr>
          <w:rFonts w:ascii="Times New Roman" w:hAnsi="Times New Roman" w:cs="Times New Roman"/>
          <w:sz w:val="24"/>
          <w:szCs w:val="24"/>
        </w:rPr>
        <w:t xml:space="preserve">выполнен</w:t>
      </w:r>
      <w:r>
        <w:rPr>
          <w:rFonts w:ascii="Times New Roman" w:hAnsi="Times New Roman" w:cs="Times New Roman"/>
          <w:sz w:val="24"/>
          <w:szCs w:val="24"/>
        </w:rPr>
        <w:t xml:space="preserve">ных</w:t>
      </w:r>
      <w:r>
        <w:rPr>
          <w:rFonts w:ascii="Times New Roman" w:hAnsi="Times New Roman" w:cs="Times New Roman"/>
          <w:sz w:val="24"/>
          <w:szCs w:val="24"/>
        </w:rPr>
        <w:t xml:space="preserve"> работ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Исполнителем, за исключением случаев, если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установлен иной порядок начисления пени.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За каждый факт неисполнения или ненадлежащего исполнения Исполнителем обязательств, предусмотренных Контрактом, за исключением просрочки </w:t>
      </w:r>
      <w:r>
        <w:rPr>
          <w:rFonts w:ascii="Times New Roman" w:hAnsi="Times New Roman" w:cs="Times New Roman"/>
          <w:sz w:val="24"/>
          <w:szCs w:val="24"/>
        </w:rPr>
        <w:t xml:space="preserve">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Контрактом, размер штрафа устанавливается в соответствии с Правилами в размере _____ (________) рубля _____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, за 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За каждый факт неисполнения или ненадлежащего исполнени</w:t>
      </w:r>
      <w:r>
        <w:rPr>
          <w:rFonts w:ascii="Times New Roman" w:hAnsi="Times New Roman" w:cs="Times New Roman"/>
          <w:sz w:val="24"/>
          <w:szCs w:val="24"/>
        </w:rPr>
        <w:t xml:space="preserve">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Правилами в размере 1 000 (Одна тысяча) рублей 00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цены Контракта.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 Применение неустоек (штрафа, пени) не освобождает Стороны от исполнения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6.13. Заказчик вправе удержать сумму неисполненных Исполнителем требований об уплате неустоек (штрафа, пени), предъявленные Заказчиком в соответствии с Законом, из суммы, подлежащей оплате Исполнителю.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13"/>
        </w:numPr>
        <w:jc w:val="center"/>
        <w:spacing w:after="0" w:line="240" w:lineRule="auto"/>
        <w:tabs>
          <w:tab w:val="left" w:pos="0" w:leader="none"/>
          <w:tab w:val="clear" w:pos="360" w:leader="none"/>
        </w:tabs>
        <w:rPr>
          <w:rFonts w:ascii="PT Astra Serif" w:hAnsi="PT Astra Serif" w:cs="PT Astra Serif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7. ФОРС-МАЖОР И ОБСТОЯТЕЛЬСТВА НЕПРЕОДОЛИМОЙ СИЛЫ</w:t>
      </w:r>
      <w:r>
        <w:rPr>
          <w:rFonts w:ascii="PT Astra Serif" w:hAnsi="PT Astra Serif" w:cs="PT Astra Serif"/>
          <w:sz w:val="25"/>
          <w:szCs w:val="25"/>
        </w:rPr>
      </w:r>
      <w:r>
        <w:rPr>
          <w:rFonts w:ascii="PT Astra Serif" w:hAnsi="PT Astra Serif" w:cs="PT Astra Serif"/>
          <w:sz w:val="25"/>
          <w:szCs w:val="25"/>
        </w:rPr>
      </w:r>
    </w:p>
    <w:p>
      <w:pPr>
        <w:ind w:left="1069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</w:r>
      <w:r>
        <w:rPr>
          <w:rFonts w:ascii="PT Astra Serif" w:hAnsi="PT Astra Serif" w:cs="PT Astra Serif"/>
          <w:sz w:val="25"/>
          <w:szCs w:val="25"/>
        </w:rPr>
      </w:r>
      <w:r>
        <w:rPr>
          <w:rFonts w:ascii="PT Astra Serif" w:hAnsi="PT Astra Serif" w:cs="PT Astra Serif"/>
          <w:sz w:val="25"/>
          <w:szCs w:val="25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7.1. Стороны освобождаются от отве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тственности за частичное или полное неисполнение или ненадлежащее 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настоящего Контракта в результате чрезв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ычайных и неотвратимых событий (или их последствий): пожары, блокады, стихийные бедствия, военные действия, акты органов государственной власти и управления, которые Стороны не могли ни предвидеть, ни предотвратить в момент заключения настоящего Контракта.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7.2. Сторона, для которой создалась невозможность исполнения обязательств по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контракту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по указанным выше обстоятельствам, должна о наступлении этих обстоятельств в письменной форме уведомить другую Сторон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у в течение пяти календарных дней с момента наступления этих обстоятельств. Если Сторона не уведомила о наступлении вышеуказанных обстоятельств, то она не вправе ссылаться на них, как на причину неисполнения или ненадлежащего исполнения своих обязательств.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Вышеуказанные обстоятельства, освобождающие Стороны от ответственности и возмещения убытков, должны быть соответствующим образом удостоверены в компетентных органах.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7.3. Срок исполнения Сторонами неисполненных обязательств по настоящему Контракту, вследствие наступления указанных в п. 7.1 Контракта обстоятельств, п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родлевается на два месяца. По истечении данного срока, если указанные обстоятельства не устранены, Стороны в двухнедельный срок с указанной даты принимают решение о возможности дальнейшего исполнения настоящего Контракта, условиях и порядке взаиморасчетов.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7.4. При возникновении обстоятельств непреодолимой силы Стороны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контракта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должны приложить максимальные усилия для исполнения обязательств то есть, обязаны действовать добросовестно по отношению к своим контрагентам и стараться минимизировать не только свои убытки, но и убытки контрагентов.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7.5. Сторона, для которой создалась невозможность исполнения обязательств по настоящему Контракту вследствие обстоя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тельств непреодолимой силы, указанных в п.7.1, обязана не позднее пяти календарных дней с момента их наступления в письменной форме известить другую Сторону с приложением документов, удостоверяющих факт наступления для нее обстоятельств непреодолимой силы.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7.6. Сам факт наличия обстоятельств непреодолимой силы не может стать основанием для освобождения от исполнения обязательств по Контракту - это лишь основание для освобождения от ответственности за нарушение таких обязательств (штрафы, пени и т.д.).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7.7.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убытков, возникших вследствие действия таких обстоятельств непреодолимой силы.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5"/>
          <w:szCs w:val="25"/>
        </w:rPr>
      </w:pP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eastAsia="Calibri" w:cs="Times New Roman"/>
          <w:sz w:val="25"/>
          <w:szCs w:val="25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b/>
          <w:caps/>
          <w:sz w:val="25"/>
          <w:szCs w:val="25"/>
          <w:lang w:eastAsia="ru-RU"/>
        </w:rPr>
        <w:t xml:space="preserve">Конфиденциальность</w:t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8.1. Стороны обязуются строго соблюдать конфиденциа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льность технической, финансовой, коммерческой и другой информации по настоящему Контракту и принимать все необходимые меры к предотвращению разглашения имеющихся сведений в течение всего срока действия настоящего Контракта и пяти лет после его прекращения.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8.2. Исполнитель имеет право предоставлять Контракт и сведения из него контролирующим органам и иным третьим лицам в случаях, установленных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8.3. Под конфиденциальными сведениями в настоящем Контракте понимаются все сведения, относящиеся к предмету настоящего Контракта, ходу его исполнения и полученным результатам.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9. ТРЕБОВАНИЯ ПО СОХРАНЕНИЮ ГОСУДАРСТВЕННОЙ ТАЙНЫ</w:t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9.1. При обеспечении защиты государственной тайны в ходе исполнения настоящего Контракта Сторонам необходимо руководствоваться следующими основными документами: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83"/>
        <w:numPr>
          <w:ilvl w:val="0"/>
          <w:numId w:val="18"/>
        </w:num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Федерального закона от 27.07.2006 № 149-ФЗ «Об информации, информационных технологиях и о защите информации»;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983"/>
        <w:numPr>
          <w:ilvl w:val="0"/>
          <w:numId w:val="18"/>
        </w:num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Закона Российской Федерации от 21.07.1993 № 5485-1 «О государственной тайне»;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983"/>
        <w:numPr>
          <w:ilvl w:val="0"/>
          <w:numId w:val="18"/>
        </w:num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Инструкции по обеспечению режима секретности в Российской Федерации, принятой к руководству постановлением Правительства Российской Федерации от 05.01.2004 № 3-1 (с учетом изменений, внесённых с 2005 по 2014 год);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983"/>
        <w:numPr>
          <w:ilvl w:val="0"/>
          <w:numId w:val="18"/>
        </w:num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«Технических требований по защите информации (ТТЗИ)» (ФСТЭК России). 2017г;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983"/>
        <w:numPr>
          <w:ilvl w:val="0"/>
          <w:numId w:val="18"/>
        </w:num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Решения Межведомственной комиссии по защите государственной тайне «О внесении изменений в «Типовые нормы и правила проектирования помещений для хранения носителей сведений, составляющих государственную тайну (ГТ), и работы с ними» от 01.03.2021 № 407.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9.2. Работники Сторон, осуществляющие выполнение Работ по настоящему Контракту и контроль их выполнения, должны иметь допуск к государственной тайне по соответствующей форме.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10. АНТИКОРРУПЦИОННАЯ ОГОВОРКА</w:t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10.1. При исполнении своих обязательств по настоящему Контракту Стороны, их  работники не выплачивают, не предлагают выплати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ть и не разрешают выплату каких-либо денежных средств или ценностей, прямо или косвенно, любым лицам для выполнения влияния на действия или решения этих лиц с целью получения каких-либо неправомерных преимуществ или для достижения иных неправомерных целей.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10.2. При исполнении своих обязательств по настоящему Контракту Стороны, их  работники не осуществляют де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10.3. В случае возникновения у 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ороны подозрений, что произошло или может произойти нарушение каких-либо положений п. 10.1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 10.1 настоящего раздела другой Стороной, ее аффилированными лицами, работниками или посредниками.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10.4. 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Сторона, получившая уведомление о нарушении каких-либо положений п. 10.1 настоящего Контракта,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10.5. Стороны гарантируют осуществление надлежащего разбирательства по фактам нарушения положений п. 10.1 настоящего раздела с соблюдением принципов конфиденциально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10.6. В случае подтверждения факта нарушения одной Стороной положений п. 10.1 настоящего раздела и/или неполучения другой Стороной информации об итогах рассмотрения уведомления о нарушении в соответствии с п. 10.3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настоящего раздела,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Контракта.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11. АРБИТРАЖ И ПРИМЕНЯЕМОЕ ПРАВО</w:t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11.1. Все споры и разногласия по настоящему Контракту Стороны разрешают путем переговоров, с обязательным осуществлением процедуры досудебного претензионного их урегулирования. Срок рассмотрения претенз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ии каждой из Сторон и ответа на полученную претензию - 15 (пятнадцать) календарных дней с даты получения претензии. Все споры и разногласия, не разрешимые путем переговоров, подлежат передаче на рассмотрение в Арбитражный Суд по месту нахождения ответчика.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12. ПРОЧИЕ УСЛОВИЯ</w:t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  <w:r>
        <w:rPr>
          <w:rFonts w:ascii="Times New Roman" w:hAnsi="Times New Roman" w:eastAsia="Times New Roman" w:cs="Times New Roman"/>
          <w:b/>
          <w:sz w:val="25"/>
          <w:szCs w:val="25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12.1. Право собственности на результаты Работ переходит от Исполнителя к Заказчику с даты подписания финансово-хозяйственных документов.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 Исполнитель имеет право привлекать к выполнению работ сторонние организации без увеличения стоимости Работ.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cap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13. </w:t>
      </w:r>
      <w:r>
        <w:rPr>
          <w:rFonts w:ascii="Times New Roman" w:hAnsi="Times New Roman" w:eastAsia="Times New Roman" w:cs="Times New Roman"/>
          <w:b/>
          <w:caps/>
          <w:sz w:val="25"/>
          <w:szCs w:val="25"/>
          <w:lang w:eastAsia="ru-RU"/>
        </w:rPr>
        <w:t xml:space="preserve">Заключительные положения</w:t>
      </w:r>
      <w:r>
        <w:rPr>
          <w:rFonts w:ascii="Times New Roman" w:hAnsi="Times New Roman" w:eastAsia="Times New Roman" w:cs="Times New Roman"/>
          <w:b/>
          <w:caps/>
          <w:sz w:val="25"/>
          <w:szCs w:val="25"/>
        </w:rPr>
      </w:r>
      <w:r>
        <w:rPr>
          <w:rFonts w:ascii="Times New Roman" w:hAnsi="Times New Roman" w:eastAsia="Times New Roman" w:cs="Times New Roman"/>
          <w:b/>
          <w:caps/>
          <w:sz w:val="25"/>
          <w:szCs w:val="25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13.1. Настоящий Контракт </w:t>
      </w:r>
      <w:r>
        <w:rPr>
          <w:rFonts w:ascii="Tinos" w:hAnsi="Tinos" w:eastAsia="Tinos" w:cs="Tinos"/>
          <w:sz w:val="24"/>
          <w:szCs w:val="24"/>
        </w:rPr>
        <w:t xml:space="preserve">составлен в форме электронного документа, подписанного усиленными электронными подписями Сторон.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13.2. Все изменения и дополнения к настоящему Контракту могут вноситься по инициативе кажд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ой из Сторон, и действительны лишь в случае, если они совершены в письменной форме и подписаны Сторонами, если условиями настоящего Контракта не оговорено иное. Все приложения, изменения и дополнения к настоящему Контракту являются его неотъемлемой частью.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13.3. Скан копии документов используются исключительно для повышения оперативности в работе и подлежат обязательной замене на оригиналы.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13.4. Об изменении адреса и банковских реквизитов Стороны уведомляют друг друга в письменной форме в 7-дневный срок.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13.5. Неотъемлемой частью настоящего Контракта являются следующие приложения: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84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Приложение № 1 – Спецификация.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4"/>
        <w:ind w:left="720"/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851"/>
        <w:jc w:val="center"/>
        <w:keepNext/>
        <w:spacing w:after="120" w:line="240" w:lineRule="auto"/>
        <w:widowControl w:val="off"/>
        <w:rPr>
          <w:rFonts w:ascii="Times New Roman" w:hAnsi="Times New Roman" w:eastAsia="Times New Roman" w:cs="Times New Roman"/>
          <w:b/>
          <w:cap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caps/>
          <w:sz w:val="25"/>
          <w:szCs w:val="25"/>
          <w:lang w:eastAsia="ru-RU"/>
        </w:rPr>
        <w:t xml:space="preserve">14. Адреса и реквизиты сторон</w:t>
      </w:r>
      <w:r>
        <w:rPr>
          <w:rFonts w:ascii="Times New Roman" w:hAnsi="Times New Roman" w:eastAsia="Times New Roman" w:cs="Times New Roman"/>
          <w:b/>
          <w:caps/>
          <w:sz w:val="25"/>
          <w:szCs w:val="25"/>
        </w:rPr>
      </w:r>
      <w:r>
        <w:rPr>
          <w:rFonts w:ascii="Times New Roman" w:hAnsi="Times New Roman" w:eastAsia="Times New Roman" w:cs="Times New Roman"/>
          <w:b/>
          <w:caps/>
          <w:sz w:val="25"/>
          <w:szCs w:val="25"/>
        </w:rPr>
      </w:r>
    </w:p>
    <w:tbl>
      <w:tblPr>
        <w:tblStyle w:val="100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99"/>
        <w:gridCol w:w="4900"/>
      </w:tblGrid>
      <w:tr>
        <w:tblPrEx/>
        <w:trPr>
          <w:trHeight w:val="1460"/>
        </w:trPr>
        <w:tc>
          <w:tcPr>
            <w:tcW w:w="4899" w:type="dxa"/>
            <w:textDirection w:val="lrTb"/>
            <w:noWrap w:val="false"/>
          </w:tcPr>
          <w:p>
            <w:pPr>
              <w:tabs>
                <w:tab w:val="left" w:pos="681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tabs>
                <w:tab w:val="left" w:pos="681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1002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>
              <w:rPr>
                <w:bCs/>
                <w:color w:val="000000"/>
                <w:sz w:val="24"/>
                <w:szCs w:val="24"/>
              </w:rPr>
              <w:t xml:space="preserve">191311,   </w:t>
            </w:r>
            <w:r>
              <w:rPr>
                <w:bCs/>
                <w:color w:val="000000"/>
                <w:sz w:val="24"/>
                <w:szCs w:val="24"/>
              </w:rPr>
              <w:t xml:space="preserve">                                          г. Санкт-Петербург, ул. Смольного, дом 3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1002"/>
              <w:spacing w:after="0"/>
              <w:rPr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Почтовый адрес: 197198, г. Санкт-Петербург, ул. Блохина, дом 8, лит. А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1002"/>
              <w:spacing w:after="0"/>
              <w:rPr>
                <w:color w:val="000000"/>
                <w:sz w:val="24"/>
                <w:shd w:val="clear" w:color="auto" w:fill="ffffff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ИНН 7815027624; КПП 784201001; ОГРН 1037843045734;</w:t>
            </w:r>
            <w:r>
              <w:rPr>
                <w:color w:val="000000"/>
                <w:sz w:val="24"/>
                <w:shd w:val="clear" w:color="auto" w:fill="ffffff"/>
              </w:rPr>
            </w:r>
            <w:r>
              <w:rPr>
                <w:color w:val="000000"/>
                <w:sz w:val="24"/>
                <w:shd w:val="clear" w:color="auto" w:fill="ffffff"/>
              </w:rPr>
            </w:r>
          </w:p>
          <w:p>
            <w:pPr>
              <w:pStyle w:val="1002"/>
              <w:jc w:val="both"/>
              <w:spacing w:after="0"/>
              <w:rPr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  <w:shd w:val="clear" w:color="auto" w:fill="ffffff"/>
              </w:rPr>
              <w:t xml:space="preserve">ОКЦ № 1 ВВГУ Банка России // УФК по Нижегородской области, г. Нижний Новгород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1002"/>
              <w:jc w:val="both"/>
              <w:spacing w:after="0"/>
              <w:rPr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БИК 012202102;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1002"/>
              <w:jc w:val="both"/>
              <w:spacing w:after="0"/>
              <w:rPr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Номер счета банка получателя средств - Единый казначейский счет: 40102810745370000024;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1002"/>
              <w:jc w:val="both"/>
              <w:spacing w:after="0"/>
              <w:rPr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Номер счета получателя средств- Казначейский счет для учета средств федерального бюджета: 03211643000000013210; Л/с 03451А17380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1002"/>
              <w:jc w:val="both"/>
              <w:spacing w:after="0"/>
              <w:rPr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ОКПО 34326807; ОКТМО 40911000; ОКВЭД 84.11.12;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1002"/>
              <w:jc w:val="both"/>
              <w:spacing w:after="0"/>
              <w:rPr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ОКОГУ 1328030; ОКФС 12; ОКОПФ 72;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1002"/>
              <w:jc w:val="both"/>
              <w:spacing w:after="0"/>
              <w:rPr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Телефон: (812) 499-00-20, e-</w:t>
            </w:r>
            <w:r>
              <w:rPr>
                <w:color w:val="000000"/>
                <w:sz w:val="24"/>
              </w:rPr>
              <w:t xml:space="preserve">mail</w:t>
            </w:r>
            <w:r>
              <w:rPr>
                <w:color w:val="000000"/>
                <w:sz w:val="24"/>
              </w:rPr>
              <w:t xml:space="preserve">: u47@r47.rosreestr.ru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1002"/>
              <w:jc w:val="both"/>
              <w:spacing w:after="0"/>
              <w:rPr>
                <w:bCs/>
                <w:color w:val="000000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Реквизиты для перечисления денежных средств для уплаты неустоек (штрафов, пеней), возмещения расходов по оплате коммунальных услуг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pStyle w:val="1002"/>
              <w:jc w:val="both"/>
              <w:spacing w:after="0"/>
              <w:rPr>
                <w:bCs/>
                <w:color w:val="000000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bCs/>
                <w:color w:val="000000"/>
                <w:sz w:val="24"/>
                <w:szCs w:val="24"/>
              </w:rPr>
              <w:t xml:space="preserve">Наименование получателя: УФК по Ленинградской области, г. Санкт-Петербург (Управление Федеральной службы государственной регистрации, кадастра и картографии по Ленинградской области, л/с 04451А17380)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Банк получателя: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ОКЦ № 1 СЗГУ Банка России // УФК по Ленинградской области, г. Санкт-Петербург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pStyle w:val="1002"/>
              <w:jc w:val="both"/>
              <w:spacing w:after="0"/>
              <w:rPr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БИК 044030098;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1002"/>
              <w:jc w:val="both"/>
              <w:spacing w:after="0"/>
              <w:rPr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Расчётный счет: 03100643000000014500;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1002"/>
              <w:jc w:val="both"/>
              <w:spacing w:after="0"/>
              <w:rPr>
                <w:bCs/>
                <w:color w:val="000000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color w:val="000000"/>
                <w:sz w:val="24"/>
              </w:rPr>
              <w:t xml:space="preserve">Единый казначейский счёт: 40102810745370000098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КБК 32111607090019000140</w:t>
            </w: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4900" w:type="dxa"/>
            <w:textDirection w:val="lrTb"/>
            <w:noWrap w:val="false"/>
          </w:tcPr>
          <w:p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tbl>
      <w:tblPr>
        <w:tblpPr w:horzAnchor="margin" w:tblpXSpec="center" w:vertAnchor="text" w:tblpY="188" w:leftFromText="180" w:topFromText="0" w:rightFromText="180" w:bottomFromText="0"/>
        <w:tblW w:w="5000" w:type="pct"/>
        <w:tblLook w:val="04A0" w:firstRow="1" w:lastRow="0" w:firstColumn="1" w:lastColumn="0" w:noHBand="0" w:noVBand="1"/>
      </w:tblPr>
      <w:tblGrid>
        <w:gridCol w:w="4887"/>
        <w:gridCol w:w="4922"/>
      </w:tblGrid>
      <w:tr>
        <w:tblPrEx/>
        <w:trPr/>
        <w:tc>
          <w:tcPr>
            <w:tcW w:w="24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r>
          </w:p>
        </w:tc>
        <w:tc>
          <w:tcPr>
            <w:tcW w:w="25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3"/>
        </w:trPr>
        <w:tc>
          <w:tcPr>
            <w:shd w:val="clear" w:color="auto" w:fill="auto"/>
            <w:tcW w:w="2491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Управления Росреестра по Ленинградской области: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34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509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2491" w:type="pct"/>
            <w:textDirection w:val="lrTb"/>
            <w:noWrap w:val="false"/>
          </w:tcPr>
          <w:p>
            <w:pPr>
              <w:jc w:val="right"/>
              <w:spacing w:after="0" w:line="21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right"/>
              <w:spacing w:after="0" w:line="21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 xml:space="preserve">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</w:t>
            </w:r>
            <w:r>
              <w:rPr>
                <w:b/>
                <w:sz w:val="24"/>
                <w:szCs w:val="24"/>
              </w:rPr>
              <w:t xml:space="preserve">М.В. Воробьев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509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491" w:type="pct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«___» ___________ 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509" w:type="pct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«___» ___________ 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/>
        <w:tabs>
          <w:tab w:val="left" w:pos="3165" w:leader="none"/>
        </w:tabs>
      </w:pPr>
      <w:r/>
      <w:r/>
    </w:p>
    <w:p>
      <w:pPr>
        <w:jc w:val="right"/>
        <w:spacing w:after="0"/>
        <w:tabs>
          <w:tab w:val="left" w:pos="3165" w:leader="none"/>
        </w:tabs>
      </w:pPr>
      <w:r/>
      <w:r/>
    </w:p>
    <w:p>
      <w:pPr>
        <w:jc w:val="right"/>
        <w:spacing w:after="0"/>
        <w:tabs>
          <w:tab w:val="left" w:pos="3165" w:leader="none"/>
        </w:tabs>
      </w:pPr>
      <w:r/>
      <w:r/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/>
        <w:tabs>
          <w:tab w:val="left" w:pos="3165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/>
        <w:tabs>
          <w:tab w:val="left" w:pos="3165" w:leader="none"/>
        </w:tabs>
        <w:rPr>
          <w:rFonts w:ascii="Times New Roman" w:hAnsi="Times New Roman" w:eastAsia="Times New Roman" w:cs="Times New Roman"/>
        </w:rPr>
      </w:pPr>
      <w:r/>
      <w:bookmarkStart w:id="0" w:name="_Hlk233288615"/>
      <w:r>
        <w:rPr>
          <w:rFonts w:ascii="Times New Roman" w:hAnsi="Times New Roman" w:eastAsia="Times New Roman" w:cs="Times New Roman"/>
        </w:rPr>
        <w:t xml:space="preserve">Приложение № 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/>
        <w:tabs>
          <w:tab w:val="left" w:pos="316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Государственному контракту</w:t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___________ № 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СПЕЦИФИКАЦИЯ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W w:w="9776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80"/>
        <w:gridCol w:w="5269"/>
        <w:gridCol w:w="142"/>
        <w:gridCol w:w="1417"/>
        <w:gridCol w:w="851"/>
        <w:gridCol w:w="1417"/>
      </w:tblGrid>
      <w:tr>
        <w:tblPrEx/>
        <w:trPr>
          <w:trHeight w:val="1208"/>
        </w:trPr>
        <w:tc>
          <w:tcPr>
            <w:shd w:val="clear" w:color="ffffff" w:fill="ffffff"/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5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Перечень товаров/работ/услуг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Цена за ед.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(в руб.),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с учетом НДС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Кол-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во (шт.)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(в руб.),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с учетом НДС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gridSpan w:val="6"/>
            <w:shd w:val="clear" w:color="ffffff" w:fill="ffffff"/>
            <w:tcW w:w="9776" w:type="dxa"/>
            <w:vAlign w:val="center"/>
            <w:textDirection w:val="lrTb"/>
            <w:noWrap w:val="false"/>
          </w:tcPr>
          <w:p>
            <w:pPr>
              <w:pStyle w:val="98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Оценка эффективности защиты (защищенности) информации АС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457"/>
        </w:trPr>
        <w:tc>
          <w:tcPr>
            <w:shd w:val="clear" w:color="ffffff" w:fill="ffffff"/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5411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Оценка эффективности защиты (защищенности) информации, обрабатываемой АС: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821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 установка средства доверенно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загрузки;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 проверка настроек СЗИ и корректировка (при необходимости)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 оценка эффективности защиты (защищенности) информации от утечки по техническим каналам;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 оценка эффективности защиты (защищенности) информации от утечки за счет несанкционированного доступа;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821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 оформление протоколов и заключения по результатам оценки эффективности защиты (защищенности) информации, обрабатываемой АС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2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 дооснащение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автоматизированной системы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СДЗ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pStyle w:val="82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8359" w:type="dxa"/>
            <w:vAlign w:val="center"/>
            <w:textDirection w:val="lrTb"/>
            <w:noWrap w:val="false"/>
          </w:tcPr>
          <w:p>
            <w:pPr>
              <w:pStyle w:val="821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Итого по п.1: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95"/>
        </w:trPr>
        <w:tc>
          <w:tcPr>
            <w:gridSpan w:val="6"/>
            <w:shd w:val="clear" w:color="ffffff" w:fill="ffffff"/>
            <w:tcW w:w="9776" w:type="dxa"/>
            <w:vAlign w:val="center"/>
            <w:textDirection w:val="lrTb"/>
            <w:noWrap w:val="false"/>
          </w:tcPr>
          <w:p>
            <w:pPr>
              <w:pStyle w:val="82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ab/>
              <w:t xml:space="preserve">Проведение специальной проверки ТС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51"/>
        </w:trPr>
        <w:tc>
          <w:tcPr>
            <w:shd w:val="clear" w:color="ffffff" w:fill="ffffff"/>
            <w:tcW w:w="680" w:type="dxa"/>
            <w:vAlign w:val="center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5411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Блок питания для ноутбука 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 xml:space="preserve">Lenovo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20157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pStyle w:val="82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51"/>
        </w:trPr>
        <w:tc>
          <w:tcPr>
            <w:shd w:val="clear" w:color="ffffff" w:fill="ffffff"/>
            <w:tcW w:w="680" w:type="dxa"/>
            <w:vAlign w:val="center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2.2.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5411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СДЗ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Dallas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Lock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М.2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pStyle w:val="82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51"/>
        </w:trPr>
        <w:tc>
          <w:tcPr>
            <w:gridSpan w:val="5"/>
            <w:shd w:val="clear" w:color="ffffff" w:fill="ffffff"/>
            <w:tcW w:w="8359" w:type="dxa"/>
            <w:vAlign w:val="center"/>
            <w:textDirection w:val="lrTb"/>
            <w:noWrap w:val="false"/>
          </w:tcPr>
          <w:p>
            <w:pPr>
              <w:pStyle w:val="821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Итого по п.2: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shd w:val="clear" w:color="ffffff" w:fill="ffffff"/>
            <w:tcW w:w="8359" w:type="dxa"/>
            <w:vAlign w:val="center"/>
            <w:textDirection w:val="lrTb"/>
            <w:noWrap w:val="false"/>
          </w:tcPr>
          <w:p>
            <w:pPr>
              <w:pStyle w:val="821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ВСЕГО: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98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tbl>
      <w:tblPr>
        <w:tblpPr w:horzAnchor="margin" w:tblpXSpec="center" w:vertAnchor="text" w:tblpY="188" w:leftFromText="180" w:topFromText="0" w:rightFromText="180" w:bottomFromText="0"/>
        <w:tblW w:w="5000" w:type="pct"/>
        <w:tblLook w:val="04A0" w:firstRow="1" w:lastRow="0" w:firstColumn="1" w:lastColumn="0" w:noHBand="0" w:noVBand="1"/>
      </w:tblPr>
      <w:tblGrid>
        <w:gridCol w:w="4887"/>
        <w:gridCol w:w="4922"/>
      </w:tblGrid>
      <w:tr>
        <w:tblPrEx/>
        <w:trPr/>
        <w:tc>
          <w:tcPr>
            <w:tcW w:w="24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r>
          </w:p>
        </w:tc>
        <w:tc>
          <w:tcPr>
            <w:tcW w:w="25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3"/>
        </w:trPr>
        <w:tc>
          <w:tcPr>
            <w:shd w:val="clear" w:color="ffffff" w:fill="ffffff"/>
            <w:tcW w:w="2491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Управления Росреестра по Ленинградской области: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34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509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2491" w:type="pct"/>
            <w:textDirection w:val="lrTb"/>
            <w:noWrap w:val="false"/>
          </w:tcPr>
          <w:p>
            <w:pPr>
              <w:jc w:val="right"/>
              <w:spacing w:after="0" w:line="21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right"/>
              <w:spacing w:after="0" w:line="21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 xml:space="preserve">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</w:t>
            </w:r>
            <w:r>
              <w:rPr>
                <w:b/>
                <w:sz w:val="24"/>
                <w:szCs w:val="24"/>
              </w:rPr>
              <w:t xml:space="preserve">М.В. Воробьев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509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491" w:type="pct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«___» ___________ 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509" w:type="pct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«___» ___________ 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/>
        <w:tabs>
          <w:tab w:val="left" w:pos="316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tabs>
          <w:tab w:val="left" w:pos="316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tabs>
          <w:tab w:val="left" w:pos="316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tabs>
          <w:tab w:val="left" w:pos="316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tabs>
          <w:tab w:val="left" w:pos="316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footnotePr/>
      <w:endnotePr>
        <w:numFmt w:val="decimal"/>
      </w:endnotePr>
      <w:type w:val="nextPage"/>
      <w:pgSz w:w="11907" w:h="16840" w:orient="portrait"/>
      <w:pgMar w:top="568" w:right="680" w:bottom="851" w:left="1418" w:header="397" w:footer="39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eastAsia="Liberation Serif" w:cs="Liberation Serif"/>
          <w:sz w:val="16"/>
          <w:szCs w:val="16"/>
        </w:rPr>
        <w:footnoteRef/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 Правила определения размера штрафа, начисляемого в случае ненадлежащего исполнения заказчиком, неисполнения или н</w:t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</w:t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ва Российской Федерации от 15 мая 2017 г. № 570 и признании утратившим силу постановления Правительства Российской Федерации от 25 ноября 2013 г. № 1063, утвержденные постановлением Правительства Российской Федерации от 30.08.2017 № 1042 (далее – Правила).</w:t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</w:footnote>
  <w:footnote w:id="3">
    <w:p>
      <w:pPr>
        <w:pStyle w:val="959"/>
      </w:pPr>
      <w:r>
        <w:rPr>
          <w:rFonts w:ascii="Liberation Serif" w:hAnsi="Liberation Serif" w:eastAsia="Liberation Serif" w:cs="Liberation Serif"/>
          <w:sz w:val="16"/>
          <w:szCs w:val="16"/>
        </w:rPr>
        <w:footnoteRef/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 1000 рублей, если цена контракта не превышает 3 млн. рублей (включительно</w:t>
      </w:r>
      <w:r>
        <w:rPr>
          <w:sz w:val="16"/>
          <w:szCs w:val="16"/>
        </w:rPr>
        <w:t xml:space="preserve">).</w:t>
      </w:r>
      <w:r/>
    </w:p>
  </w:footnote>
  <w:footnote w:id="4">
    <w:p>
      <w:pPr>
        <w:pStyle w:val="95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Liberation Serif" w:cs="Times New Roman"/>
        </w:rPr>
        <w:footnoteRef/>
      </w:r>
      <w:r>
        <w:rPr>
          <w:rFonts w:ascii="Times New Roman" w:hAnsi="Times New Roman" w:eastAsia="Liberation Serif" w:cs="Times New Roman"/>
        </w:rPr>
        <w:t xml:space="preserve"> </w:t>
      </w:r>
      <w:r>
        <w:rPr>
          <w:rFonts w:ascii="Times New Roman" w:hAnsi="Times New Roman" w:eastAsia="Liberation Serif" w:cs="Times New Roman"/>
          <w:sz w:val="16"/>
          <w:szCs w:val="16"/>
        </w:rPr>
        <w:t xml:space="preserve">При заключении Контракта размер штрафа устанавливается в порядке, установленном Правилами в размере: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5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Liberation Serif" w:cs="Times New Roman"/>
          <w:sz w:val="16"/>
          <w:szCs w:val="16"/>
        </w:rPr>
        <w:t xml:space="preserve">10 процентов цены контракта (этапа) в случае, если цена контракта (этапа) не превышает 3 млн. рублей.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</w:footnote>
  <w:footnote w:id="5">
    <w:p>
      <w:pPr>
        <w:pStyle w:val="959"/>
        <w:rPr>
          <w:rFonts w:ascii="Times New Roman" w:hAnsi="Times New Roman" w:cs="Times New Roman"/>
        </w:rPr>
      </w:pPr>
      <w:r>
        <w:rPr>
          <w:rFonts w:ascii="Times New Roman" w:hAnsi="Times New Roman" w:eastAsia="Liberation Serif" w:cs="Times New Roman"/>
        </w:rPr>
        <w:footnoteRef/>
      </w:r>
      <w:r>
        <w:rPr>
          <w:rFonts w:ascii="Times New Roman" w:hAnsi="Times New Roman" w:eastAsia="Liberation Serif" w:cs="Times New Roman"/>
          <w:sz w:val="16"/>
          <w:szCs w:val="16"/>
        </w:rPr>
        <w:t xml:space="preserve">1000 рублей, если цена контракта не превышает 3 млн. рублей.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rPr>
        <w:rStyle w:val="980"/>
      </w:rPr>
      <w:framePr w:wrap="auto" w:vAnchor="text" w:hAnchor="margin" w:xAlign="center" w:y="1"/>
    </w:pPr>
    <w:r>
      <w:rPr>
        <w:rStyle w:val="980"/>
      </w:rPr>
      <w:fldChar w:fldCharType="begin"/>
    </w:r>
    <w:r>
      <w:rPr>
        <w:rStyle w:val="980"/>
      </w:rPr>
      <w:instrText xml:space="preserve">PAGE  </w:instrText>
    </w:r>
    <w:r>
      <w:rPr>
        <w:rStyle w:val="980"/>
      </w:rPr>
      <w:fldChar w:fldCharType="separate"/>
    </w:r>
    <w:r>
      <w:rPr>
        <w:rStyle w:val="980"/>
      </w:rPr>
      <w:t xml:space="preserve">2</w:t>
    </w:r>
    <w:r>
      <w:rPr>
        <w:rStyle w:val="980"/>
      </w:rPr>
      <w:fldChar w:fldCharType="end"/>
    </w:r>
    <w:r>
      <w:rPr>
        <w:rStyle w:val="980"/>
      </w:rPr>
    </w:r>
    <w:r>
      <w:rPr>
        <w:rStyle w:val="980"/>
      </w:rPr>
    </w:r>
  </w:p>
  <w:p>
    <w:pPr>
      <w:pStyle w:val="9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rPr>
        <w:rStyle w:val="980"/>
      </w:rPr>
      <w:framePr w:wrap="auto" w:vAnchor="text" w:hAnchor="margin" w:xAlign="center" w:y="1"/>
    </w:pPr>
    <w:r>
      <w:rPr>
        <w:rStyle w:val="980"/>
      </w:rPr>
      <w:fldChar w:fldCharType="begin"/>
    </w:r>
    <w:r>
      <w:rPr>
        <w:rStyle w:val="980"/>
      </w:rPr>
      <w:instrText xml:space="preserve">PAGE  </w:instrText>
    </w:r>
    <w:r>
      <w:rPr>
        <w:rStyle w:val="980"/>
      </w:rPr>
      <w:fldChar w:fldCharType="end"/>
    </w:r>
    <w:r>
      <w:rPr>
        <w:rStyle w:val="980"/>
      </w:rPr>
    </w:r>
    <w:r>
      <w:rPr>
        <w:rStyle w:val="980"/>
      </w:rPr>
    </w:r>
  </w:p>
  <w:p>
    <w:pPr>
      <w:pStyle w:val="9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eastAsia="Symbol" w:cs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6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57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851"/>
        <w:tabs>
          <w:tab w:val="num" w:pos="1276" w:leader="none"/>
        </w:tabs>
      </w:pPr>
      <w:rPr>
        <w:rFonts w:hint="default" w:ascii="Symbol" w:hAnsi="Symbol"/>
        <w:color w:val="auto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6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567"/>
        <w:tabs>
          <w:tab w:val="num" w:pos="128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7"/>
  </w:num>
  <w:num w:numId="9">
    <w:abstractNumId w:val="13"/>
  </w:num>
  <w:num w:numId="10">
    <w:abstractNumId w:val="2"/>
  </w:num>
  <w:num w:numId="11">
    <w:abstractNumId w:val="14"/>
  </w:num>
  <w:num w:numId="12">
    <w:abstractNumId w:val="11"/>
  </w:num>
  <w:num w:numId="13">
    <w:abstractNumId w:val="16"/>
  </w:num>
  <w:num w:numId="14">
    <w:abstractNumId w:val="5"/>
  </w:num>
  <w:num w:numId="15">
    <w:abstractNumId w:val="4"/>
  </w:num>
  <w:num w:numId="16">
    <w:abstractNumId w:val="9"/>
  </w:num>
  <w:num w:numId="17">
    <w:abstractNumId w:val="15"/>
  </w:num>
  <w:num w:numId="18">
    <w:abstractNumId w:val="3"/>
  </w:num>
  <w:num w:numId="19">
    <w:abstractNumId w:val="8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3" w:default="1">
    <w:name w:val="Normal"/>
    <w:qFormat/>
  </w:style>
  <w:style w:type="paragraph" w:styleId="784">
    <w:name w:val="Heading 1"/>
    <w:basedOn w:val="783"/>
    <w:next w:val="783"/>
    <w:link w:val="81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next w:val="783"/>
    <w:link w:val="81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next w:val="783"/>
    <w:link w:val="8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next w:val="783"/>
    <w:link w:val="81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next w:val="783"/>
    <w:link w:val="81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next w:val="783"/>
    <w:link w:val="81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90">
    <w:name w:val="Heading 7"/>
    <w:basedOn w:val="783"/>
    <w:next w:val="783"/>
    <w:link w:val="8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1">
    <w:name w:val="Heading 8"/>
    <w:basedOn w:val="783"/>
    <w:next w:val="783"/>
    <w:link w:val="8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2">
    <w:name w:val="Heading 9"/>
    <w:basedOn w:val="783"/>
    <w:next w:val="783"/>
    <w:link w:val="82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default="1">
    <w:name w:val="Default Paragraph Font"/>
    <w:uiPriority w:val="1"/>
    <w:semiHidden/>
    <w:unhideWhenUsed/>
  </w:style>
  <w:style w:type="table" w:styleId="7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5" w:default="1">
    <w:name w:val="No List"/>
    <w:uiPriority w:val="99"/>
    <w:semiHidden/>
    <w:unhideWhenUsed/>
  </w:style>
  <w:style w:type="character" w:styleId="796" w:customStyle="1">
    <w:name w:val="Heading 1 Char"/>
    <w:basedOn w:val="793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basedOn w:val="793"/>
    <w:uiPriority w:val="9"/>
    <w:rPr>
      <w:rFonts w:ascii="Arial" w:hAnsi="Arial" w:eastAsia="Arial" w:cs="Arial"/>
      <w:sz w:val="34"/>
    </w:rPr>
  </w:style>
  <w:style w:type="character" w:styleId="798" w:customStyle="1">
    <w:name w:val="Heading 3 Char"/>
    <w:basedOn w:val="793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basedOn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basedOn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basedOn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basedOn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9 Char"/>
    <w:basedOn w:val="793"/>
    <w:uiPriority w:val="9"/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Title Char"/>
    <w:basedOn w:val="793"/>
    <w:uiPriority w:val="10"/>
    <w:rPr>
      <w:sz w:val="48"/>
      <w:szCs w:val="48"/>
    </w:rPr>
  </w:style>
  <w:style w:type="character" w:styleId="806" w:customStyle="1">
    <w:name w:val="Subtitle Char"/>
    <w:basedOn w:val="793"/>
    <w:uiPriority w:val="11"/>
    <w:rPr>
      <w:sz w:val="24"/>
      <w:szCs w:val="24"/>
    </w:rPr>
  </w:style>
  <w:style w:type="character" w:styleId="807" w:customStyle="1">
    <w:name w:val="Quote Char"/>
    <w:uiPriority w:val="29"/>
    <w:rPr>
      <w:i/>
    </w:rPr>
  </w:style>
  <w:style w:type="character" w:styleId="808" w:customStyle="1">
    <w:name w:val="Intense Quote Char"/>
    <w:uiPriority w:val="30"/>
    <w:rPr>
      <w:i/>
    </w:rPr>
  </w:style>
  <w:style w:type="character" w:styleId="809" w:customStyle="1">
    <w:name w:val="Caption Char"/>
    <w:uiPriority w:val="99"/>
  </w:style>
  <w:style w:type="character" w:styleId="810" w:customStyle="1">
    <w:name w:val="Footnote Text Char"/>
    <w:uiPriority w:val="99"/>
    <w:rPr>
      <w:sz w:val="18"/>
    </w:rPr>
  </w:style>
  <w:style w:type="character" w:styleId="811" w:customStyle="1">
    <w:name w:val="Endnote Text Char"/>
    <w:uiPriority w:val="99"/>
    <w:rPr>
      <w:sz w:val="20"/>
    </w:rPr>
  </w:style>
  <w:style w:type="character" w:styleId="812" w:customStyle="1">
    <w:name w:val="Заголовок 1 Знак"/>
    <w:basedOn w:val="793"/>
    <w:link w:val="784"/>
    <w:uiPriority w:val="9"/>
    <w:rPr>
      <w:rFonts w:ascii="Arial" w:hAnsi="Arial" w:eastAsia="Arial" w:cs="Arial"/>
      <w:sz w:val="40"/>
      <w:szCs w:val="40"/>
    </w:rPr>
  </w:style>
  <w:style w:type="character" w:styleId="813" w:customStyle="1">
    <w:name w:val="Заголовок 2 Знак"/>
    <w:basedOn w:val="793"/>
    <w:link w:val="785"/>
    <w:uiPriority w:val="9"/>
    <w:rPr>
      <w:rFonts w:ascii="Arial" w:hAnsi="Arial" w:eastAsia="Arial" w:cs="Arial"/>
      <w:sz w:val="34"/>
    </w:rPr>
  </w:style>
  <w:style w:type="character" w:styleId="814" w:customStyle="1">
    <w:name w:val="Заголовок 3 Знак"/>
    <w:basedOn w:val="793"/>
    <w:link w:val="786"/>
    <w:uiPriority w:val="9"/>
    <w:rPr>
      <w:rFonts w:ascii="Arial" w:hAnsi="Arial" w:eastAsia="Arial" w:cs="Arial"/>
      <w:sz w:val="30"/>
      <w:szCs w:val="30"/>
    </w:rPr>
  </w:style>
  <w:style w:type="character" w:styleId="815" w:customStyle="1">
    <w:name w:val="Заголовок 4 Знак"/>
    <w:basedOn w:val="793"/>
    <w:link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16" w:customStyle="1">
    <w:name w:val="Заголовок 5 Знак"/>
    <w:basedOn w:val="793"/>
    <w:link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817" w:customStyle="1">
    <w:name w:val="Заголовок 6 Знак"/>
    <w:basedOn w:val="793"/>
    <w:link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Заголовок 7 Знак"/>
    <w:basedOn w:val="79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9" w:customStyle="1">
    <w:name w:val="Заголовок 8 Знак"/>
    <w:basedOn w:val="793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20" w:customStyle="1">
    <w:name w:val="Заголовок 9 Знак"/>
    <w:basedOn w:val="793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uiPriority w:val="1"/>
    <w:qFormat/>
    <w:pPr>
      <w:spacing w:after="0" w:line="240" w:lineRule="auto"/>
    </w:pPr>
  </w:style>
  <w:style w:type="paragraph" w:styleId="822">
    <w:name w:val="Title"/>
    <w:basedOn w:val="783"/>
    <w:next w:val="783"/>
    <w:link w:val="823"/>
    <w:uiPriority w:val="10"/>
    <w:qFormat/>
    <w:pPr>
      <w:contextualSpacing/>
      <w:spacing w:before="300"/>
    </w:pPr>
    <w:rPr>
      <w:sz w:val="48"/>
      <w:szCs w:val="48"/>
    </w:rPr>
  </w:style>
  <w:style w:type="character" w:styleId="823" w:customStyle="1">
    <w:name w:val="Заголовок Знак"/>
    <w:basedOn w:val="793"/>
    <w:link w:val="822"/>
    <w:uiPriority w:val="10"/>
    <w:rPr>
      <w:sz w:val="48"/>
      <w:szCs w:val="48"/>
    </w:rPr>
  </w:style>
  <w:style w:type="paragraph" w:styleId="824">
    <w:name w:val="Subtitle"/>
    <w:basedOn w:val="783"/>
    <w:next w:val="783"/>
    <w:link w:val="825"/>
    <w:uiPriority w:val="11"/>
    <w:qFormat/>
    <w:pPr>
      <w:spacing w:before="200"/>
    </w:pPr>
    <w:rPr>
      <w:sz w:val="24"/>
      <w:szCs w:val="24"/>
    </w:rPr>
  </w:style>
  <w:style w:type="character" w:styleId="825" w:customStyle="1">
    <w:name w:val="Подзаголовок Знак"/>
    <w:basedOn w:val="793"/>
    <w:link w:val="824"/>
    <w:uiPriority w:val="11"/>
    <w:rPr>
      <w:sz w:val="24"/>
      <w:szCs w:val="24"/>
    </w:rPr>
  </w:style>
  <w:style w:type="paragraph" w:styleId="826">
    <w:name w:val="Quote"/>
    <w:basedOn w:val="783"/>
    <w:next w:val="783"/>
    <w:link w:val="827"/>
    <w:uiPriority w:val="29"/>
    <w:qFormat/>
    <w:pPr>
      <w:ind w:left="720" w:right="720"/>
    </w:pPr>
    <w:rPr>
      <w:i/>
    </w:rPr>
  </w:style>
  <w:style w:type="character" w:styleId="827" w:customStyle="1">
    <w:name w:val="Цитата 2 Знак"/>
    <w:link w:val="826"/>
    <w:uiPriority w:val="29"/>
    <w:rPr>
      <w:i/>
    </w:rPr>
  </w:style>
  <w:style w:type="paragraph" w:styleId="828">
    <w:name w:val="Intense Quote"/>
    <w:basedOn w:val="783"/>
    <w:next w:val="783"/>
    <w:link w:val="8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 w:customStyle="1">
    <w:name w:val="Выделенная цитата Знак"/>
    <w:link w:val="828"/>
    <w:uiPriority w:val="30"/>
    <w:rPr>
      <w:i/>
    </w:rPr>
  </w:style>
  <w:style w:type="character" w:styleId="830" w:customStyle="1">
    <w:name w:val="Header Char"/>
    <w:basedOn w:val="793"/>
    <w:uiPriority w:val="99"/>
  </w:style>
  <w:style w:type="character" w:styleId="831" w:customStyle="1">
    <w:name w:val="Footer Char"/>
    <w:basedOn w:val="793"/>
    <w:uiPriority w:val="99"/>
  </w:style>
  <w:style w:type="paragraph" w:styleId="832">
    <w:name w:val="Caption"/>
    <w:basedOn w:val="783"/>
    <w:next w:val="783"/>
    <w:link w:val="83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33" w:customStyle="1">
    <w:name w:val="Название объекта Знак"/>
    <w:basedOn w:val="793"/>
    <w:link w:val="832"/>
    <w:uiPriority w:val="35"/>
    <w:rPr>
      <w:b/>
      <w:bCs/>
      <w:color w:val="4f81bd" w:themeColor="accent1"/>
      <w:sz w:val="18"/>
      <w:szCs w:val="18"/>
    </w:rPr>
  </w:style>
  <w:style w:type="table" w:styleId="834" w:customStyle="1">
    <w:name w:val="Table Grid Light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5">
    <w:name w:val="Plain Table 1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2"/>
    <w:basedOn w:val="7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>
    <w:name w:val="Plain Table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Plain Table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>
    <w:name w:val="Grid Table 1 Light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Grid Table 4 - Accent 1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3" w:customStyle="1">
    <w:name w:val="Grid Table 4 - Accent 2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Grid Table 4 - Accent 3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5" w:customStyle="1">
    <w:name w:val="Grid Table 4 - Accent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Grid Table 4 - Accent 5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7" w:customStyle="1">
    <w:name w:val="Grid Table 4 - Accent 6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8">
    <w:name w:val="Grid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5">
    <w:name w:val="Grid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6" w:customStyle="1">
    <w:name w:val="Grid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7" w:customStyle="1">
    <w:name w:val="Grid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8" w:customStyle="1">
    <w:name w:val="Grid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9" w:customStyle="1">
    <w:name w:val="Grid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0" w:customStyle="1">
    <w:name w:val="Grid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1" w:customStyle="1">
    <w:name w:val="Grid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2">
    <w:name w:val="Grid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Grid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Grid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Grid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Grid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>
    <w:name w:val="List Table 1 Light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1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2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6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3">
    <w:name w:val="List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>
    <w:name w:val="List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5" w:customStyle="1">
    <w:name w:val="List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6" w:customStyle="1">
    <w:name w:val="List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7" w:customStyle="1">
    <w:name w:val="List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8" w:customStyle="1">
    <w:name w:val="List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9" w:customStyle="1">
    <w:name w:val="List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0" w:customStyle="1">
    <w:name w:val="List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1">
    <w:name w:val="List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st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List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List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List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 &amp; 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Bordered &amp; 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7" w:customStyle="1">
    <w:name w:val="Bordered &amp; 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8" w:customStyle="1">
    <w:name w:val="Bordered &amp; 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9" w:customStyle="1">
    <w:name w:val="Bordered &amp; 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0" w:customStyle="1">
    <w:name w:val="Bordered &amp; 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1" w:customStyle="1">
    <w:name w:val="Bordered &amp; 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2" w:customStyle="1">
    <w:name w:val="Bordered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3" w:customStyle="1">
    <w:name w:val="Bordered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4" w:customStyle="1">
    <w:name w:val="Bordered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5" w:customStyle="1">
    <w:name w:val="Bordered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6" w:customStyle="1">
    <w:name w:val="Bordered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7" w:customStyle="1">
    <w:name w:val="Bordered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8" w:customStyle="1">
    <w:name w:val="Bordered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59">
    <w:name w:val="footnote text"/>
    <w:basedOn w:val="783"/>
    <w:link w:val="960"/>
    <w:uiPriority w:val="99"/>
    <w:semiHidden/>
    <w:unhideWhenUsed/>
    <w:pPr>
      <w:spacing w:after="40" w:line="240" w:lineRule="auto"/>
    </w:pPr>
    <w:rPr>
      <w:sz w:val="18"/>
    </w:rPr>
  </w:style>
  <w:style w:type="character" w:styleId="960" w:customStyle="1">
    <w:name w:val="Текст сноски Знак"/>
    <w:link w:val="959"/>
    <w:uiPriority w:val="99"/>
    <w:rPr>
      <w:sz w:val="18"/>
    </w:rPr>
  </w:style>
  <w:style w:type="character" w:styleId="961">
    <w:name w:val="footnote reference"/>
    <w:basedOn w:val="793"/>
    <w:uiPriority w:val="99"/>
    <w:unhideWhenUsed/>
    <w:rPr>
      <w:vertAlign w:val="superscript"/>
    </w:rPr>
  </w:style>
  <w:style w:type="paragraph" w:styleId="962">
    <w:name w:val="endnote text"/>
    <w:basedOn w:val="783"/>
    <w:link w:val="963"/>
    <w:uiPriority w:val="99"/>
    <w:semiHidden/>
    <w:unhideWhenUsed/>
    <w:pPr>
      <w:spacing w:after="0" w:line="240" w:lineRule="auto"/>
    </w:pPr>
    <w:rPr>
      <w:sz w:val="20"/>
    </w:rPr>
  </w:style>
  <w:style w:type="character" w:styleId="963" w:customStyle="1">
    <w:name w:val="Текст концевой сноски Знак"/>
    <w:link w:val="962"/>
    <w:uiPriority w:val="99"/>
    <w:rPr>
      <w:sz w:val="20"/>
    </w:rPr>
  </w:style>
  <w:style w:type="character" w:styleId="964">
    <w:name w:val="endnote reference"/>
    <w:basedOn w:val="793"/>
    <w:uiPriority w:val="99"/>
    <w:semiHidden/>
    <w:unhideWhenUsed/>
    <w:rPr>
      <w:vertAlign w:val="superscript"/>
    </w:rPr>
  </w:style>
  <w:style w:type="paragraph" w:styleId="965">
    <w:name w:val="toc 1"/>
    <w:basedOn w:val="783"/>
    <w:next w:val="783"/>
    <w:uiPriority w:val="39"/>
    <w:unhideWhenUsed/>
    <w:pPr>
      <w:spacing w:after="57"/>
    </w:pPr>
  </w:style>
  <w:style w:type="paragraph" w:styleId="966">
    <w:name w:val="toc 2"/>
    <w:basedOn w:val="783"/>
    <w:next w:val="783"/>
    <w:uiPriority w:val="39"/>
    <w:unhideWhenUsed/>
    <w:pPr>
      <w:ind w:left="283"/>
      <w:spacing w:after="57"/>
    </w:pPr>
  </w:style>
  <w:style w:type="paragraph" w:styleId="967">
    <w:name w:val="toc 3"/>
    <w:basedOn w:val="783"/>
    <w:next w:val="783"/>
    <w:uiPriority w:val="39"/>
    <w:unhideWhenUsed/>
    <w:pPr>
      <w:ind w:left="567"/>
      <w:spacing w:after="57"/>
    </w:pPr>
  </w:style>
  <w:style w:type="paragraph" w:styleId="968">
    <w:name w:val="toc 4"/>
    <w:basedOn w:val="783"/>
    <w:next w:val="783"/>
    <w:uiPriority w:val="39"/>
    <w:unhideWhenUsed/>
    <w:pPr>
      <w:ind w:left="850"/>
      <w:spacing w:after="57"/>
    </w:pPr>
  </w:style>
  <w:style w:type="paragraph" w:styleId="969">
    <w:name w:val="toc 5"/>
    <w:basedOn w:val="783"/>
    <w:next w:val="783"/>
    <w:uiPriority w:val="39"/>
    <w:unhideWhenUsed/>
    <w:pPr>
      <w:ind w:left="1134"/>
      <w:spacing w:after="57"/>
    </w:pPr>
  </w:style>
  <w:style w:type="paragraph" w:styleId="970">
    <w:name w:val="toc 6"/>
    <w:basedOn w:val="783"/>
    <w:next w:val="783"/>
    <w:uiPriority w:val="39"/>
    <w:unhideWhenUsed/>
    <w:pPr>
      <w:ind w:left="1417"/>
      <w:spacing w:after="57"/>
    </w:pPr>
  </w:style>
  <w:style w:type="paragraph" w:styleId="971">
    <w:name w:val="toc 7"/>
    <w:basedOn w:val="783"/>
    <w:next w:val="783"/>
    <w:uiPriority w:val="39"/>
    <w:unhideWhenUsed/>
    <w:pPr>
      <w:ind w:left="1701"/>
      <w:spacing w:after="57"/>
    </w:pPr>
  </w:style>
  <w:style w:type="paragraph" w:styleId="972">
    <w:name w:val="toc 8"/>
    <w:basedOn w:val="783"/>
    <w:next w:val="783"/>
    <w:uiPriority w:val="39"/>
    <w:unhideWhenUsed/>
    <w:pPr>
      <w:ind w:left="1984"/>
      <w:spacing w:after="57"/>
    </w:pPr>
  </w:style>
  <w:style w:type="paragraph" w:styleId="973">
    <w:name w:val="toc 9"/>
    <w:basedOn w:val="783"/>
    <w:next w:val="783"/>
    <w:uiPriority w:val="39"/>
    <w:unhideWhenUsed/>
    <w:pPr>
      <w:ind w:left="2268"/>
      <w:spacing w:after="57"/>
    </w:pPr>
  </w:style>
  <w:style w:type="paragraph" w:styleId="974">
    <w:name w:val="TOC Heading"/>
    <w:uiPriority w:val="39"/>
    <w:unhideWhenUsed/>
  </w:style>
  <w:style w:type="paragraph" w:styleId="975">
    <w:name w:val="table of figures"/>
    <w:basedOn w:val="783"/>
    <w:next w:val="783"/>
    <w:uiPriority w:val="99"/>
    <w:unhideWhenUsed/>
    <w:pPr>
      <w:spacing w:after="0"/>
    </w:pPr>
  </w:style>
  <w:style w:type="paragraph" w:styleId="976">
    <w:name w:val="Header"/>
    <w:basedOn w:val="783"/>
    <w:link w:val="9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7" w:customStyle="1">
    <w:name w:val="Верхний колонтитул Знак"/>
    <w:basedOn w:val="793"/>
    <w:link w:val="976"/>
    <w:uiPriority w:val="99"/>
  </w:style>
  <w:style w:type="paragraph" w:styleId="978">
    <w:name w:val="Footer"/>
    <w:basedOn w:val="783"/>
    <w:link w:val="9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9" w:customStyle="1">
    <w:name w:val="Нижний колонтитул Знак"/>
    <w:basedOn w:val="793"/>
    <w:link w:val="978"/>
    <w:uiPriority w:val="99"/>
  </w:style>
  <w:style w:type="character" w:styleId="980">
    <w:name w:val="page number"/>
    <w:rPr>
      <w:sz w:val="20"/>
    </w:rPr>
  </w:style>
  <w:style w:type="paragraph" w:styleId="981">
    <w:name w:val="Balloon Text"/>
    <w:basedOn w:val="783"/>
    <w:link w:val="98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82" w:customStyle="1">
    <w:name w:val="Текст выноски Знак"/>
    <w:basedOn w:val="793"/>
    <w:link w:val="981"/>
    <w:uiPriority w:val="99"/>
    <w:semiHidden/>
    <w:rPr>
      <w:rFonts w:ascii="Tahoma" w:hAnsi="Tahoma" w:cs="Tahoma"/>
      <w:sz w:val="16"/>
      <w:szCs w:val="16"/>
    </w:rPr>
  </w:style>
  <w:style w:type="paragraph" w:styleId="983">
    <w:name w:val="List Paragraph"/>
    <w:basedOn w:val="783"/>
    <w:uiPriority w:val="34"/>
    <w:qFormat/>
    <w:pPr>
      <w:contextualSpacing/>
      <w:ind w:left="720"/>
    </w:pPr>
  </w:style>
  <w:style w:type="paragraph" w:styleId="984">
    <w:name w:val="Body Text"/>
    <w:basedOn w:val="783"/>
    <w:link w:val="985"/>
    <w:unhideWhenUsed/>
    <w:pPr>
      <w:spacing w:after="12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5" w:customStyle="1">
    <w:name w:val="Основной текст Знак"/>
    <w:basedOn w:val="793"/>
    <w:link w:val="98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6">
    <w:name w:val="Body Text 2"/>
    <w:basedOn w:val="783"/>
    <w:link w:val="987"/>
    <w:uiPriority w:val="99"/>
    <w:semiHidden/>
    <w:unhideWhenUsed/>
    <w:pPr>
      <w:spacing w:after="120" w:line="480" w:lineRule="auto"/>
    </w:pPr>
  </w:style>
  <w:style w:type="character" w:styleId="987" w:customStyle="1">
    <w:name w:val="Основной текст 2 Знак"/>
    <w:basedOn w:val="793"/>
    <w:link w:val="986"/>
    <w:uiPriority w:val="99"/>
    <w:semiHidden/>
  </w:style>
  <w:style w:type="character" w:styleId="988">
    <w:name w:val="annotation reference"/>
    <w:basedOn w:val="793"/>
    <w:uiPriority w:val="99"/>
    <w:semiHidden/>
    <w:unhideWhenUsed/>
    <w:rPr>
      <w:sz w:val="16"/>
      <w:szCs w:val="16"/>
    </w:rPr>
  </w:style>
  <w:style w:type="paragraph" w:styleId="989">
    <w:name w:val="annotation text"/>
    <w:basedOn w:val="783"/>
    <w:link w:val="99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90" w:customStyle="1">
    <w:name w:val="Текст примечания Знак"/>
    <w:basedOn w:val="793"/>
    <w:link w:val="989"/>
    <w:uiPriority w:val="99"/>
    <w:semiHidden/>
    <w:rPr>
      <w:sz w:val="20"/>
      <w:szCs w:val="20"/>
    </w:rPr>
  </w:style>
  <w:style w:type="paragraph" w:styleId="991">
    <w:name w:val="annotation subject"/>
    <w:basedOn w:val="989"/>
    <w:next w:val="989"/>
    <w:link w:val="992"/>
    <w:uiPriority w:val="99"/>
    <w:semiHidden/>
    <w:unhideWhenUsed/>
    <w:rPr>
      <w:b/>
      <w:bCs/>
    </w:rPr>
  </w:style>
  <w:style w:type="character" w:styleId="992" w:customStyle="1">
    <w:name w:val="Тема примечания Знак"/>
    <w:basedOn w:val="990"/>
    <w:link w:val="991"/>
    <w:uiPriority w:val="99"/>
    <w:semiHidden/>
    <w:rPr>
      <w:b/>
      <w:bCs/>
      <w:sz w:val="20"/>
      <w:szCs w:val="20"/>
    </w:rPr>
  </w:style>
  <w:style w:type="paragraph" w:styleId="993" w:customStyle="1">
    <w:name w:val="Style17"/>
    <w:basedOn w:val="783"/>
    <w:uiPriority w:val="99"/>
    <w:pPr>
      <w:ind w:firstLine="715"/>
      <w:jc w:val="both"/>
      <w:spacing w:after="0" w:line="283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994" w:customStyle="1">
    <w:name w:val="Font Style76"/>
    <w:basedOn w:val="793"/>
    <w:uiPriority w:val="99"/>
    <w:rPr>
      <w:rFonts w:hint="default" w:ascii="Times New Roman" w:hAnsi="Times New Roman" w:cs="Times New Roman"/>
      <w:sz w:val="24"/>
      <w:szCs w:val="24"/>
    </w:rPr>
  </w:style>
  <w:style w:type="paragraph" w:styleId="995">
    <w:name w:val="Body Text Indent 3"/>
    <w:basedOn w:val="783"/>
    <w:link w:val="996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96" w:customStyle="1">
    <w:name w:val="Основной текст с отступом 3 Знак"/>
    <w:basedOn w:val="793"/>
    <w:link w:val="995"/>
    <w:uiPriority w:val="99"/>
    <w:semiHidden/>
    <w:rPr>
      <w:sz w:val="16"/>
      <w:szCs w:val="16"/>
    </w:rPr>
  </w:style>
  <w:style w:type="character" w:styleId="997">
    <w:name w:val="Placeholder Text"/>
    <w:basedOn w:val="793"/>
    <w:uiPriority w:val="99"/>
    <w:semiHidden/>
    <w:rPr>
      <w:color w:val="808080"/>
    </w:rPr>
  </w:style>
  <w:style w:type="character" w:styleId="998">
    <w:name w:val="Hyperlink"/>
    <w:basedOn w:val="793"/>
    <w:uiPriority w:val="99"/>
    <w:unhideWhenUsed/>
    <w:rPr>
      <w:color w:val="0000ff" w:themeColor="hyperlink"/>
      <w:u w:val="single"/>
    </w:rPr>
  </w:style>
  <w:style w:type="character" w:styleId="999" w:customStyle="1">
    <w:name w:val="Неразрешенное упоминание1"/>
    <w:basedOn w:val="793"/>
    <w:uiPriority w:val="99"/>
    <w:semiHidden/>
    <w:unhideWhenUsed/>
    <w:rPr>
      <w:color w:val="605e5c"/>
      <w:shd w:val="clear" w:color="auto" w:fill="e1dfdd"/>
    </w:rPr>
  </w:style>
  <w:style w:type="character" w:styleId="1000" w:customStyle="1">
    <w:name w:val="Неразрешенное упоминание2"/>
    <w:basedOn w:val="793"/>
    <w:uiPriority w:val="99"/>
    <w:semiHidden/>
    <w:unhideWhenUsed/>
    <w:rPr>
      <w:color w:val="605e5c"/>
      <w:shd w:val="clear" w:color="auto" w:fill="e1dfdd"/>
    </w:rPr>
  </w:style>
  <w:style w:type="table" w:styleId="1001">
    <w:name w:val="Table Grid"/>
    <w:basedOn w:val="7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2" w:customStyle="1">
    <w:name w:val="Основной текст1"/>
    <w:pPr>
      <w:spacing w:after="1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zh-CN"/>
    </w:rPr>
  </w:style>
  <w:style w:type="paragraph" w:styleId="1003" w:customStyle="1">
    <w:name w:val="Основной текст с отступом 21"/>
    <w:uiPriority w:val="99"/>
    <w:pPr>
      <w:ind w:right="3684" w:firstLine="567"/>
      <w:jc w:val="center"/>
      <w:spacing w:after="0" w:line="240" w:lineRule="auto"/>
      <w:tabs>
        <w:tab w:val="left" w:pos="6120" w:leader="none"/>
        <w:tab w:val="left" w:pos="9720" w:leader="none"/>
        <w:tab w:val="left" w:pos="986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04" w:customStyle="1">
    <w:name w:val="ConsPlusNormal"/>
    <w:uiPriority w:val="9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F798-7BE4-4320-B3FC-7418EB99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В.С.</dc:creator>
  <cp:revision>33</cp:revision>
  <dcterms:created xsi:type="dcterms:W3CDTF">2026-06-26T06:46:00Z</dcterms:created>
  <dcterms:modified xsi:type="dcterms:W3CDTF">2026-06-30T07:08:57Z</dcterms:modified>
</cp:coreProperties>
</file>