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34"/>
        <w:gridCol w:w="2353"/>
        <w:gridCol w:w="2352"/>
        <w:gridCol w:w="283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05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 xml:space="preserve">ДОГОВОР № </w:t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</w:p>
          <w:p>
            <w:pPr>
              <w:pStyle w:val="618"/>
              <w:jc w:val="center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Право использования программы для ЭВМ "Контур.Экстерн", лицензия для дополнительного пользователя "Стандартная" к тарифному плану сроком на 2 года, с применением встроенных в сертификат/ключевой контейнер СКЗИ "КриптоПро CSP"</w:t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</w:p>
          <w:p>
            <w:pPr>
              <w:pStyle w:val="618"/>
              <w:jc w:val="center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</w:p>
          <w:p>
            <w:pPr>
              <w:pStyle w:val="618"/>
              <w:jc w:val="center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ИКЗ </w:t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  <w:highlight w:val="none"/>
              </w:rPr>
              <w:t xml:space="preserve">26 1 5190915348 519001001 0021 000 0000 244</w:t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  <w:highlight w:val="none"/>
              </w:rPr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  <w:highlight w:val="none"/>
              </w:rPr>
            </w:r>
          </w:p>
          <w:p>
            <w:pPr>
              <w:pStyle w:val="618"/>
              <w:jc w:val="center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87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87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_____20  ______</w:t>
            </w:r>
            <w:r/>
          </w:p>
        </w:tc>
      </w:tr>
    </w:tbl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9"/>
          <w:szCs w:val="19"/>
        </w:rPr>
      </w:pPr>
      <w:r>
        <w:rPr>
          <w:rFonts w:ascii="Times" w:hAnsi="Times" w:cs="Times"/>
          <w:color w:val="000000"/>
          <w:sz w:val="19"/>
          <w:szCs w:val="19"/>
        </w:rPr>
        <w:t xml:space="preserve">_____________________________________, именуемое в дальнейшем ОПЕРАТОР, _________________________</w:t>
      </w:r>
      <w:r>
        <w:t xml:space="preserve">, именуемое в дальнейшем АБОНЕНТ, в лице </w:t>
      </w:r>
      <w:r>
        <w:t xml:space="preserve">временно исполняющего обязанности руководителя Гнездова Александра Борисовича, действующего на основании  «Положения о Межрегиональном территориальном управлении Федерального агентства по управлению государственным имуществом в Мурманской области</w:t>
      </w:r>
      <w:r>
        <w:t xml:space="preserve"> и Республики Карелия», утвержденного приказом Росимущества от 23.06.2023 № 131,  приказа Минфина России от 14.04.2026 № 663 л/с</w:t>
      </w:r>
      <w:r>
        <w:t xml:space="preserve">, совместно именуемые в дальнейшем Стороны, договорились о нижеследующем.</w:t>
      </w:r>
      <w:r>
        <w:rPr>
          <w:rFonts w:ascii="Times" w:hAnsi="Times" w:cs="Times"/>
          <w:b/>
          <w:bCs/>
          <w:color w:val="000000"/>
          <w:sz w:val="19"/>
          <w:szCs w:val="19"/>
        </w:rPr>
      </w:r>
      <w:r>
        <w:rPr>
          <w:rFonts w:ascii="Times" w:hAnsi="Times" w:cs="Times"/>
          <w:b/>
          <w:bCs/>
          <w:color w:val="000000"/>
          <w:sz w:val="19"/>
          <w:szCs w:val="19"/>
        </w:rPr>
      </w:r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33"/>
        <w:gridCol w:w="9241"/>
        <w:gridCol w:w="226"/>
      </w:tblGrid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1. ТЕРМИНЫ И ОПРЕДЕЛЕНИЯ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1.1. Система «Контур.Экстерн» (далее – Система) – программа для ЭВМ (в том числе ее интеграционные и иные модули), предназначенная для формирования и представления отчетности, организации электронного документооборота и иных целей.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1.2. СКЗИ – средство криптографической защиты информации (средство электронной подписи), дополнительное программное обеспечение для осуществления функций шифрования и подписания электронных документов электронной подписью.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1.3. Оператор электронного документооборота – функции Оператора по отправке отчетности в различные контролирующие органы, установленные законодательством и иными нормативно-правовыми актами Российской Федерации.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1.4. Спецификация (Приложение № 1 к Договору) − документ, содержащий информацию о стоимости и комплекте предоставляемых Абоненту неисключительных прав использования программ для ЭВМ и оказываемых услуг/выполняемых работ.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1.5. Лице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нзионный договор (Приложение № 2 к Договору) – договор, устанавливающий порядок передачи и использования Системы. Является офертой, не требующей подписания Сторонами, полный и безоговорочный акцепт которой Абонентом является существенным условием Договора.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1.6. Субл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ицензионный договор (Приложение № 3 к Договору) – договор, устанавливающий порядок передачи и использования СКЗИ. Является офертой, не требующей подписания Сторонами, полный и безоговорочный акцепт которой Абонентом является существенным условием Договора.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1.7. Квалифицированный сертификат (далее − Се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ртификат) − документ, выданный аккредитованным в соответствии с Федеральным законом «Об электронной подписи» Удостоверяющим центром и подтверждающий принадлежность ключа проверки электронной подписи владельцу сертификата ключа проверки электронной подписи.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1.8. Правила по обеспечению информационной безопасности на рабочем месте (далее − Правила) − документ, составленный Оператором на основании положений действующего законодательства Российской Федера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ции в области применения и использования электронной подписи и СКЗИ и обязательный для ознакомления всеми специалистами Абонента, работающими с использованием СКЗИ, если Абонент приобретает СКЗИ у Оператора. Актуальная редакция Правил публикуется на сайте </w:t>
            </w:r>
            <w:r>
              <w:fldChar w:fldCharType="begin"/>
            </w:r>
            <w:r>
              <w:instrText xml:space="preserve"> HYPERLINK "https://ca.skbkontur.ru/"</w:instrText>
            </w:r>
            <w:r>
              <w:fldChar w:fldCharType="separate"/>
            </w:r>
            <w:r>
              <w:rPr>
                <w:rStyle w:val="620"/>
                <w:rFonts w:ascii="Times" w:hAnsi="Times" w:cs="Times"/>
                <w:color w:val="0000cd"/>
                <w:sz w:val="19"/>
                <w:szCs w:val="19"/>
              </w:rPr>
              <w:t xml:space="preserve">https://ca.skbkontur.ru</w:t>
            </w:r>
            <w:r>
              <w:fldChar w:fldCharType="end"/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1.9. Тарифный план – совокупность предоставляемых Оператором неисключительных прав использования программ для ЭВМ и оказываемых услуг/выполняемых работ. Состав тарифного плана определяется прайс-листом.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1.10. Прайс-лист − документ (неотъемлемая часть Договора), отражающий ценовую политику Оператора и содержащий сведения о тарифных планах. Действующая редакция документа публикуется на сайте </w:t>
            </w:r>
            <w:r>
              <w:fldChar w:fldCharType="begin"/>
            </w:r>
            <w:r>
              <w:instrText xml:space="preserve"> HYPERLINK "https://www.kontur-extern.ru/"</w:instrText>
            </w:r>
            <w:r>
              <w:fldChar w:fldCharType="separate"/>
            </w:r>
            <w:r>
              <w:rPr>
                <w:rStyle w:val="620"/>
                <w:rFonts w:ascii="Times" w:hAnsi="Times" w:cs="Times"/>
                <w:color w:val="0000cd"/>
                <w:sz w:val="19"/>
                <w:szCs w:val="19"/>
              </w:rPr>
              <w:t xml:space="preserve">https://www.kontur-extern.ru</w:t>
            </w:r>
            <w:r>
              <w:fldChar w:fldCharType="end"/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1.11. Субъект персональных данных – физическое лицо, персональные данные которого Абонент обрабатывает с использованием Системы.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1.12. Сервисный центр – подразделение Оператора или организация/индивидуальный предприниматель, уполномоченные Оператором на основании агентского договора представлять интересы Оператора при взаимодействии с Абонентом.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Наименование Сервисного центра АБОНЕНТА: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____________________________________________________________________________________________________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2. ПРЕДМЕТ ДОГОВОРА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2.1. Оператор обязуется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 предоставить Абоненту неисключительное право использования Системы и оказать услуги технической поддержки в виде абонентского обслуживания, а Абонент обязуется принять и оплатить предоставленные права и оказанные услуги в порядке, установленном Договором.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2.2. Передача права использования Системы осуществляется на условиях лицензионного договора на срок, установленный выбранным тарифным планом.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2.3. Если Абоненту требуется СКЗИ, то Оператор обязуется возмездно передать простые (неисключительные) лицензии на право использования СКЗИ на условиях сублицензионного договора на срок, установленный выбранным тарифным планом.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2.4. При необходимости Абоненту могут быть возмездно оказаны иные услуги, а также выполнены работы, предусмотренные прайс-листом Оператора.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2.5. Заключение Договора рассматриваетс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я Сторонами как поручение Оператора персональных данных (Абонента по Договору) другому лицу, предусмотренное частью 3 статьи 6 Федерального закона «О персональных данных». При этом Абонент поручает Оператору осуществление следующих действий (операций) с пе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рсональными данными, совершаемых с использованием средств автоматизации или без использования таких средств: сбор через заполнение Абонентом веб-форм Системы, запись, систематизацию, накопление, хранение на сервере Оператора, уточнение (обновление, изменен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ие) после внесения изменений Абонентом, извлечение, использование, передачу (предоставление, доступ) по телекоммуникационным каналам связи в контролирующие органы, обезличивание, блокирование, удаление, уничтожение персональных данных – исключительно с цел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ью выполнения обязательств, предусмотренных Договором. Содержание и перечень обрабатываемых персональных данных определяется исходя из требований действующего законодательства Российской Федерации в области деятельности, автоматизируемой с помощью Системы.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2.6. Политика обработки персональных данных публикуется Оператором на сайте </w:t>
            </w:r>
            <w:r>
              <w:fldChar w:fldCharType="begin"/>
            </w:r>
            <w:r>
              <w:instrText xml:space="preserve"> HYPERLINK "https://kontur.ru/"</w:instrText>
            </w:r>
            <w:r>
              <w:fldChar w:fldCharType="separate"/>
            </w:r>
            <w:r>
              <w:rPr>
                <w:rStyle w:val="620"/>
                <w:rFonts w:ascii="Times" w:hAnsi="Times" w:cs="Times"/>
                <w:color w:val="0000cd"/>
                <w:sz w:val="19"/>
                <w:szCs w:val="19"/>
              </w:rPr>
              <w:t xml:space="preserve">https://kontur.ru</w:t>
            </w:r>
            <w:r>
              <w:fldChar w:fldCharType="end"/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3. ПОРЯДОК ПРЕДОСТАВЛЕНИЯ ДОСТУПА К СИСТЕМЕ И ОКАЗАНИЯ УСЛУГ ТЕХНИЧЕСКОЙ ПОДДЕРЖКИ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3.1. В течение 5 (Пяти) рабочих дней после поступления на расчетный счет Оператора оплаты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10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0% стоимости Договора в порядке, предусмотренном п. 5.4. Договора, и при условии наличия у Абонента действующего Сертификата и СКЗИ: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3.1.1. Оператор предоставляет Абоненту доступ к необходимым для функционирования Системы дистрибутивам программных компонентов.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3.1.2. Оператор регистрирует на сервере учетную запись Абонента.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3.2. Оператор либо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 Сервисный центр может дополнительно возмездно предоставить Абоненту услуги по установке и настройке программных компонентов, необходимых для получения доступа к Системе и/или СКЗИ на рабочем месте Абонента, обучению специалистов Абонента работе в Системе.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3.3. Передача права использования Системы осуществляется в момент открытия доступа Абоненту к серверу Системы.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3.4. Техническая поддержка Системы и СКЗИ осуществляется в круглосуточном ежедневном режиме в виде абонентского обслуживания путем телефонных консультаций в федеральном контакт-центре Оператора без ограничения по времени и количеству обращений.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3.5. Оператор оказывает услуги технической поддержки с момента открытия Абоненту доступа к Системе в течение срока, установленного оплаченным тарифным планом.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4. ОБЯЗАННОСТИ СТОРОН. ГАРАНТИИ СТОРОН ПО ОБЕСПЕЧЕНИЮ КОНФИДЕНЦИАЛЬНОСТИ ПЕРСОНАЛЬНЫХ ДАННЫХ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4.1. Обязанности Оператора: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4.1.1. обеспечение выполнения Системой функций, предусмотренных пользовательской документацией, размещенной на сайте </w:t>
            </w:r>
            <w:r>
              <w:fldChar w:fldCharType="begin"/>
            </w:r>
            <w:r>
              <w:instrText xml:space="preserve"> HYPERLINK "https://www.kontur-extern.ru/support"</w:instrText>
            </w:r>
            <w:r>
              <w:fldChar w:fldCharType="separate"/>
            </w:r>
            <w:r>
              <w:rPr>
                <w:rStyle w:val="620"/>
                <w:rFonts w:ascii="Times" w:hAnsi="Times" w:cs="Times"/>
                <w:color w:val="0000cd"/>
                <w:sz w:val="19"/>
                <w:szCs w:val="19"/>
              </w:rPr>
              <w:t xml:space="preserve">https://www.kontur-extern.ru/support</w:t>
            </w:r>
            <w:r>
              <w:fldChar w:fldCharType="end"/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, и выбранным тарифным планом;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4.1.2. своевременное обновление программного обеспечения на сервере Системы;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4.1.3. обеспечение круглосуточно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й доступности Системы за исключением времени проведения профилактических работ не более 2 (Двух) рабочих дней в период с 1 по 10 число месяца, преимущественно в ночное время, с извещением Абонента о проводимых работах путем размещения информации в Системе;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4.1.4. обеспечение конфиденциальности данных, размещенных Абонентом в Системе, на весь период их нахождения на сервере Системы;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4.1.5. осуществление функций оператора электронного документооборота;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4.1.6. наличие всех необходимых лицензий для выполнения своих функций по Договору. Место публикации лицензий Оператора </w:t>
            </w:r>
            <w:r>
              <w:fldChar w:fldCharType="begin"/>
            </w:r>
            <w:r>
              <w:instrText xml:space="preserve"> HYPERLINK "https://kontur.ru/"</w:instrText>
            </w:r>
            <w:r>
              <w:fldChar w:fldCharType="separate"/>
            </w:r>
            <w:r>
              <w:rPr>
                <w:rStyle w:val="620"/>
                <w:rFonts w:ascii="Times" w:hAnsi="Times" w:cs="Times"/>
                <w:color w:val="0000cd"/>
                <w:sz w:val="19"/>
                <w:szCs w:val="19"/>
              </w:rPr>
              <w:t xml:space="preserve">https://kontur.ru</w:t>
            </w:r>
            <w:r>
              <w:fldChar w:fldCharType="end"/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 Обязанности Абонента: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4.2.1. самостоятельное подключение компьютера к Интернету;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4.2.2. своевременная оплата предоставленных прав использования Системы и СКЗИ, услуг/работ Оператора;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4.2.3. соблюдение требований пользовательской документации при использовании Системы и СКЗИ;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4.2.4. самостоятельная комплектация рабочего места в соответствии с требованиями, размещенными на сайте </w:t>
            </w:r>
            <w:r>
              <w:fldChar w:fldCharType="begin"/>
            </w:r>
            <w:r>
              <w:instrText xml:space="preserve"> HYPERLINK "https://www.kontur-extern.ru/"</w:instrText>
            </w:r>
            <w:r>
              <w:fldChar w:fldCharType="separate"/>
            </w:r>
            <w:r>
              <w:rPr>
                <w:rStyle w:val="620"/>
                <w:rFonts w:ascii="Times" w:hAnsi="Times" w:cs="Times"/>
                <w:color w:val="0000cd"/>
                <w:sz w:val="19"/>
                <w:szCs w:val="19"/>
              </w:rPr>
              <w:t xml:space="preserve">https://www.kontur-extern.ru</w:t>
            </w:r>
            <w:r>
              <w:fldChar w:fldCharType="end"/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4.2.5. соблюдение тре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бований по защите информации на рабочем месте в соответствии с приказом ФСБ России «Об утверждении Положения о разработке, производстве, реализации и эксплуатации шифровальных (криптографических) средств защиты информации» (Положение ПКЗ-2005) и Правилами;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4.2.6. представление Оператору всех сведений и документов, необходимых для выполнения Оператором своих обязательств по Договору.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4.2.7. принятие и исполнение условий лицензионного и сублицензионного договоров на право использования Системы и СКЗИ.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4.2.8. незамедлительное обращение в техническую поддержку Оператора в случае возникновения у Абонента технических проблем, препятствующих нормальному использованию Системы.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4.3. Абонент гарантирует: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4.3.1. что при обработке персональных данных им соблюдены все права субъектов персональных данных, предусмотренные действующим законодательством Российской Федерации в области защиты персональных данных;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4.3.2. что им получено согласие субъектов персональных данных на обработку принадлежащих им персональных данных, в том числе на поручение такой обработки Оператору как третьему лицу;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4.3.3. что в случае прекращения действия Договора Абонент вправе направить уведомление Оператору о необходимости удаления персональных данных, размещенных Абонентом в Системе.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4.4. В целях соблюдения прав субъектов персональных данны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х, предусмотренных Федеральным законом «О персональных данных», и отсутствии возможности у Оператора самостоятельно производить какие-либо действия, касающиеся обработки персональных данных, Стороны договорились установить следующий порядок взаимодействия: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4.4.1. Абонент (Оператор обработки персональных данных) обязуется в течение 7 (Семи) рабочих дней с момента получения за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проса, содержащего отзыв субъекта персональных данных согласия на обработку персональных данных, уведомить Оператора о необходимости удаления отозванных данных либо представить субъекту персональных данных мотивированный отказ от выполнения такого запроса;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4.4.2. по требованию Оператора Абон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ент обязан предоставить доказательства соблюдения прав субъекта персональных данных, а также документы, подтверждающие надлежащее исполнение Абонентом иных обязательств, предусмотренных действующим законодательством в области обработки персональных данных.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4.5. Оператор гарантирует: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4.5.1. что им направлено в уполномоченный орган уведомление о намерении осуществлять обработку персональных данных в порядке, предусмотренном действующим законодательством Российской Федерации;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4.5.2. что им приняты необходимые организационные и технические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–</w:t>
            </w:r>
            <w:r>
              <w:rPr>
                <w:rFonts w:ascii="Times" w:hAnsi="Times" w:eastAsia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определение угроз безопасности персональных данных при их обработке;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–</w:t>
            </w:r>
            <w:r>
              <w:rPr>
                <w:rFonts w:ascii="Times" w:hAnsi="Times" w:eastAsia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установление правил доступа к обрабатываемым персональным данным;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–</w:t>
            </w:r>
            <w:r>
              <w:rPr>
                <w:rFonts w:ascii="Times" w:hAnsi="Times" w:eastAsia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обнаружение фактов несанкционированного доступа к персональным данным и принятие мер по их пресечению;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–</w:t>
            </w:r>
            <w:r>
              <w:rPr>
                <w:rFonts w:ascii="Times" w:hAnsi="Times" w:eastAsia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проведение оценки эффективности принимаемых мер по обеспечению безопасности персональных данных и контроля принимаемых мер;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4.5.3. что при передаче в контролирующие органы информации, содержащей персональные данные,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4.5.4. что обработка персональных данных осуществляется на территории Российской Федерации.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4.6. Стороны вправе использовать названия друг друга, торговые марки, логотипы и другие идентифицирующие знаки Сторон, а также информацию о факте заключения Договор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а, в том числе путем публикации на сайтах Сторон, публикации и цитирования в прессе, использования в маркетинговых материалах, а также в корпоративных изданиях: буклетах о компании, примерах, решениях и т.д.; ссылок друг на друга в интервью и презентациях.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5. ФИНАНСОВЫЕ УСЛОВИЯ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5.1. Стоимость права использования программы для ЭВМ (лиц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ензионное вознаграждение) определяется в размере 30 000 Прайс-листом Оператора и устанавливается в Спецификации и/или в выставленном счете. Стоимость права использования программы для ЭВМ, внесенной в единый реестр российских программ для электронных вычис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лительных машин и баз данных, НДС не облагается на основании подпункта 26 пункта 2 статьи 149 Налогового кодекса Российской Федерации, не внесенной – включает в себя НДС по ставке, установленной пунктом 3 статьи 164 Налогового кодекса Российской Федерации.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5.2. Стоимость услуг/работ определяется прайс-листом Оператора и устанавливается в Спецификации, в том числе НДС, исчисленный по ставке, установленной пунктом 3 статьи 164 Налогового кодекса Российской Федерации.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5.3. Оператор в течение 5 (Пяти) рабочих дней с момента заключения Договора выставляет счет на оплату лицензионного вознаграждения и услуг/работ.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5.4. Абонент оплачивает счет в течение 7 (Семи) рабочих дней с момента выставления его Оператором путем внесения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10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0 % суммы, определенной в Спецификации, на расчетный счет Оператора. Оставшиеся 70% перечисляются в течение 7 (Семи) рабочих дней с момента подписания Сторонами акта сдачи-приемки с соблюдением сроков, установленных разделом 6 Договора.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5.5. Общая цена Договора определяется Спецификацией, является фиксированной и не может изменяться в ходе его исполнения, за исключением случаев, установленных действующим законодательством Российской Федерации.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5.6. Счет может быть отправлен Абоненту факсимильной связью, электронной почтой, заказным почтовым отправлением, в электронном виде, подписанным электронной подписью.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5.7. Все расчеты по Договору осуществляются в российских рублях.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6. ПОРЯДОК СДАЧИ-ПРИЕМКИ ПРЕДОСТАВЛЕННЫХ ПРАВ И ОКАЗАННЫХ УСЛУГ/ВЫПОЛНЕННЫХ РАБОТ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6.1. Стороны подтверждают исполнение обязательств по Договору путем подписания актов сдачи-приемки либо УПД. Абонент обязан вернуть Оператору подписанный экземпляр акта сдачи-приемки либо УПД до момента окончания срока, установленного пп.6.3-6.4 Договора.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6.2. Абонент получает подписанный со стороны Оператора комплект документов: счет-фактуру и акт сдачи-приемки либо УПД: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6.2.1 подтверждающий передачу права использования Системы и СКЗИ, а также предоставление права на получение услуг технической поддержки в виде абонентского обслуживания при открытии доступа Абоненту к Системе;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6.2.2. подтверждающий оказание разовых услуг и/или выполнение работ по окончании их оказания/выполнения.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6.3. В случае отсутствия в течение 5 (Пяти) рабочих дней после предоставления доступа к Системе (передачи права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использования) мотивированного отказа от приемки предоставленных прав использования Системы и права на получение услуг технической поддержки в виде абонентского обслуживания в письменном виде переданные права признаются принятыми Абонентом в полном объеме.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6.4. В случае отсутствия в течение 5 (Пяти)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рабочих дней после оказания разовых услуг и/или выполнения работ Оператором мотивированного отказа от приемки оказанных услуг/выполненных работ в письменном виде оказанные Оператором услуги/выполненные работы признаются принятыми Абонентом в полном объеме.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6.5. Мотивирован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ный отказ от приемки предоставленных прав, оказанных услуг/выполненных работ может быть отправлен Оператору факсимильной связью или электронной почтой с последующим отправлением оригинала по почте, либо в электронном виде, подписанным электронной подписью.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7. КОНФИДЕНЦИАЛЬНОСТЬ ИНФОРМАЦИИ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7.1. Стороны обязуются соблюдать конфиденциальность информации, отнесенной сторонами к коммерческой тайне в соответствии с действующим законодательством Российской Федерации и ставшей известной сторонам в процессе исполнения Договора.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7.2. Факт заключения Договора не является конфиденциальной информацией.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8. ОТВЕТСТВЕННОСТЬ СТОРОН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8.1. За невыполнение или ненадлежащее выполнение обязательств по Договору Оператор и Абонент будут нести ответственность в соответствии с действующим законодательством Российской Федерации и условиями Договора.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8.2. Оператор будет нести ответственность за неисполнение функций оператора электронного документооборота в размере реально причиненного ущерба при наличии вины Оператора.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8.3. Оператор будет нести ответственность за утрату, повреждение информации, искажение текста информации, изменившее ее смысл, или недоставку информации адресату в установленные сроки в размере причиненного ущерба при наличии вины Оператора.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8.4. Оператор не будет нести ответственность за утрату, повреждение информации, и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скажение текста информации, изменившее ее смысл, или недоставку информации адресату в установленные сроки, если будет доказано, что такое неисполнение или ненадлежащее исполнение обязательств произошло по вине Абонента или иного участника документооборота.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8.5. Оператор не будет нести ответственность за несоблюдение Абонентом технических требований к рабочему месту, пользовательской документации, отсутствие у Абонента подключени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я к Интернету, за функционирование Системы и СКЗИ на неисправном компьютере, либо компьютере, зараженном каким-либо компьютерным вирусом, использование несертифицированного СКЗИ, а также при использовании Абонентом нелицензионного программного обеспечения.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8.6. Оператор не будет нести ответственность за содержание и достоверность информации, циркулирующей в Системе.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8.7. Оператор не будет нести ответственность за прямые или косвенные убытки, включая упущенную выгоду, возникшие в результате применения Системы, за исключением случаев, прямо установленных Договором.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8.8. Оператор не будет нести ответственность за невозможность использования Системы по причинам, не зависящим от Оператора.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8.9. Оператор не будет нести ответственн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ость за неполное и/или несвоевременное представление Абонентом отчетности, а также совершение/не совершение Абонентом иных действий, необходимых для организации электронного документооборота по телекоммуникационным каналам связи с контролирующими органами.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8.10. Оператор не будет нести ответственность за ущерб, понесенный Абонентом в результате несоблюдения им Положения ПКЗ-2005 и Правил.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8.11. Оператор не будет нести ответственность за возникшие у Абонента убытки, вызванные техническими проблемами, в случае если Абонент нарушит обязательство, установленное пунктом 4.2.8 Договора.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8.12. Совокупный размер ответственности Оператора, включая любые у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бытки (в случае если Абонент в конкретном случае имеет право на их возмещение), не может превышать стоимости прав, услуг и работ, которые были реализованы Оператором Абоненту по Договору в течение одного года, предшествующего моменту возникновения убытков.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8.13. Стороны освобождаются от ответственн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ости за неисполнение или ненадлежащее исполнение условий Договора в случае наступления обстоятельств непреодолимой силы (форс-мажор), определяемых в соответствии с действующим законодательством Российской Федерации, если они предъявляют доказательства того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, что эти обстоятельства воспрепятствовали исполнению обязательств по Договору. Такими доказательствами являются документы компетентных органов Российской Федерации. С момента устранения обстоятельств непреодолимой силы Договор действует в обычном порядке.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9. ПОРЯДОК РАЗРЕШЕНИЯ СПОРОВ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9.1. Все споры и разногласия, возникающие в связи с исполнением и (или) толкованием Договора, разрешаются Сторонами путем переговоров.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9.2. При невозможности урегулирования Сторонами возникших разногласий путем переговоров, спор подлежит разрешению в порядке арбитраж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ного судопроизводства в соответствии с общими правилами подсудности, с обязательным соблюдением претензионного порядка урегулирования споров и разногласий. Срок ответа на претензию 30 (Тридцать) календарных дней с момента ее поступления в письменной форме.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10. СРОК ДЕЙСТВИЯ ДОГОВОРА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10.1. Договор вступает в силу с 01.01.202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6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 года  и действует до 31.12.202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7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 года. А в части исполнения обязательств – до полного исполнения обязательств Сторонами.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11. ПОРЯДОК ИЗМЕНЕНИЯ, ДОПОЛНЕНИЯ И РАСТОРЖЕНИЯ ДОГОВОРА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11.1. Любые изменения и/или дополнения к Договору оформляются дополнительным соглашением, которое подписывается обеими Сторонами в том же порядке, что и Договор.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11.2. Договор расторгается в случаях, предусмотренных законодательством Российской Федерации и Договором.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11.3. В случае нарушения Абонентом условий Договора в части оплаты Оператор вправе незамедлительно блокировать доступ к Системе без предварительного уведомления Абонента до полного погашения задолженности Абонентом.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11.4. Любая из Сторон вправе в одностороннем порядке отказаться от исполнения Договора, известив об этом другую Сторон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у в письменной форме путем направления уведомления за 30 (тридцать) дней до предполагаемой даты отказа. Тридцатидневный срок исчисляется от даты получения одной из Сторон уведомления об отказе от Договора в письменном виде или средствами электронной связи.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11.5. Односторонний отказ Абонента от Договора в соответствии с п. 11.4 Договора не влечет за собой блокирования доступа Абоненту к Системе, а также не служит основанием для возврата лицензионного вознаграждения.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12. ЗАВЕРЕНИЯ ОБ ОБСТОЯТЕЛЬСТВАХ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12.1. Каждая из Сторон заявляет и подтверждает другой Стороне, что на момент заключения Договора: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- является надлежащим образом зарегистрированным юридическим лицом/индивидуальным предпринимателем, состоит на налоговом учете и правомерно осуществляет свою деятельность в соответствии с законодательством Российской Федерации;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- фактически находится по адресу, указанному в ЕГРЮЛ/ЕГРИП;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- располагает полномочиями, денежными, материальными и трудовыми ресурсами, а также прочими условиями, необходимыми для заключения Договора и исполнения обязательств по нему;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- все полномочия, необходимые для заключения Договора и/или осуществления в связи с ним действий, получены должным образом, в том числе получены все необходимые согласия, разрешения, одобрения в соответствии с действующим законодательством.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12.2. Стороны подтверждают, что: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- Договор заключается добровольно, Стороны не введены в заблуждение относительно правовой природы сделки и/или правовых последствий, которые возникают или могут возникнуть в связи с заключением Договора;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- Договор не нарушает каких-либо прав на объекты интеллектуальной собственности или иные имущественные права какого-либо третьего лица;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- Договор заключается в соответствии с действующим законодательством Российской Федерации и не является сделкой, в совершении которой имеется заинтересованность;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- исполнение Договора не влечет за собой нарушение или неисполнение положений каких-либо иных договоров, соглашений, судебных и иных запретов или постановлений.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12.3. Абонент заверяет, что при заключении договоров с лицами, обслуживание которых намеревается осуществлять с использованием Системы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, проявил должную осмотрительность, проверил правоспособность таких лиц и полномочия их представителей. Нарушение указанного заверения может привести к незамедлительному одностороннему отказу Оператора от Договора и блокированию Абоненту доступа к Системе.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12.4. Сторона, полагавшаяся на недостоверные заверени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я другой Стороны, вправе в одностороннем порядке отказаться от Договора, независимо от наличия или отсутствия у нее убытков, в порядке, предусмотренном п. 11.4. Договора, а также потребовать возмещения убытков, причиненных недостоверностью таких заверений.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40" w:after="4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9"/>
                <w:szCs w:val="19"/>
              </w:rPr>
              <w:t xml:space="preserve">13. ДОПОЛНИТЕЛЬНЫЕ УСЛОВИЯ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13.1. Приложения к Договору: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−</w:t>
            </w:r>
            <w:r>
              <w:rPr>
                <w:rFonts w:ascii="Times" w:hAnsi="Times" w:eastAsia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Спецификация (Приложение № 1);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−</w:t>
            </w:r>
            <w:r>
              <w:rPr>
                <w:rFonts w:ascii="Times" w:hAnsi="Times" w:eastAsia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Лицензионный договор (Приложение № 2);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−</w:t>
            </w:r>
            <w:r>
              <w:rPr>
                <w:rFonts w:ascii="Times" w:hAnsi="Times" w:eastAsia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Сублицензионный договор (Приложение № 3).</w:t>
            </w:r>
            <w:r/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13.2. Стороны договорились о возможности использования факсимиле подписи (клише с подписи) уполномоченного лица Оператора для подписания Договора и документов, необходим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ых для его заключения и исполнения, в качестве аналога собственноручной подписи, равнозначного собственноручной подписи. При этом указанные документы имеют такую же юридическую силу, какую бы имели документы, подписанные уполномоченным лицом Оператора собс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твенноручно на основании пункта 2 статьи 160 Гражданского кодекса Российской Федерации. Кроме того, стороны могут использовать для указанных целей квалифицированные электронные подписи Сторон (или их уполномоченных физических лиц), условия признания которы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х установлены статьей 11 Федерального закона «Об электронной подписи», в рамках электронного документооборота в Системе «Диадок», правообладателем которой является Оператор, и использование которой для целей Договора не будет тарифицироваться для Абонента.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13.3. Стороны обязуются информировать друг друга в течение 15 (Пятнадцати) календарных дней об изменении своих реквизитов, указанных в Договоре и возможных пр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иложениях к нему, а также о любых решениях, касающихся их ликвидации, реорганизации как юридического лица. В случае неисполнения указанного обязательства одной из Сторон, другая Сторона не несет ответственности за вызванные таким неисполнением последствия.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13.4. Принимая условия Договора, Абонент дает согласие на получение дополнительной информации и информационных рассылок по указанному при регистрации, а также предоставленному Оператору в ходе исполнения Договора адресу электронной почты и телефону.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13.5. Принимая условия Договора, Абонент подтверждает наличие у него законных оснований для обработки с использованием Системы принадлежащей ему информации.</w:t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  <w:t xml:space="preserve">13.6. Правоотношения, не урегулированные Договором, регулируются в соответствии с действующим законодательством Российской Федерации.</w:t>
            </w:r>
            <w:r/>
          </w:p>
          <w:p>
            <w:pPr>
              <w:pStyle w:val="618"/>
              <w:jc w:val="both"/>
              <w:spacing w:before="0" w:after="0" w:line="240" w:lineRule="auto"/>
              <w:widowControl w:val="off"/>
            </w:pPr>
            <w:r>
              <w:t xml:space="preserve">13.7. Договор составлен в двух подлинных экземплярах, имеющих равную юридическую силу, по одному экземпляру для каждой из Сторон.</w:t>
            </w:r>
            <w:r/>
          </w:p>
        </w:tc>
      </w:tr>
      <w:tr>
        <w:tblPrEx/>
        <w:trPr>
          <w:cantSplit/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374" w:type="dxa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>
              <w:tblPrEx/>
              <w:trPr>
                <w:cantSplit/>
                <w:gridAfter w:val="3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10372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both"/>
                    <w:spacing w:before="100" w:after="10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  <w:t xml:space="preserve">14. СВЕДЕНИЯ ОБ ОПЕРАТОРЕ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Полное фирменное наименование: __________________________________________________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Сокращенное фирменное наименование: _______________________________________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Юридический , Фактический адрес: _______________________________________________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ИНН ___________ КПП 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Р/счет № ____________________________________________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__________________________________________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кор/счет ____________________________________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БИК ____________________________________________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  <w:lang w:val="en-US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Сайт: </w:t>
                  </w:r>
                  <w:r>
                    <w:fldChar w:fldCharType="begin"/>
                  </w:r>
                  <w:r>
                    <w:instrText xml:space="preserve"> HYPERLINK "http://www.kontur-extern.ru/"</w:instrText>
                  </w:r>
                  <w:r>
                    <w:fldChar w:fldCharType="separate"/>
                  </w:r>
                  <w:r>
                    <w:rPr>
                      <w:rStyle w:val="620"/>
                      <w:rFonts w:ascii="Times" w:hAnsi="Times" w:cs="Times"/>
                      <w:color w:val="0000cd"/>
                      <w:sz w:val="19"/>
                      <w:szCs w:val="19"/>
                    </w:rPr>
                    <w:t xml:space="preserve">www.kontur-extern.ru</w:t>
                  </w:r>
                  <w:r>
                    <w:rPr>
                      <w:rStyle w:val="620"/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.</w:t>
                  </w:r>
                  <w:r>
                    <w:fldChar w:fldCharType="end"/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  <w:lang w:val="en-US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  <w:lang w:val="en-US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  <w:lang w:val="en-US"/>
                    </w:rPr>
                    <w:t xml:space="preserve">e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-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  <w:lang w:val="en-US"/>
                    </w:rPr>
                    <w:t xml:space="preserve">mail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: _________________________________________________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Служба технической поддержки: ________________________________________________</w:t>
                  </w: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100" w:after="10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  <w:t xml:space="preserve">15. СВЕДЕНИЯ ОБ АБОНЕНТЕ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Наименование: МТУ РОСИМУЩЕСТВА В МУРМАНСКОЙ ОБЛАСТИ И РЕСПУБЛИКЕ КАРЕЛИЯ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Юридический адрес: 183006, Мурманская обл, г Мурманск, ул. Пушкинская, дом 12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ИНН 5190915348 КПП 519001001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Р/счет №                                         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в                   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кор/счет №                                         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БИК                   </w:t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 </w:t>
                  </w:r>
                  <w:r/>
                </w:p>
              </w:tc>
            </w:tr>
            <w:tr>
              <w:tblPrEx/>
              <w:trPr>
                <w:cantSplit/>
                <w:gridAfter w:val="2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259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  <w:t xml:space="preserve">16. ПОДПИСИ СТОРОН</w:t>
                  </w: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</w:p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</w:p>
              </w:tc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777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spacing w:before="0" w:after="160"/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b/>
                      <w:bCs/>
                      <w:color w:val="000000"/>
                      <w:sz w:val="19"/>
                      <w:szCs w:val="19"/>
                    </w:rPr>
                  </w:r>
                </w:p>
              </w:tc>
            </w:tr>
            <w:tr>
              <w:tblPrEx/>
              <w:trPr>
                <w:cantSplit/>
                <w:gridAfter w:val="2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186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ОПЕРАТОР</w:t>
                  </w:r>
                  <w:r/>
                </w:p>
              </w:tc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186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АБОНЕНТ</w:t>
                  </w:r>
                  <w:r/>
                </w:p>
              </w:tc>
            </w:tr>
            <w:tr>
              <w:tblPrEx/>
              <w:trPr>
                <w:cantSplit/>
                <w:trHeight w:val="170"/>
              </w:trPr>
              <w:tc>
                <w:tcPr>
                  <w:tcBorders>
                    <w:bottom w:val="single" w:color="000000" w:sz="6" w:space="0"/>
                  </w:tcBorders>
                  <w:tcW w:w="259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</w:tc>
              <w:tc>
                <w:tcPr>
                  <w:tcW w:w="259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.</w:t>
                  </w:r>
                  <w:r/>
                </w:p>
              </w:tc>
              <w:tc>
                <w:tcPr>
                  <w:tcBorders>
                    <w:bottom w:val="single" w:color="000000" w:sz="6" w:space="0"/>
                  </w:tcBorders>
                  <w:tcW w:w="259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</w:r>
                </w:p>
              </w:tc>
              <w:tc>
                <w:tcPr>
                  <w:tcW w:w="259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both"/>
                    <w:spacing w:before="0" w:after="0" w:line="240" w:lineRule="auto"/>
                    <w:widowControl w:val="off"/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                                                  </w:t>
                  </w:r>
                  <w:r/>
                </w:p>
              </w:tc>
            </w:tr>
            <w:tr>
              <w:tblPrEx/>
              <w:trPr>
                <w:cantSplit/>
                <w:gridAfter w:val="2"/>
                <w:trHeight w:val="170"/>
              </w:trPr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186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spacing w:before="0" w:after="0" w:line="240" w:lineRule="auto"/>
                    <w:widowControl w:val="off"/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М.П.</w:t>
                  </w:r>
                  <w:r/>
                </w:p>
              </w:tc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186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spacing w:before="0" w:after="0" w:line="240" w:lineRule="auto"/>
                    <w:widowControl w:val="off"/>
                  </w:pPr>
                  <w:r>
                    <w:rPr>
                      <w:rFonts w:ascii="Times" w:hAnsi="Times" w:cs="Times"/>
                      <w:color w:val="000000"/>
                      <w:sz w:val="19"/>
                      <w:szCs w:val="19"/>
                    </w:rPr>
                    <w:t xml:space="preserve">М.П.</w:t>
                  </w:r>
                  <w:r/>
                </w:p>
              </w:tc>
            </w:tr>
          </w:tbl>
          <w:p>
            <w:pPr>
              <w:pStyle w:val="618"/>
              <w:jc w:val="both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  <w:r>
              <w:rPr>
                <w:rFonts w:ascii="Times" w:hAnsi="Times" w:cs="Times"/>
                <w:color w:val="000000"/>
                <w:sz w:val="19"/>
                <w:szCs w:val="19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467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 xml:space="preserve">Приложение 1</w:t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</w:p>
          <w:p>
            <w:pPr>
              <w:pStyle w:val="618"/>
              <w:jc w:val="right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 xml:space="preserve">к Договору № ____ от _______ г.</w:t>
            </w: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r>
          </w:p>
          <w:p>
            <w:pPr>
              <w:pStyle w:val="618"/>
              <w:ind w:left="2834" w:right="0" w:firstLine="0"/>
              <w:spacing w:before="0" w:after="17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 xml:space="preserve">Спецификация №__ от ___</w:t>
            </w:r>
            <w:r/>
          </w:p>
        </w:tc>
      </w:tr>
    </w:tbl>
    <w:p>
      <w:pPr>
        <w:pStyle w:val="618"/>
        <w:spacing w:before="0" w:after="113" w:line="240" w:lineRule="auto"/>
        <w:widowControl w:val="off"/>
        <w:rPr>
          <w:rFonts w:ascii="Times" w:hAnsi="Times" w:cs="Times"/>
          <w:b/>
          <w:bCs/>
          <w:color w:val="000000"/>
          <w:sz w:val="18"/>
          <w:szCs w:val="18"/>
        </w:rPr>
      </w:pPr>
      <w:r>
        <w:t xml:space="preserve">1. </w:t>
      </w:r>
      <w:r>
        <w:t xml:space="preserve">Право использования программы для ЭВМ "Контур.Экстерн", лицензия для дополнительного пользователя "Стандартная" к тарифному плану сроком на 2 года, с применением встроенных в сертификат/ключевой контейнер СКЗИ "КриптоПро CSP"</w:t>
      </w:r>
      <w:r/>
      <w:r>
        <w:rPr>
          <w:rFonts w:ascii="Times" w:hAnsi="Times" w:cs="Times"/>
          <w:b/>
          <w:bCs/>
          <w:color w:val="000000"/>
          <w:sz w:val="18"/>
          <w:szCs w:val="18"/>
        </w:rPr>
      </w:r>
    </w:p>
    <w:tbl>
      <w:tblPr>
        <w:tblW w:w="0" w:type="auto"/>
        <w:tblInd w:w="0" w:type="dxa"/>
        <w:tblLayout w:type="fixed"/>
        <w:tblCellMar>
          <w:left w:w="56" w:type="dxa"/>
          <w:top w:w="28" w:type="dxa"/>
          <w:right w:w="56" w:type="dxa"/>
          <w:bottom w:w="28" w:type="dxa"/>
        </w:tblCellMar>
        <w:tblLook w:val="04A0" w:firstRow="1" w:lastRow="0" w:firstColumn="1" w:lastColumn="0" w:noHBand="0" w:noVBand="1"/>
      </w:tblPr>
      <w:tblGrid>
        <w:gridCol w:w="340"/>
        <w:gridCol w:w="3629"/>
        <w:gridCol w:w="567"/>
        <w:gridCol w:w="768"/>
        <w:gridCol w:w="907"/>
        <w:gridCol w:w="1247"/>
        <w:gridCol w:w="1190"/>
        <w:gridCol w:w="850"/>
        <w:gridCol w:w="1247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№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29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Наименование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Ед.</w:t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изм.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Кол-во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Цена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Стоимость без налога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90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Налоговая ставка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Сумма налога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 xml:space="preserve">Стоимость с налогом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29" w:type="dxa"/>
            <w:vAlign w:val="center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</w:pPr>
            <w:r/>
            <w:r>
              <w:t xml:space="preserve">Право использования программы для ЭВМ "Контур.Экстерн", лицензия для дополнительного пользователя "Стандартная" к тарифному плану сроком на 2 года, с применением встроенных в сертификат/ключевой контейнер СКЗИ "КриптоПро CSP"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68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0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9 583,33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90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648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 xml:space="preserve">ИТОГО: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7" w:type="dxa"/>
            <w:vAlign w:val="center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618"/>
        <w:spacing w:before="226" w:after="0" w:line="240" w:lineRule="auto"/>
        <w:widowControl w:val="off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 xml:space="preserve">3. Общая стоимость настоящей Спецификации составляет:   _________ </w:t>
      </w:r>
      <w:r>
        <w:rPr>
          <w:rFonts w:ascii="Times" w:hAnsi="Times" w:cs="Times"/>
          <w:color w:val="000000"/>
          <w:sz w:val="17"/>
          <w:szCs w:val="17"/>
        </w:rPr>
      </w:r>
      <w:r>
        <w:rPr>
          <w:rFonts w:ascii="Times" w:hAnsi="Times" w:cs="Times"/>
          <w:color w:val="000000"/>
          <w:sz w:val="17"/>
          <w:szCs w:val="17"/>
        </w:rPr>
      </w:r>
    </w:p>
    <w:p>
      <w:pPr>
        <w:pStyle w:val="618"/>
        <w:spacing w:before="56" w:after="0" w:line="240" w:lineRule="auto"/>
        <w:widowControl w:val="off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 xml:space="preserve">Итоговая сумма прописью: _______________</w:t>
      </w:r>
      <w:r>
        <w:rPr>
          <w:rFonts w:ascii="Times" w:hAnsi="Times" w:cs="Times"/>
          <w:color w:val="000000"/>
          <w:sz w:val="17"/>
          <w:szCs w:val="17"/>
        </w:rPr>
      </w:r>
      <w:r>
        <w:rPr>
          <w:rFonts w:ascii="Times" w:hAnsi="Times" w:cs="Times"/>
          <w:color w:val="000000"/>
          <w:sz w:val="17"/>
          <w:szCs w:val="17"/>
        </w:rPr>
      </w:r>
    </w:p>
    <w:p>
      <w:pPr>
        <w:pStyle w:val="618"/>
        <w:spacing w:before="0" w:after="226" w:line="240" w:lineRule="auto"/>
        <w:widowControl w:val="off"/>
        <w:rPr>
          <w:rFonts w:ascii="Times" w:hAnsi="Times" w:cs="Times"/>
          <w:b/>
          <w:bCs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 xml:space="preserve">в том числе НДС, исчисленный по ставке, установленной п. 3 ст. 164 Налогового кодекса Российской Федерации: ___________</w:t>
      </w:r>
      <w:r>
        <w:rPr>
          <w:rFonts w:ascii="Times" w:hAnsi="Times" w:cs="Times"/>
          <w:b/>
          <w:bCs/>
          <w:color w:val="000000"/>
          <w:sz w:val="17"/>
          <w:szCs w:val="17"/>
        </w:rPr>
      </w:r>
      <w:r>
        <w:rPr>
          <w:rFonts w:ascii="Times" w:hAnsi="Times" w:cs="Times"/>
          <w:b/>
          <w:bCs/>
          <w:color w:val="000000"/>
          <w:sz w:val="17"/>
          <w:szCs w:val="17"/>
        </w:rPr>
      </w:r>
    </w:p>
    <w:p>
      <w:pPr>
        <w:pStyle w:val="618"/>
        <w:spacing w:before="226" w:after="226" w:line="240" w:lineRule="auto"/>
        <w:widowControl w:val="off"/>
      </w:pPr>
      <w:r>
        <w:rPr>
          <w:rFonts w:ascii="Times" w:hAnsi="Times" w:cs="Times"/>
          <w:b/>
          <w:bCs/>
          <w:color w:val="000000"/>
          <w:sz w:val="17"/>
          <w:szCs w:val="17"/>
        </w:rPr>
        <w:t xml:space="preserve">ВНИМАНИЕ! Стоимость права использования программы для ЭВМ, внесенной в единый реестр российских программ для электронных вычис</w:t>
      </w:r>
      <w:r>
        <w:rPr>
          <w:rFonts w:ascii="Times" w:hAnsi="Times" w:cs="Times"/>
          <w:b/>
          <w:bCs/>
          <w:color w:val="000000"/>
          <w:sz w:val="17"/>
          <w:szCs w:val="17"/>
        </w:rPr>
        <w:t xml:space="preserve">лительных машин и баз данных, НДС не облагается на основании подпункта 26 пункта 2 статьи 149 Налогового кодекса Российской Федерации, не внесенной – включает в себя НДС по ставке, установленной пунктом 3 статьи 164 Налогового кодекса Российской Федерации.</w:t>
      </w:r>
      <w:r/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7"/>
          <w:szCs w:val="17"/>
        </w:rPr>
      </w:pPr>
      <w:r>
        <w:t xml:space="preserve">  </w:t>
      </w:r>
      <w:r>
        <w:rPr>
          <w:rFonts w:ascii="Times" w:hAnsi="Times" w:cs="Times"/>
          <w:b/>
          <w:bCs/>
          <w:color w:val="000000"/>
          <w:sz w:val="17"/>
          <w:szCs w:val="17"/>
        </w:rPr>
      </w:r>
      <w:r>
        <w:rPr>
          <w:rFonts w:ascii="Times" w:hAnsi="Times" w:cs="Times"/>
          <w:b/>
          <w:bCs/>
          <w:color w:val="000000"/>
          <w:sz w:val="17"/>
          <w:szCs w:val="17"/>
        </w:rPr>
      </w:r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650"/>
        <w:gridCol w:w="2650"/>
        <w:gridCol w:w="2650"/>
        <w:gridCol w:w="2650"/>
      </w:tblGrid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0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 xml:space="preserve">ОПЕРАТОР</w:t>
            </w:r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0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 xml:space="preserve">АБОНЕНТ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0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0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 xml:space="preserve">МТУ РОСИМУЩЕСТВА В МУРМАНСКОЙ ОБЛАСТИ И РЕСПУБЛИКЕ КАРЕЛИЯ</w:t>
            </w:r>
            <w:r/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0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0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 xml:space="preserve">                                                  </w:t>
            </w:r>
            <w:r/>
          </w:p>
        </w:tc>
      </w:tr>
      <w:tr>
        <w:tblPrEx/>
        <w:trPr/>
        <w:tc>
          <w:tcPr>
            <w:tcBorders>
              <w:bottom w:val="single" w:color="000000" w:sz="6" w:space="0"/>
            </w:tcBorders>
            <w:tcW w:w="265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</w:p>
        </w:tc>
        <w:tc>
          <w:tcPr>
            <w:tcW w:w="265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</w:p>
        </w:tc>
        <w:tc>
          <w:tcPr>
            <w:tcBorders>
              <w:bottom w:val="single" w:color="000000" w:sz="6" w:space="0"/>
            </w:tcBorders>
            <w:tcW w:w="265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</w:p>
        </w:tc>
        <w:tc>
          <w:tcPr>
            <w:tcW w:w="265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 xml:space="preserve">                                                  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50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5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50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 xml:space="preserve">М.П.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50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  <w:r>
              <w:rPr>
                <w:rFonts w:ascii="Times" w:hAnsi="Times" w:cs="Times"/>
                <w:color w:val="000000"/>
                <w:sz w:val="17"/>
                <w:szCs w:val="17"/>
              </w:rPr>
            </w:r>
          </w:p>
        </w:tc>
      </w:tr>
    </w:tbl>
    <w:p>
      <w:pPr>
        <w:pStyle w:val="618"/>
        <w:sectPr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1906" w:h="16838" w:orient="portrait"/>
          <w:pgMar w:top="623" w:right="623" w:bottom="623" w:left="907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18"/>
        <w:jc w:val="right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Приложение № 2</w:t>
      </w:r>
      <w:r>
        <w:rPr>
          <w:rFonts w:ascii="Times" w:hAnsi="Times" w:cs="Times"/>
          <w:b/>
          <w:bCs/>
          <w:color w:val="000000"/>
          <w:sz w:val="18"/>
          <w:szCs w:val="18"/>
        </w:rPr>
      </w:r>
      <w:r>
        <w:rPr>
          <w:rFonts w:ascii="Times" w:hAnsi="Times" w:cs="Times"/>
          <w:b/>
          <w:bCs/>
          <w:color w:val="000000"/>
          <w:sz w:val="18"/>
          <w:szCs w:val="18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ЛИЦЕНЗИОННЫЙ ДОГОВОР № __________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8277"/>
        <w:gridCol w:w="209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277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____________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97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________.202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5</w:t>
            </w:r>
            <w:r/>
          </w:p>
        </w:tc>
      </w:tr>
    </w:tbl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Лицензионный договор является офертой АО «ПФ «СКБ Контур», именуемого в дальнейшем Лиценз</w:t>
      </w:r>
      <w:r>
        <w:rPr>
          <w:rFonts w:ascii="Times" w:hAnsi="Times" w:cs="Times"/>
          <w:color w:val="000000"/>
          <w:sz w:val="16"/>
          <w:szCs w:val="16"/>
        </w:rPr>
        <w:t xml:space="preserve">иар, Пользователю − физическому или юридическому лицу, именуемому в дальнейшем Лицензиат, заключающему с АО «ПФ «СКБ Контур» договор на предоставление права использования и абонентское обслуживание Системы «Контур.Экстерн». Лицензионный договор признается </w:t>
      </w:r>
      <w:r>
        <w:rPr>
          <w:rFonts w:ascii="Times" w:hAnsi="Times" w:cs="Times"/>
          <w:color w:val="000000"/>
          <w:sz w:val="16"/>
          <w:szCs w:val="16"/>
        </w:rPr>
        <w:t xml:space="preserve">заключенным с момента его акцепта Лицензиатом. Под акцептом в целях Лицензионного договора признается факт оплаты вознаграждения по договору либо факт получения Лицензиатом доступа к серверу Лицензиара, в зависимости от того, какое событие наступит раньше.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1. Термины и определения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1.1. Система «Контур.Экстерн» (далее – Система) – результат интеллектуальной деятельности – программа для ЭВМ (в том числе ее интеграцио</w:t>
      </w:r>
      <w:r>
        <w:rPr>
          <w:rFonts w:ascii="Times" w:hAnsi="Times" w:cs="Times"/>
          <w:color w:val="000000"/>
          <w:sz w:val="16"/>
          <w:szCs w:val="16"/>
        </w:rPr>
        <w:t xml:space="preserve">нные и иные Модули), предназначенная для формирования и представления отчетности, организации электронного документооборота и иных целей. Описания Модулей и их функциональные характеристики содержатся в прайс-листах и пользовательской документации Системы.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2. Предмет Лицензионного договора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2.1. Лицензиар предоставляет Лицензиату право использования Системы на условиях простой (неисключительной) лицензии.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3. Исключительные права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3.1. Лицензиар является обладателем исключительных прав на Систему.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3.2. Свидетельство о государственной регистрации прав на программу для ЭВМ официально публикуется на сайте Лицензиара https://kontur.ru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3.3. Контур.Экстерн внесен в единый реестр российских программ для электронных вычислительных машин и баз данных 29 апреля 2016 г., регистрационный номер 523.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3.4. Право использования Системы передается исключительно Лицензиату, без права передачи третьим лицам.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4. Гарантии Лицензиара. Условия использования (объем предоставляемых прав)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4.1. Лицензиар гарантирует: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4.1.1. что является обладателем исключительных прав на Систему и что в Системе не используются никакие элементы в нарушение прав третьих лиц;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4.1.2. что Система сертифицирована в соответствии с действующим законодательством Российской Федерации. Данные по сертификации расположены на сайте по адресу https://kontur.ru;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4.1.3. что Система будет выполнять функции, описанные в пользовательской документации, публикуемой в Системе и на сайте https://www.kontur-extern.ru;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4.1.4. защиту информации, обрабатываемой на сервере Лицензиара, от несанкционированного доступа;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4.1.5. своевременное обновление вспомогательного программного обеспечения на сервере Лицензиара;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4.1.6. круглосуточную доступность сервера Лицензиара за исключением времени проведения профилактических работ.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4.2. Система передается Лицензиату «как есть» и Лицензиар не гарантирует, что функциональные возможности Системы будут полностью отвечать ожиданиям, потребностям и представлениям Лицензиата.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4.3. Лицензиар оставляет за собой право модификации или выпуска новой версии Системы в любое время и по любой причине, в том числе в целях удовлетворения потребностей Лицензиата или требований конкурентоспосо</w:t>
      </w:r>
      <w:r>
        <w:rPr>
          <w:rFonts w:ascii="Times" w:hAnsi="Times" w:cs="Times"/>
          <w:color w:val="000000"/>
          <w:sz w:val="16"/>
          <w:szCs w:val="16"/>
        </w:rPr>
        <w:t xml:space="preserve">бности, в целях соблюдения действующего законодательства Российской Федерации. Лицензиар оставляет за собой право добавлять новые свойства и функциональные возможности в Систему или удалять из Системы уже существующие свойства и функциональные возможности.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5. Порядок предоставления доступа и способы использования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5.1. Неисключительное право использования Системы предоставляется Лицензиату путем открытия доступа к серверу Лицензиара и необходимым для функционирования Системы дистрибутивам программных компонентов на срок, установленный оплаченным тарифным планом.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При этом Лицензиат может использовать Систему следующими способами: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круглосуточно получать доступ к серверу Лицензиара, за исключением времени проведения профилактических работ и воспроизводить графическую часть (рабочий интерфейс) на экране персонального компьютера;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использовать все функциональные возможности Системы;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не представлять Лицензиару отчеты об использовании Системы;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размножать пользовательскую документацию Системы для личного использования;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использовать Систему для оказания собственных услуг третьим лицам при условии приобретения тарифного плана, предусматривающего такую возможность.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5.2. Неисключительное право и</w:t>
      </w:r>
      <w:r>
        <w:rPr>
          <w:rFonts w:ascii="Times" w:hAnsi="Times" w:cs="Times"/>
          <w:color w:val="000000"/>
          <w:sz w:val="16"/>
          <w:szCs w:val="16"/>
        </w:rPr>
        <w:t xml:space="preserve">спользования Модулей Системы (локальных версий) предоставляется Лицензиату путем передачи экземпляра Модуля на весь срок действия исключительного права Лицензиара на такой Модуль. Порядок и условия предоставления Модуля установлены прайс-листом Лицензиара.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Обновление версий Модуля производится Лицензиаром при условии ежегодной оплаты Лицензиатом соответствующего тарифного плана.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Лицензиат имеет право использовать Модуль следующими способами: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хранить и устанавливать в память ЭВМ;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воспроизводить путем записи в память ЭВМ;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создавать резервные копии.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5.3. Лицензиат не вправе: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использовать Систему в нарушение действующего законодательства;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копировать, модифицировать, декомпилировать, деассемблировать Систему;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использовать Систему в нарушение пользовательской документации;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—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предоставлят</w:t>
      </w:r>
      <w:r>
        <w:rPr>
          <w:rFonts w:ascii="Times" w:hAnsi="Times" w:cs="Times"/>
          <w:color w:val="000000"/>
          <w:sz w:val="16"/>
          <w:szCs w:val="16"/>
        </w:rPr>
        <w:t xml:space="preserve">ь Систему в прокат, в аренду или во временное пользование третьим лицам с целью извлечения прибыли, а также совершать относительно Системы другие действия, нарушающие российские и международные нормы по авторскому праву и использованию программных средств.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6. Территория действия Лицензионного договора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6.1. Лицензионный договор действует на всей территории Российской Федерации.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7. Срок действия Лицензионного договора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7.1. Лицензионный договор действует с момента его акцепта Лицензиатом в течение срока действия договора на предоставление права использования и абонентское обслуживание Системы «Контур.Экстерн».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8. Вознаграждение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8.1. Лицензиат уплачивает по Лицензионному договору вознаграждение Лицензиару в размере и на условиях согласно договору на предоставление права использования и абонентское обслуживание Системы «Контур.Экстерн».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56" w:after="56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9. Прочие условия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  <w:sectPr>
          <w:footnotePr>
            <w:numFmt w:val="decimal"/>
            <w:numRestart w:val="continuous"/>
          </w:footnotePr>
          <w:endnotePr>
            <w:numFmt w:val="lowerRoman"/>
          </w:endnotePr>
          <w:type w:val="nextPage"/>
          <w:pgSz w:w="11906" w:h="16838" w:orient="portrait"/>
          <w:pgMar w:top="623" w:right="623" w:bottom="623" w:left="907" w:header="709" w:footer="709" w:gutter="0"/>
          <w:cols w:num="1" w:sep="0" w:space="1701" w:equalWidth="1"/>
          <w:docGrid w:linePitch="360"/>
        </w:sectPr>
      </w:pPr>
      <w:r>
        <w:rPr>
          <w:rFonts w:ascii="Times" w:hAnsi="Times" w:cs="Times"/>
          <w:color w:val="000000"/>
          <w:sz w:val="16"/>
          <w:szCs w:val="16"/>
        </w:rPr>
        <w:t xml:space="preserve">9.1. Все иные условия, не урегулированные Лицензионным договором, регулируются договором на предоставление права использования и абонентское обслуживание Системы «Контур.Экстерн».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right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Приложение № 3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СУБЛИЦЕНЗИОННЫЙ ДОГОВОР № _______________</w:t>
      </w:r>
      <w:r/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t xml:space="preserve">на использование программы для ЭВМ СКЗИ «КриптоПро»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8277"/>
        <w:gridCol w:w="209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277" w:type="dxa"/>
            <w:vAlign w:val="top"/>
            <w:textDirection w:val="lrTb"/>
            <w:noWrap w:val="false"/>
          </w:tcPr>
          <w:p>
            <w:pPr>
              <w:pStyle w:val="618"/>
              <w:spacing w:before="0" w:after="0" w:line="240" w:lineRule="auto"/>
              <w:widowControl w:val="off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97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spacing w:before="0" w:after="0" w:line="240" w:lineRule="auto"/>
              <w:widowControl w:val="off"/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_________.202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5</w:t>
            </w:r>
            <w:r/>
          </w:p>
        </w:tc>
      </w:tr>
    </w:tbl>
    <w:p>
      <w:pPr>
        <w:pStyle w:val="618"/>
        <w:jc w:val="both"/>
        <w:spacing w:before="0" w:after="56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Сублицензионный договор явля</w:t>
      </w:r>
      <w:r>
        <w:rPr>
          <w:rFonts w:ascii="Times" w:hAnsi="Times" w:cs="Times"/>
          <w:color w:val="000000"/>
          <w:sz w:val="16"/>
          <w:szCs w:val="16"/>
        </w:rPr>
        <w:t xml:space="preserve">ется в дальнейшем Лицензиат, Пользователю − физическому или юридическому лицу, именуемому в дальнейшем Сублицензиат, заключающему с АО «ПФ «СКБ Контур» договор на предоставление права использования и абонентское обслуживание Системы «Контур.Экстерн» (далее</w:t>
      </w:r>
      <w:r>
        <w:rPr>
          <w:rFonts w:ascii="Times" w:hAnsi="Times" w:cs="Times"/>
          <w:color w:val="000000"/>
          <w:sz w:val="16"/>
          <w:szCs w:val="16"/>
        </w:rPr>
        <w:t xml:space="preserve"> – Договор). Сублицензионный договор признается заключенным с момента его акцепта Сублицензиатом. Под акцептом в целях Сублицензионного договора признается факт оплаты вознаграждения по договору, либо факт получения сертификата ключа проверки электронной п</w:t>
      </w:r>
      <w:r>
        <w:rPr>
          <w:rFonts w:ascii="Times" w:hAnsi="Times" w:cs="Times"/>
          <w:color w:val="000000"/>
          <w:sz w:val="16"/>
          <w:szCs w:val="16"/>
        </w:rPr>
        <w:t xml:space="preserve">одписи, в составе которого имеется лицензия на использование программы для ЭВМ СКЗИ «КриптоПро», либо факт передачи Лицензиатом Сублицензиату лицензии на использование программы для ЭВМ СКЗИ «КриптоПро», в зависимости от того какое событие наступит раньше.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1. Термины и определения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1.1. СКЗИ − программа для ЭВМ, средства криптографической защиты информации (средства электронной подписи), включая носители и документацию, или иные программы для ЭВМ, исключительные права на которую принадлежат О</w:t>
      </w:r>
      <w:r>
        <w:rPr>
          <w:rFonts w:ascii="Times" w:hAnsi="Times" w:cs="Times"/>
          <w:color w:val="000000"/>
          <w:sz w:val="16"/>
          <w:szCs w:val="16"/>
        </w:rPr>
        <w:t xml:space="preserve">ОО «Крипто-Про» (далее − Правообладатель). Точное наименование программ устанавливается в Спецификации в случае, если в период действия Договора Стороны согласовывают финансовые условия путем подписания Спецификаций, и/или в выставленном Лицензиатом счете.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1.2. Документация − печатные материалы и носители, содержащие документы в электронном виде. Документация является неотъемлемой частью СКЗИ.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1.3. Сертификат ключа – сертификат ключа проверки электронной подписи.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1.4. Бланк лицензии – документ с указанием серийного номера (лицензионного ключа), предоставляющий право использования СКЗИ на одном рабочем месте с указанием срока действия лицензии.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1.5. Лицензия в составе сертификата ключа – программные алгоритмы, встроенные в сертификат ключа, позволяющие активировать СКЗИ, установленное на рабочем месте. Не сопровождается бланком лицензии.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2. Предмет Сублицензионного договора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2.1. Предметом Сублицензионного догов</w:t>
      </w:r>
      <w:r>
        <w:rPr>
          <w:rFonts w:ascii="Times" w:hAnsi="Times" w:cs="Times"/>
          <w:color w:val="000000"/>
          <w:sz w:val="16"/>
          <w:szCs w:val="16"/>
        </w:rPr>
        <w:t xml:space="preserve">ора является возмездная передача Лицензиатом неисключительных прав использования СКЗИ Сублицензиату (простая (неисключительная) лицензия). Сублицензиат не имеет права передавать третьим лицам права, принадлежащие ему на основании Сублицензионного договора.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2.2. Право использования СКЗИ предоставляется только Сублицензиату (и никаким иным третьим</w:t>
      </w:r>
      <w:r>
        <w:rPr>
          <w:rFonts w:ascii="Times" w:hAnsi="Times" w:cs="Times"/>
          <w:color w:val="000000"/>
          <w:sz w:val="16"/>
          <w:szCs w:val="16"/>
        </w:rPr>
        <w:t xml:space="preserve"> лицам), за исключением случаев, когда Договором предусмотрено наличие Конечных пользователей, список которых устанавливается в указанном договоре или приложении к нему. В таких случаях право использования СКЗИ предоставляется также Конечным пользователям.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3. Исключительные права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3.1. СКЗИ является результатом интеллектуальной деятельности Правообладателя и защищается законодательством Российской Федерации об авторском праве.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3.2. Средство криптографической защиты информации «КриптоПро</w:t>
      </w:r>
      <w:r>
        <w:rPr>
          <w:rFonts w:ascii="Times" w:hAnsi="Times" w:cs="Times"/>
          <w:color w:val="000000"/>
          <w:sz w:val="16"/>
          <w:szCs w:val="16"/>
        </w:rPr>
        <w:t xml:space="preserve"> CSP» (версия 4.0) внесено в единый реестр российских программ для электронных вычислительных машин и баз данных 29.04.2016, регистрационный номер 515. Средство криптографической защиты информации «КриптоПро CSP» (версия 5.0) внесено в единый реестр россий</w:t>
      </w:r>
      <w:r>
        <w:rPr>
          <w:rFonts w:ascii="Times" w:hAnsi="Times" w:cs="Times"/>
          <w:color w:val="000000"/>
          <w:sz w:val="16"/>
          <w:szCs w:val="16"/>
        </w:rPr>
        <w:t xml:space="preserve">ских программ для электронных вычислительных машин и баз данных 29.03.2018, регистрационный номер 4332. Лицензия в составе сертификата ключа позволяет Сублицензиату активировать СКЗИ версии 4.0 либо версии 5.0, установленное на рабочем месте Сублицензиата.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3.3. Право использования СКЗИ предоставляется Сублицензиату исключительно в объеме, оговоренном Сублицензионным договором, если нет письменного согласия Правообладателя на иное.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4. Условия использования СКЗИ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4.1. Сублицензиат имеет право использовать СКЗИ на одном рабочем месте (или сервере</w:t>
      </w:r>
      <w:r>
        <w:rPr>
          <w:rFonts w:ascii="Times" w:hAnsi="Times" w:cs="Times"/>
          <w:color w:val="000000"/>
          <w:sz w:val="16"/>
          <w:szCs w:val="16"/>
        </w:rPr>
        <w:t xml:space="preserve">) в соответствии с объемом и типом приобретенных Лицензий, назначением и правилами пользования, изложенными в эксплуатационной документации, следующими способами: хранить и устанавливать СКЗИ в память ЭВМ, воспроизводить СКЗИ путем его записи в память ЭВМ.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4.2. Сублицензиат обязуется не распространять СКЗИ третьим лицам путем продажи, проката, сдачи внаем, предоставления взаймы или иными другими способами отчуждения.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4.3. Сублицензиат не имеет права осуществлять следующую деятельность: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−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допускать использование СКЗИ лицами, не имеющими прав на такое использование;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−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дизассемблировать (анализировать и исследовать объектный код), декомпилировать (преобразовывать объектный код в исходный текст), адаптировать и модифицировать СКЗИ;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−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вносить какие-либо изменения в объектный код программ за исключением тех, которые вносятся средствами, включенными в комплект СКЗИ, и описанными в документации;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−</w:t>
      </w:r>
      <w:r>
        <w:rPr>
          <w:rFonts w:ascii="Times" w:hAnsi="Times" w:eastAsia="Times" w:cs="Times"/>
          <w:color w:val="000000"/>
          <w:sz w:val="16"/>
          <w:szCs w:val="16"/>
        </w:rPr>
        <w:t xml:space="preserve"> </w:t>
      </w:r>
      <w:r>
        <w:rPr>
          <w:rFonts w:ascii="Times" w:hAnsi="Times" w:cs="Times"/>
          <w:color w:val="000000"/>
          <w:sz w:val="16"/>
          <w:szCs w:val="16"/>
        </w:rPr>
        <w:t xml:space="preserve">совершать относительно СКЗИ другие действия, нарушающие российские и международные нормы по авторскому праву и использованию программных средств.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5. Территория действия Сублицензионного договора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5.1. Сублицензионный договор действует на всей территории Российской Федерации.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6. Срок действия Сублицензионного договора и передаваемых прав использования (лицензии)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6</w:t>
      </w:r>
      <w:r>
        <w:rPr>
          <w:rFonts w:ascii="Times" w:hAnsi="Times" w:cs="Times"/>
          <w:color w:val="000000"/>
          <w:sz w:val="16"/>
          <w:szCs w:val="16"/>
        </w:rPr>
        <w:t xml:space="preserve">.1. Сублицензионный договор вступает в силу с момента его акцепта Сублицензиатом и действует в течение срока, установленного заключенным между Лицензиатом и Сублицензиатом Договором и автоматически пролонгируется на срок и по условиям пролонгации Договора.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6.2. Передача бессрочных лицензий осуществляется на весь период действия исключительного права Правообладателя.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6.3. Передача лицензий в составе сертификата ключа осуществляется на срок, указанный в таком сертификате. В случае досрочного прекращения срока действия сертификата ключа по любой причине – досрочно прекращается срок действия лицензии.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6.4. После окончания срока действия сертификата ключа при условии сохранения ключа электронной подписи (закрытого ключа) лицензия в составе сертификата ключа позволяет производить операции расшифрования и проверки электронной подписи.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6.5. В</w:t>
      </w:r>
      <w:r>
        <w:rPr>
          <w:rFonts w:ascii="Times" w:hAnsi="Times" w:cs="Times"/>
          <w:color w:val="000000"/>
          <w:sz w:val="16"/>
          <w:szCs w:val="16"/>
        </w:rPr>
        <w:t xml:space="preserve"> случае нарушения условий Сублицензионного договора или неспособности далее выполнять его условия, все компоненты СКЗИ (включая печатные материалы, магнитные носители, файлы с информацией, архивные копии) должны быть уничтожены, бланки лицензий возвращены.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7. Вознаграждение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7.1.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Договору.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7.2. Общий размер лицензионного вознаграждения определяется объемом и типом (количеством) приобретаемых Лицензий и/или Лицензий в составе сертификата ключа.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7.3. Количество лицензий и общий размер лицензионного вознаграждения устанавливаются Лицензиатом в Договоре.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8. Ответственность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8.1. Сублицензиат приобр</w:t>
      </w:r>
      <w:r>
        <w:rPr>
          <w:rFonts w:ascii="Times" w:hAnsi="Times" w:cs="Times"/>
          <w:color w:val="000000"/>
          <w:sz w:val="16"/>
          <w:szCs w:val="16"/>
        </w:rPr>
        <w:t xml:space="preserve">етает право использования СКЗИ в объеме, оговоренном Сублицензионным договором, и несет ответственность за его использование в соответствии с рекомендациями, изложенными в эксплуатационной документации, и действующим законодательством Российской Федерации.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b/>
          <w:bCs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8.2. Незаконное использование СКЗИ является нарушением законодательства Российской Федерации и преследуется по закону.</w:t>
      </w:r>
      <w:r>
        <w:rPr>
          <w:rFonts w:ascii="Times" w:hAnsi="Times" w:cs="Times"/>
          <w:b/>
          <w:bCs/>
          <w:color w:val="000000"/>
          <w:sz w:val="16"/>
          <w:szCs w:val="16"/>
        </w:rPr>
      </w:r>
      <w:r>
        <w:rPr>
          <w:rFonts w:ascii="Times" w:hAnsi="Times" w:cs="Times"/>
          <w:b/>
          <w:bCs/>
          <w:color w:val="000000"/>
          <w:sz w:val="16"/>
          <w:szCs w:val="16"/>
        </w:rPr>
      </w:r>
    </w:p>
    <w:p>
      <w:pPr>
        <w:pStyle w:val="618"/>
        <w:jc w:val="center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b/>
          <w:bCs/>
          <w:color w:val="000000"/>
          <w:sz w:val="16"/>
          <w:szCs w:val="16"/>
        </w:rPr>
        <w:t xml:space="preserve">9. Гарантии изготовителя (Правообладателя)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9.1. Правооблад</w:t>
      </w:r>
      <w:r>
        <w:rPr>
          <w:rFonts w:ascii="Times" w:hAnsi="Times" w:cs="Times"/>
          <w:color w:val="000000"/>
          <w:sz w:val="16"/>
          <w:szCs w:val="16"/>
        </w:rPr>
        <w:t xml:space="preserve">атель СКЗИ гарантирует работоспособность СКЗИ при условии его эксплуатации на оборудовании, соответствующем техническим требованиям, изложенным в эксплуатационной документации, и отсутствия несанкционированного вмешательства в работу СКЗИ на низком уровне.</w:t>
      </w:r>
      <w:r>
        <w:rPr>
          <w:rFonts w:ascii="Times" w:hAnsi="Times" w:cs="Times"/>
          <w:color w:val="000000"/>
          <w:sz w:val="16"/>
          <w:szCs w:val="16"/>
        </w:rPr>
      </w:r>
      <w:r>
        <w:rPr>
          <w:rFonts w:ascii="Times" w:hAnsi="Times" w:cs="Times"/>
          <w:color w:val="000000"/>
          <w:sz w:val="16"/>
          <w:szCs w:val="16"/>
        </w:rPr>
      </w:r>
    </w:p>
    <w:p>
      <w:pPr>
        <w:pStyle w:val="618"/>
        <w:jc w:val="both"/>
        <w:spacing w:before="0" w:after="0" w:line="240" w:lineRule="auto"/>
        <w:widowControl w:val="off"/>
        <w:rPr>
          <w:rFonts w:ascii="Times" w:hAnsi="Times" w:cs="Times"/>
          <w:color w:val="000000"/>
          <w:sz w:val="16"/>
          <w:szCs w:val="16"/>
        </w:rPr>
      </w:pPr>
      <w:r>
        <w:rPr>
          <w:rFonts w:ascii="Times" w:hAnsi="Times" w:cs="Times"/>
          <w:color w:val="000000"/>
          <w:sz w:val="16"/>
          <w:szCs w:val="16"/>
        </w:rPr>
        <w:t xml:space="preserve">9.2. Гарантийный срок эксплуатации СКЗИ устанавливается 12 (двенадцать) месяцев с момента установки СКЗИ на рабочем месте пользователя СКЗИ при условии наличия у него лицензии на использование СКЗИ.</w:t>
      </w:r>
      <w:r>
        <w:rPr>
          <w:rFonts w:ascii="Times" w:hAnsi="Times" w:cs="Times"/>
          <w:color w:val="000000"/>
          <w:sz w:val="16"/>
          <w:szCs w:val="16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623" w:right="623" w:bottom="623" w:left="907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00603000000000000"/>
  </w:font>
  <w:font w:name="Droid Sans Fallback">
    <w:panose1 w:val="020B0502000000000001"/>
  </w:font>
  <w:font w:name="Droid Sans Devanagari">
    <w:panose1 w:val="020B060603080402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table" w:styleId="61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18" w:default="1">
    <w:name w:val="Normal"/>
    <w:next w:val="618"/>
    <w:pPr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character" w:styleId="619">
    <w:name w:val="Основной шрифт абзаца"/>
    <w:next w:val="619"/>
    <w:link w:val="618"/>
  </w:style>
  <w:style w:type="character" w:styleId="620">
    <w:name w:val="Интернет-ссылка"/>
    <w:next w:val="620"/>
    <w:link w:val="618"/>
    <w:rPr>
      <w:color w:val="000080"/>
      <w:u w:val="single"/>
    </w:rPr>
  </w:style>
  <w:style w:type="paragraph" w:styleId="621">
    <w:name w:val="Заголовок"/>
    <w:basedOn w:val="618"/>
    <w:next w:val="622"/>
    <w:link w:val="618"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622">
    <w:name w:val="Основной текст"/>
    <w:basedOn w:val="618"/>
    <w:next w:val="622"/>
    <w:link w:val="618"/>
    <w:pPr>
      <w:spacing w:before="0" w:after="140" w:line="276" w:lineRule="auto"/>
    </w:pPr>
  </w:style>
  <w:style w:type="paragraph" w:styleId="623">
    <w:name w:val="Список"/>
    <w:basedOn w:val="622"/>
    <w:next w:val="623"/>
    <w:link w:val="618"/>
    <w:rPr>
      <w:rFonts w:cs="Droid Sans Devanagari"/>
    </w:rPr>
  </w:style>
  <w:style w:type="paragraph" w:styleId="624">
    <w:name w:val="Название"/>
    <w:basedOn w:val="618"/>
    <w:next w:val="624"/>
    <w:link w:val="618"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625">
    <w:name w:val="Указатель"/>
    <w:basedOn w:val="618"/>
    <w:next w:val="625"/>
    <w:link w:val="618"/>
    <w:pPr>
      <w:suppressLineNumbers/>
    </w:pPr>
    <w:rPr>
      <w:rFonts w:cs="Droid Sans Devanagari"/>
    </w:rPr>
  </w:style>
  <w:style w:type="paragraph" w:styleId="626">
    <w:name w:val="Содержимое таблицы"/>
    <w:basedOn w:val="618"/>
    <w:next w:val="626"/>
    <w:link w:val="618"/>
    <w:pPr>
      <w:widowControl w:val="off"/>
      <w:suppressLineNumbers/>
    </w:pPr>
  </w:style>
  <w:style w:type="paragraph" w:styleId="627">
    <w:name w:val="Заголовок таблицы"/>
    <w:basedOn w:val="626"/>
    <w:next w:val="627"/>
    <w:link w:val="618"/>
    <w:pPr>
      <w:jc w:val="center"/>
      <w:suppressLineNumbers/>
    </w:pPr>
    <w:rPr>
      <w:b/>
      <w:bCs/>
    </w:rPr>
  </w:style>
  <w:style w:type="character" w:styleId="2798" w:default="1">
    <w:name w:val="Default Paragraph Font"/>
    <w:uiPriority w:val="1"/>
    <w:semiHidden/>
    <w:unhideWhenUsed/>
  </w:style>
  <w:style w:type="numbering" w:styleId="279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Прыгунов Александр Сергеевич</dc:creator>
  <cp:lastModifiedBy>e.alekseeva</cp:lastModifiedBy>
  <cp:revision>13</cp:revision>
  <dcterms:created xsi:type="dcterms:W3CDTF">2021-12-09T15:07:00Z</dcterms:created>
  <dcterms:modified xsi:type="dcterms:W3CDTF">2026-08-03T18:10:53Z</dcterms:modified>
</cp:coreProperties>
</file>