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b/>
          <w:sz w:val="23"/>
          <w:szCs w:val="23"/>
        </w:rPr>
      </w:pPr>
      <w:r>
        <w:rPr>
          <w:b/>
          <w:sz w:val="23"/>
          <w:szCs w:val="23"/>
        </w:rPr>
        <w:t>ГОСУДАРСТВЕННЫЙ КОНТРАКТ №______________</w:t>
      </w:r>
    </w:p>
    <w:p>
      <w:pPr>
        <w:pStyle w:val="Standard"/>
        <w:jc w:val="center"/>
        <w:rPr>
          <w:b/>
          <w:sz w:val="23"/>
          <w:szCs w:val="23"/>
        </w:rPr>
      </w:pPr>
      <w:r>
        <w:rPr>
          <w:b/>
          <w:sz w:val="23"/>
          <w:szCs w:val="23"/>
        </w:rPr>
      </w:r>
    </w:p>
    <w:p>
      <w:pPr>
        <w:pStyle w:val="Standard"/>
        <w:rPr>
          <w:b/>
          <w:sz w:val="23"/>
          <w:szCs w:val="23"/>
        </w:rPr>
      </w:pPr>
      <w:r>
        <w:rPr>
          <w:b/>
          <w:sz w:val="23"/>
          <w:szCs w:val="23"/>
        </w:rPr>
        <w:t xml:space="preserve">ИКЗ: </w:t>
      </w:r>
      <w:r>
        <w:rPr>
          <w:rFonts w:cs="Times New Roman"/>
          <w:b w:val="false"/>
          <w:bCs w:val="false"/>
          <w:sz w:val="22"/>
          <w:szCs w:val="22"/>
          <w:lang w:eastAsia="ar-SA"/>
        </w:rPr>
        <w:t>261783802769178380100100150000000244</w:t>
      </w:r>
    </w:p>
    <w:p>
      <w:pPr>
        <w:pStyle w:val="Standard"/>
        <w:jc w:val="center"/>
        <w:rPr>
          <w:b/>
          <w:sz w:val="23"/>
          <w:szCs w:val="23"/>
        </w:rPr>
      </w:pPr>
      <w:r>
        <w:rPr>
          <w:b/>
          <w:sz w:val="23"/>
          <w:szCs w:val="23"/>
        </w:rPr>
      </w:r>
    </w:p>
    <w:p>
      <w:pPr>
        <w:pStyle w:val="Standard"/>
        <w:rPr>
          <w:b/>
          <w:sz w:val="23"/>
          <w:szCs w:val="23"/>
        </w:rPr>
      </w:pPr>
      <w:r>
        <w:rPr>
          <w:b/>
          <w:sz w:val="23"/>
          <w:szCs w:val="23"/>
        </w:rPr>
        <w:t>г. Санкт-Петербург</w:t>
        <w:tab/>
        <w:tab/>
        <w:tab/>
        <w:tab/>
        <w:tab/>
        <w:tab/>
        <w:tab/>
        <w:t xml:space="preserve">                 «____» ___________2026г.</w:t>
      </w:r>
    </w:p>
    <w:p>
      <w:pPr>
        <w:pStyle w:val="Standard"/>
        <w:rPr>
          <w:b/>
          <w:sz w:val="23"/>
          <w:szCs w:val="23"/>
        </w:rPr>
      </w:pPr>
      <w:r>
        <w:rPr>
          <w:b/>
          <w:sz w:val="23"/>
          <w:szCs w:val="23"/>
        </w:rPr>
      </w:r>
    </w:p>
    <w:p>
      <w:pPr>
        <w:pStyle w:val="Textbodyindent"/>
        <w:spacing w:before="0" w:after="0"/>
        <w:ind w:firstLine="708" w:left="0"/>
        <w:jc w:val="both"/>
        <w:rPr/>
      </w:pPr>
      <w:r>
        <w:rPr>
          <w:sz w:val="23"/>
          <w:szCs w:val="23"/>
        </w:rPr>
        <w:t xml:space="preserve">Главное управление Федеральной службы судебных приставов по г. Санкт-Петербургу, именуемое в дальнейшем "Покупатель", в лице Заместителя руководителя Коростелева Андрея Валерьевича, действующей на основании Доверенности </w:t>
      </w:r>
      <w:r>
        <w:rPr>
          <w:rFonts w:eastAsia="Times New Roman" w:cs="Times New Roman"/>
          <w:color w:val="auto"/>
          <w:kern w:val="0"/>
          <w:sz w:val="22"/>
          <w:szCs w:val="22"/>
          <w:lang w:val="ru-RU" w:eastAsia="ar-SA" w:bidi="ar-SA"/>
        </w:rPr>
        <w:t>от 12.01.2026 № Д-78908/26/2340</w:t>
      </w:r>
      <w:r>
        <w:rPr/>
        <w:t>, с одной стороны,</w:t>
      </w:r>
      <w:r>
        <w:rPr>
          <w:sz w:val="23"/>
          <w:szCs w:val="23"/>
        </w:rPr>
        <w:t xml:space="preserve"> и ________________ именуемое в дальнейшем "Поставщик", в лице _______________, действующего на основании _________ с другой стороны, заключили настоящий Контракт о нижеследующем:</w:t>
      </w:r>
    </w:p>
    <w:p>
      <w:pPr>
        <w:pStyle w:val="Standard"/>
        <w:jc w:val="center"/>
        <w:rPr>
          <w:b/>
          <w:sz w:val="23"/>
          <w:szCs w:val="23"/>
        </w:rPr>
      </w:pPr>
      <w:r>
        <w:rPr>
          <w:b/>
          <w:sz w:val="23"/>
          <w:szCs w:val="23"/>
        </w:rPr>
      </w:r>
    </w:p>
    <w:p>
      <w:pPr>
        <w:pStyle w:val="Standard"/>
        <w:jc w:val="center"/>
        <w:rPr>
          <w:b/>
          <w:sz w:val="23"/>
          <w:szCs w:val="23"/>
        </w:rPr>
      </w:pPr>
      <w:r>
        <w:rPr>
          <w:b/>
          <w:sz w:val="23"/>
          <w:szCs w:val="23"/>
        </w:rPr>
        <w:t>1. Предмет Контракта.</w:t>
      </w:r>
    </w:p>
    <w:p>
      <w:pPr>
        <w:pStyle w:val="Standard"/>
        <w:jc w:val="both"/>
        <w:rPr>
          <w:sz w:val="23"/>
          <w:szCs w:val="23"/>
        </w:rPr>
      </w:pPr>
      <w:r>
        <w:rPr>
          <w:sz w:val="23"/>
          <w:szCs w:val="23"/>
        </w:rPr>
        <w:t>1.1. В целях обеспечения государственных нужд Поставщик по заданию Покупателя обязуется поставить запасные части к компьютерной и организационной технике</w:t>
      </w:r>
      <w:r>
        <w:rPr>
          <w:color w:val="000000"/>
          <w:spacing w:val="3"/>
          <w:sz w:val="23"/>
          <w:szCs w:val="23"/>
        </w:rPr>
        <w:t xml:space="preserve"> </w:t>
      </w:r>
      <w:r>
        <w:rPr>
          <w:sz w:val="23"/>
          <w:szCs w:val="23"/>
        </w:rPr>
        <w:t>(далее – Товар) согласно Приложению №1, а Покупатель обязуется принять и оплатить поставленный товар.</w:t>
      </w:r>
    </w:p>
    <w:p>
      <w:pPr>
        <w:pStyle w:val="Standard"/>
        <w:jc w:val="both"/>
        <w:rPr/>
      </w:pPr>
      <w:r>
        <w:rPr/>
      </w:r>
    </w:p>
    <w:p>
      <w:pPr>
        <w:pStyle w:val="Standard"/>
        <w:jc w:val="center"/>
        <w:rPr>
          <w:b/>
          <w:sz w:val="23"/>
          <w:szCs w:val="23"/>
        </w:rPr>
      </w:pPr>
      <w:r>
        <w:rPr>
          <w:b/>
          <w:sz w:val="23"/>
          <w:szCs w:val="23"/>
        </w:rPr>
        <w:t>2. Цена и условия платежа.</w:t>
      </w:r>
    </w:p>
    <w:p>
      <w:pPr>
        <w:pStyle w:val="Standard"/>
        <w:jc w:val="both"/>
        <w:rPr>
          <w:sz w:val="23"/>
          <w:szCs w:val="23"/>
        </w:rPr>
      </w:pPr>
      <w:r>
        <w:rPr>
          <w:sz w:val="23"/>
          <w:szCs w:val="23"/>
        </w:rPr>
        <w:t>2.1. Общая стоимость Контракта составляет  _______ руб. _____ коп. (______рублей _________ копеек), в том числе НДС/без НДС.</w:t>
      </w:r>
    </w:p>
    <w:p>
      <w:pPr>
        <w:pStyle w:val="Standard"/>
        <w:jc w:val="both"/>
        <w:rPr/>
      </w:pPr>
      <w:r>
        <w:rPr>
          <w:sz w:val="23"/>
          <w:szCs w:val="23"/>
        </w:rPr>
        <w:t>2.2. Цена контракта является твердой и установлена на весь срок действия контракта</w:t>
      </w:r>
      <w:r>
        <w:rPr>
          <w:b w:val="false"/>
          <w:bCs w:val="false"/>
          <w:sz w:val="23"/>
          <w:szCs w:val="23"/>
        </w:rPr>
        <w:t>, включают в себя транспортные расходы по доставке и разгрузке товара Покупателю по адресу: г. Санкт-Петербург, ул. Большая Морская д. 59. 1 этаж.</w:t>
      </w:r>
    </w:p>
    <w:p>
      <w:pPr>
        <w:pStyle w:val="Standard"/>
        <w:jc w:val="both"/>
        <w:rPr>
          <w:sz w:val="23"/>
          <w:szCs w:val="23"/>
        </w:rPr>
      </w:pPr>
      <w:r>
        <w:rPr>
          <w:sz w:val="23"/>
          <w:szCs w:val="23"/>
        </w:rPr>
        <w:t>2.3. Покупатель производит оплату, путём перечисления денежных средств на расчетный счет Поставщика в течение 10 (Десять) рабочих дней с момента поставки товара и предоставления счета/счета-фактуры, товарной накладной/УПД, подписанной сторонами.</w:t>
      </w:r>
    </w:p>
    <w:p>
      <w:pPr>
        <w:pStyle w:val="Standard"/>
        <w:jc w:val="both"/>
        <w:rPr>
          <w:sz w:val="23"/>
          <w:szCs w:val="23"/>
        </w:rPr>
      </w:pPr>
      <w:r>
        <w:rPr>
          <w:sz w:val="23"/>
          <w:szCs w:val="23"/>
        </w:rPr>
        <w:t>2.4. Источником финансирования является Федеральный бюджет 2026 года.</w:t>
      </w:r>
    </w:p>
    <w:p>
      <w:pPr>
        <w:pStyle w:val="Standard"/>
        <w:jc w:val="both"/>
        <w:rPr>
          <w:sz w:val="23"/>
          <w:szCs w:val="23"/>
        </w:rPr>
      </w:pPr>
      <w:r>
        <w:rPr>
          <w:sz w:val="23"/>
          <w:szCs w:val="23"/>
        </w:rPr>
      </w:r>
    </w:p>
    <w:p>
      <w:pPr>
        <w:pStyle w:val="Standard"/>
        <w:jc w:val="both"/>
        <w:rPr>
          <w:sz w:val="23"/>
          <w:szCs w:val="23"/>
        </w:rPr>
      </w:pPr>
      <w:r>
        <w:rPr>
          <w:sz w:val="23"/>
          <w:szCs w:val="23"/>
        </w:rPr>
      </w:r>
    </w:p>
    <w:p>
      <w:pPr>
        <w:pStyle w:val="Standard"/>
        <w:jc w:val="center"/>
        <w:rPr>
          <w:b/>
          <w:sz w:val="23"/>
          <w:szCs w:val="23"/>
        </w:rPr>
      </w:pPr>
      <w:r>
        <w:rPr>
          <w:b/>
          <w:sz w:val="23"/>
          <w:szCs w:val="23"/>
        </w:rPr>
        <w:t>3. Тара и упаковка.</w:t>
      </w:r>
    </w:p>
    <w:p>
      <w:pPr>
        <w:pStyle w:val="Standard"/>
        <w:jc w:val="both"/>
        <w:rPr>
          <w:sz w:val="23"/>
          <w:szCs w:val="23"/>
        </w:rPr>
      </w:pPr>
      <w:r>
        <w:rPr>
          <w:sz w:val="23"/>
          <w:szCs w:val="23"/>
        </w:rPr>
        <w:t>3.1. Товар должен быть соответствующим образом упакован.</w:t>
      </w:r>
    </w:p>
    <w:p>
      <w:pPr>
        <w:pStyle w:val="Standard"/>
        <w:jc w:val="both"/>
        <w:rPr>
          <w:sz w:val="23"/>
          <w:szCs w:val="23"/>
        </w:rPr>
      </w:pPr>
      <w:r>
        <w:rPr>
          <w:sz w:val="23"/>
          <w:szCs w:val="23"/>
        </w:rPr>
        <w:t>3.2. Упаковка товара должна обеспечить его сохранность при транспортировке и хранении.</w:t>
      </w:r>
    </w:p>
    <w:p>
      <w:pPr>
        <w:pStyle w:val="Standard"/>
        <w:jc w:val="both"/>
        <w:rPr>
          <w:sz w:val="23"/>
          <w:szCs w:val="23"/>
        </w:rPr>
      </w:pPr>
      <w:r>
        <w:rPr>
          <w:sz w:val="23"/>
          <w:szCs w:val="23"/>
        </w:rPr>
      </w:r>
    </w:p>
    <w:p>
      <w:pPr>
        <w:pStyle w:val="Standard"/>
        <w:jc w:val="center"/>
        <w:rPr>
          <w:b/>
          <w:sz w:val="23"/>
          <w:szCs w:val="23"/>
        </w:rPr>
      </w:pPr>
      <w:r>
        <w:rPr>
          <w:b/>
          <w:sz w:val="23"/>
          <w:szCs w:val="23"/>
        </w:rPr>
        <w:t xml:space="preserve">4. </w:t>
      </w:r>
      <w:bookmarkStart w:id="0" w:name="_GoBack"/>
      <w:r>
        <w:rPr>
          <w:b/>
          <w:sz w:val="23"/>
          <w:szCs w:val="23"/>
        </w:rPr>
        <w:t>Срок</w:t>
      </w:r>
      <w:bookmarkEnd w:id="0"/>
      <w:r>
        <w:rPr>
          <w:b/>
          <w:sz w:val="23"/>
          <w:szCs w:val="23"/>
        </w:rPr>
        <w:t>и поставки товара.</w:t>
      </w:r>
    </w:p>
    <w:p>
      <w:pPr>
        <w:pStyle w:val="Standard"/>
        <w:jc w:val="both"/>
        <w:rPr>
          <w:sz w:val="23"/>
          <w:szCs w:val="23"/>
        </w:rPr>
      </w:pPr>
      <w:r>
        <w:rPr>
          <w:sz w:val="23"/>
          <w:szCs w:val="23"/>
        </w:rPr>
        <w:t xml:space="preserve">4.1.Поставщик осуществляет поставку товара в течение 20 рабочих дней с даты </w:t>
      </w:r>
      <w:r>
        <w:rPr>
          <w:b w:val="false"/>
          <w:bCs w:val="false"/>
          <w:sz w:val="23"/>
          <w:szCs w:val="23"/>
        </w:rPr>
        <w:t>подписания контракта.</w:t>
      </w:r>
    </w:p>
    <w:p>
      <w:pPr>
        <w:pStyle w:val="Standard"/>
        <w:jc w:val="both"/>
        <w:rPr>
          <w:sz w:val="23"/>
          <w:szCs w:val="23"/>
        </w:rPr>
      </w:pPr>
      <w:r>
        <w:rPr>
          <w:sz w:val="23"/>
          <w:szCs w:val="23"/>
        </w:rPr>
        <w:t>4.2.Поставка товара оформляется накладной, подписываемой сторонами.</w:t>
      </w:r>
    </w:p>
    <w:p>
      <w:pPr>
        <w:pStyle w:val="Standard"/>
        <w:jc w:val="both"/>
        <w:rPr>
          <w:sz w:val="23"/>
          <w:szCs w:val="23"/>
        </w:rPr>
      </w:pPr>
      <w:r>
        <w:rPr>
          <w:sz w:val="23"/>
          <w:szCs w:val="23"/>
        </w:rPr>
      </w:r>
    </w:p>
    <w:p>
      <w:pPr>
        <w:pStyle w:val="Standard"/>
        <w:jc w:val="center"/>
        <w:rPr>
          <w:b/>
          <w:sz w:val="23"/>
          <w:szCs w:val="23"/>
        </w:rPr>
      </w:pPr>
      <w:r>
        <w:rPr>
          <w:b/>
          <w:sz w:val="23"/>
          <w:szCs w:val="23"/>
        </w:rPr>
        <w:t>5. Срок действия Контракта.</w:t>
      </w:r>
    </w:p>
    <w:p>
      <w:pPr>
        <w:pStyle w:val="Standard"/>
        <w:jc w:val="both"/>
        <w:rPr>
          <w:sz w:val="23"/>
          <w:szCs w:val="23"/>
        </w:rPr>
      </w:pPr>
      <w:r>
        <w:rPr>
          <w:sz w:val="23"/>
          <w:szCs w:val="23"/>
        </w:rPr>
        <w:t>5.1.Контракт вступает в силу с даты его подписания и действует до 30.11.2026, а в части исполнения обязательств «Сторонами» до их полного исполнения.</w:t>
      </w:r>
    </w:p>
    <w:p>
      <w:pPr>
        <w:pStyle w:val="Standard"/>
        <w:jc w:val="both"/>
        <w:rPr>
          <w:sz w:val="23"/>
          <w:szCs w:val="23"/>
        </w:rPr>
      </w:pPr>
      <w:r>
        <w:rPr>
          <w:sz w:val="23"/>
          <w:szCs w:val="23"/>
        </w:rPr>
        <w:t>5.2.Окончание срока действия Контракта не освобождает стороны от ответственности за нарушение условий Контракта.</w:t>
      </w:r>
    </w:p>
    <w:p>
      <w:pPr>
        <w:pStyle w:val="Standard"/>
        <w:jc w:val="both"/>
        <w:rPr>
          <w:sz w:val="23"/>
          <w:szCs w:val="23"/>
        </w:rPr>
      </w:pPr>
      <w:r>
        <w:rPr>
          <w:sz w:val="23"/>
          <w:szCs w:val="23"/>
        </w:rPr>
      </w:r>
    </w:p>
    <w:p>
      <w:pPr>
        <w:pStyle w:val="Standard"/>
        <w:tabs>
          <w:tab w:val="clear" w:pos="653"/>
          <w:tab w:val="left" w:pos="426" w:leader="none"/>
        </w:tabs>
        <w:jc w:val="center"/>
        <w:rPr>
          <w:b/>
          <w:sz w:val="23"/>
          <w:szCs w:val="23"/>
        </w:rPr>
      </w:pPr>
      <w:bookmarkStart w:id="1" w:name="Bookmark"/>
      <w:bookmarkEnd w:id="1"/>
      <w:r>
        <w:rPr>
          <w:b/>
          <w:sz w:val="23"/>
          <w:szCs w:val="23"/>
        </w:rPr>
        <w:t>6. Порядок приемки.</w:t>
      </w:r>
    </w:p>
    <w:p>
      <w:pPr>
        <w:pStyle w:val="Standard"/>
        <w:jc w:val="both"/>
        <w:rPr>
          <w:sz w:val="23"/>
          <w:szCs w:val="23"/>
        </w:rPr>
      </w:pPr>
      <w:r>
        <w:rPr>
          <w:sz w:val="23"/>
          <w:szCs w:val="23"/>
        </w:rPr>
        <w:t>6.1.</w:t>
        <w:tab/>
        <w:t>Приемка Товара осуществляется Покупательом после согласования времени по адресу:</w:t>
      </w:r>
    </w:p>
    <w:p>
      <w:pPr>
        <w:pStyle w:val="Standard"/>
        <w:jc w:val="both"/>
        <w:rPr>
          <w:sz w:val="23"/>
          <w:szCs w:val="23"/>
        </w:rPr>
      </w:pPr>
      <w:r>
        <w:rPr>
          <w:sz w:val="23"/>
          <w:szCs w:val="23"/>
        </w:rPr>
        <w:t>г. Санкт-Петербург, ул. Большая Морская д. 59.</w:t>
      </w:r>
    </w:p>
    <w:p>
      <w:pPr>
        <w:pStyle w:val="Standard"/>
        <w:jc w:val="both"/>
        <w:rPr>
          <w:sz w:val="23"/>
          <w:szCs w:val="23"/>
        </w:rPr>
      </w:pPr>
      <w:r>
        <w:rPr>
          <w:sz w:val="23"/>
          <w:szCs w:val="23"/>
        </w:rPr>
        <w:t>6.2.</w:t>
        <w:tab/>
        <w:t>Приемка Товара осуществляется Покупательом в два этапа:</w:t>
      </w:r>
    </w:p>
    <w:p>
      <w:pPr>
        <w:pStyle w:val="Standard"/>
        <w:numPr>
          <w:ilvl w:val="0"/>
          <w:numId w:val="1"/>
        </w:numPr>
        <w:jc w:val="both"/>
        <w:rPr>
          <w:sz w:val="23"/>
          <w:szCs w:val="23"/>
        </w:rPr>
      </w:pPr>
      <w:r>
        <w:rPr>
          <w:sz w:val="23"/>
          <w:szCs w:val="23"/>
        </w:rPr>
        <w:t>проверка количества и номенклатуры Товара на соответствие Спецификации;</w:t>
      </w:r>
    </w:p>
    <w:p>
      <w:pPr>
        <w:pStyle w:val="Standard"/>
        <w:numPr>
          <w:ilvl w:val="0"/>
          <w:numId w:val="4"/>
        </w:numPr>
        <w:jc w:val="both"/>
        <w:rPr>
          <w:sz w:val="23"/>
          <w:szCs w:val="23"/>
        </w:rPr>
      </w:pPr>
      <w:r>
        <w:rPr>
          <w:sz w:val="23"/>
          <w:szCs w:val="23"/>
        </w:rPr>
        <w:t>контроль наличия/отсутствия внешних повреждений;</w:t>
      </w:r>
    </w:p>
    <w:p>
      <w:pPr>
        <w:pStyle w:val="Standard"/>
        <w:jc w:val="both"/>
        <w:rPr>
          <w:sz w:val="23"/>
          <w:szCs w:val="23"/>
        </w:rPr>
      </w:pPr>
      <w:r>
        <w:rPr>
          <w:sz w:val="23"/>
          <w:szCs w:val="23"/>
        </w:rPr>
        <w:t>6.3.</w:t>
        <w:tab/>
        <w:t>Право собственности на Товар, а также риск случайной гибели или повреждения Товара переходит от Поставщика к Покупательу после передачи Товара и подписания Покупательом сопроводительной накладной.</w:t>
      </w:r>
    </w:p>
    <w:p>
      <w:pPr>
        <w:pStyle w:val="Standard"/>
        <w:jc w:val="both"/>
        <w:rPr>
          <w:sz w:val="23"/>
          <w:szCs w:val="23"/>
        </w:rPr>
      </w:pPr>
      <w:r>
        <w:rPr>
          <w:sz w:val="23"/>
          <w:szCs w:val="23"/>
        </w:rPr>
        <w:t>6.4.</w:t>
        <w:tab/>
        <w:t>В случае если при приемке Товара Покупательом будет выявлено несоответствие номенклатуры, количества или качества поставленного Товара требованиям Спецификации или условиям Контракта, Покупатель указывает на несоответствие в товарной накладной.  Поставщик обязан в течение пяти дней за свой счет заменить некачественный или несоответствующий Спецификации Товар.</w:t>
      </w:r>
    </w:p>
    <w:p>
      <w:pPr>
        <w:pStyle w:val="Style16"/>
        <w:tabs>
          <w:tab w:val="clear" w:pos="653"/>
          <w:tab w:val="left" w:pos="720" w:leader="none"/>
        </w:tabs>
        <w:ind w:right="113"/>
        <w:jc w:val="both"/>
        <w:rPr>
          <w:sz w:val="23"/>
          <w:szCs w:val="23"/>
        </w:rPr>
      </w:pPr>
      <w:r>
        <w:rPr>
          <w:sz w:val="23"/>
          <w:szCs w:val="23"/>
        </w:rPr>
        <w:t>6.5. В случае обнаружения недостатков, которые невозможно было обнаружить при приемке, Поставщик должен обеспечить замену товара в течение трех рабочих дней со дня получения от Покупательа уведомления о выявленных недостатках Товара.</w:t>
      </w:r>
    </w:p>
    <w:p>
      <w:pPr>
        <w:pStyle w:val="Standard"/>
        <w:jc w:val="both"/>
        <w:rPr>
          <w:sz w:val="23"/>
          <w:szCs w:val="23"/>
        </w:rPr>
      </w:pPr>
      <w:r>
        <w:rPr>
          <w:sz w:val="23"/>
          <w:szCs w:val="23"/>
        </w:rPr>
        <w:t>6.6. Приемка товара Покупательом осуществляется путем подписания товарной накладной.</w:t>
      </w:r>
    </w:p>
    <w:p>
      <w:pPr>
        <w:pStyle w:val="Standard"/>
        <w:jc w:val="both"/>
        <w:rPr>
          <w:sz w:val="23"/>
          <w:szCs w:val="23"/>
        </w:rPr>
      </w:pPr>
      <w:r>
        <w:rPr>
          <w:sz w:val="23"/>
          <w:szCs w:val="23"/>
        </w:rPr>
      </w:r>
    </w:p>
    <w:p>
      <w:pPr>
        <w:pStyle w:val="Standard"/>
        <w:jc w:val="center"/>
        <w:rPr>
          <w:b/>
          <w:sz w:val="23"/>
          <w:szCs w:val="23"/>
        </w:rPr>
      </w:pPr>
      <w:r>
        <w:rPr>
          <w:b/>
          <w:sz w:val="23"/>
          <w:szCs w:val="23"/>
        </w:rPr>
        <w:t>7. Гарантии качества.</w:t>
      </w:r>
    </w:p>
    <w:p>
      <w:pPr>
        <w:pStyle w:val="Standard"/>
        <w:jc w:val="both"/>
        <w:rPr>
          <w:sz w:val="23"/>
          <w:szCs w:val="23"/>
        </w:rPr>
      </w:pPr>
      <w:r>
        <w:rPr>
          <w:sz w:val="23"/>
          <w:szCs w:val="23"/>
        </w:rPr>
        <w:t>7.1. Товар соответствует требованиям законодательства. Поставщик в момент поставки Товара передает Покупательу все необходимые сертификаты качества и сертификаты соответствия на Товар.</w:t>
      </w:r>
    </w:p>
    <w:p>
      <w:pPr>
        <w:pStyle w:val="Standard"/>
        <w:jc w:val="both"/>
        <w:rPr>
          <w:sz w:val="23"/>
          <w:szCs w:val="23"/>
        </w:rPr>
      </w:pPr>
      <w:r>
        <w:rPr>
          <w:sz w:val="23"/>
          <w:szCs w:val="23"/>
        </w:rPr>
        <w:t>7.2. Поставщик гарантирует, что поставляемый Товар является новым, ранее не использованным, не имеющим дефектов упаковки, соответствует заявленной производителем качественным характеристикам.</w:t>
      </w:r>
    </w:p>
    <w:p>
      <w:pPr>
        <w:pStyle w:val="Standard"/>
        <w:jc w:val="both"/>
        <w:rPr>
          <w:sz w:val="23"/>
          <w:szCs w:val="23"/>
        </w:rPr>
      </w:pPr>
      <w:r>
        <w:rPr>
          <w:sz w:val="23"/>
          <w:szCs w:val="23"/>
        </w:rPr>
        <w:t>7.3. Товар должен иметь инструкцию по эксплуатации на русском языке.</w:t>
      </w:r>
    </w:p>
    <w:p>
      <w:pPr>
        <w:pStyle w:val="Standard"/>
        <w:jc w:val="both"/>
        <w:rPr>
          <w:sz w:val="23"/>
          <w:szCs w:val="23"/>
        </w:rPr>
      </w:pPr>
      <w:r>
        <w:rPr>
          <w:sz w:val="23"/>
          <w:szCs w:val="23"/>
        </w:rPr>
        <w:t>7.4. Комплектность Товара должна соответствовать комплектации Товара производителем.</w:t>
      </w:r>
    </w:p>
    <w:p>
      <w:pPr>
        <w:pStyle w:val="Standard"/>
        <w:jc w:val="both"/>
        <w:rPr>
          <w:sz w:val="23"/>
          <w:szCs w:val="23"/>
        </w:rPr>
      </w:pPr>
      <w:r>
        <w:rPr>
          <w:sz w:val="23"/>
          <w:szCs w:val="23"/>
        </w:rPr>
        <w:t>7.5. Обязательное наличие гарантийного сертификата от производителя на каждую единицу Товара.</w:t>
      </w:r>
    </w:p>
    <w:p>
      <w:pPr>
        <w:pStyle w:val="Standard"/>
        <w:jc w:val="both"/>
        <w:rPr>
          <w:sz w:val="23"/>
          <w:szCs w:val="23"/>
        </w:rPr>
      </w:pPr>
      <w:r>
        <w:rPr>
          <w:sz w:val="23"/>
          <w:szCs w:val="23"/>
        </w:rPr>
        <w:t>7.6. Вся продукция поставляется под торговой маркой производителя (подтверждается сертификатом).</w:t>
      </w:r>
    </w:p>
    <w:p>
      <w:pPr>
        <w:pStyle w:val="Standard"/>
        <w:jc w:val="both"/>
        <w:rPr>
          <w:sz w:val="23"/>
          <w:szCs w:val="23"/>
        </w:rPr>
      </w:pPr>
      <w:r>
        <w:rPr>
          <w:sz w:val="23"/>
          <w:szCs w:val="23"/>
        </w:rPr>
        <w:t>7.7. Гарантийный срок на Товар составляет 12 месяцев. В случае обнаружения дефектов в течение гарантийного срока все затраты, связанные с их устранением несет Поставщик.</w:t>
      </w:r>
    </w:p>
    <w:p>
      <w:pPr>
        <w:pStyle w:val="Standard"/>
        <w:jc w:val="both"/>
        <w:rPr>
          <w:sz w:val="23"/>
          <w:szCs w:val="23"/>
        </w:rPr>
      </w:pPr>
      <w:r>
        <w:rPr>
          <w:sz w:val="23"/>
          <w:szCs w:val="23"/>
        </w:rPr>
      </w:r>
    </w:p>
    <w:p>
      <w:pPr>
        <w:pStyle w:val="Standard"/>
        <w:ind w:left="357"/>
        <w:jc w:val="center"/>
        <w:rPr>
          <w:b/>
          <w:sz w:val="23"/>
          <w:szCs w:val="23"/>
        </w:rPr>
      </w:pPr>
      <w:r>
        <w:rPr>
          <w:b/>
          <w:sz w:val="23"/>
          <w:szCs w:val="23"/>
        </w:rPr>
        <w:t>8. Права и обязанности сторон.</w:t>
      </w:r>
    </w:p>
    <w:p>
      <w:pPr>
        <w:pStyle w:val="Standard"/>
        <w:jc w:val="both"/>
        <w:rPr>
          <w:sz w:val="23"/>
          <w:szCs w:val="23"/>
        </w:rPr>
      </w:pPr>
      <w:r>
        <w:rPr>
          <w:sz w:val="23"/>
          <w:szCs w:val="23"/>
        </w:rPr>
        <w:t>8.1. Поставщик обязан доставить за свой счет товар Покупательу надлежащего качества и в предусмотренный Контрактом срок.</w:t>
      </w:r>
    </w:p>
    <w:p>
      <w:pPr>
        <w:pStyle w:val="Standard"/>
        <w:jc w:val="both"/>
        <w:rPr>
          <w:sz w:val="23"/>
          <w:szCs w:val="23"/>
        </w:rPr>
      </w:pPr>
      <w:r>
        <w:rPr>
          <w:sz w:val="23"/>
          <w:szCs w:val="23"/>
        </w:rPr>
        <w:t>8.2. Покупатель обязан принять поставленный Поставщиком товар в предусмотренный Контрактом срок и в надлежащем порядке оплатить стоимость товара.</w:t>
      </w:r>
    </w:p>
    <w:p>
      <w:pPr>
        <w:pStyle w:val="Standard"/>
        <w:jc w:val="both"/>
        <w:rPr>
          <w:sz w:val="23"/>
          <w:szCs w:val="23"/>
        </w:rPr>
      </w:pPr>
      <w:r>
        <w:rPr>
          <w:sz w:val="23"/>
          <w:szCs w:val="23"/>
        </w:rPr>
        <w:t>8.3. Риск случайной порчи или гибели товара возлагается на Поставщика до момента передачи товара Покупателю по товарной накладной, подписанной сторонами.</w:t>
      </w:r>
    </w:p>
    <w:p>
      <w:pPr>
        <w:pStyle w:val="Standard"/>
        <w:jc w:val="both"/>
        <w:rPr>
          <w:sz w:val="23"/>
          <w:szCs w:val="23"/>
        </w:rPr>
      </w:pPr>
      <w:r>
        <w:rPr>
          <w:sz w:val="23"/>
          <w:szCs w:val="23"/>
        </w:rPr>
        <w:t>8.4. В случае установления несоответствия качества поставляемого товара Покупатель направляет Поставщику рекламацию, Поставщик своими средствами и за свой счет обязан устранить недостатки в срок до 5 дней.</w:t>
      </w:r>
    </w:p>
    <w:p>
      <w:pPr>
        <w:pStyle w:val="Standard"/>
        <w:jc w:val="both"/>
        <w:rPr>
          <w:sz w:val="23"/>
          <w:szCs w:val="23"/>
        </w:rPr>
      </w:pPr>
      <w:r>
        <w:rPr>
          <w:sz w:val="23"/>
          <w:szCs w:val="23"/>
        </w:rPr>
        <w:t>8.5. Товар должен быть упакован в картонную упаковку, обеспечивающую его сохранность при перевозке и хранении, с маркировкой на упаковке, предусматривающей возможность определения наименование и количества товара.</w:t>
      </w:r>
    </w:p>
    <w:p>
      <w:pPr>
        <w:pStyle w:val="Standard"/>
        <w:jc w:val="both"/>
        <w:rPr>
          <w:sz w:val="23"/>
          <w:szCs w:val="23"/>
        </w:rPr>
      </w:pPr>
      <w:r>
        <w:rPr>
          <w:sz w:val="23"/>
          <w:szCs w:val="23"/>
        </w:rPr>
      </w:r>
    </w:p>
    <w:p>
      <w:pPr>
        <w:pStyle w:val="Standard"/>
        <w:jc w:val="center"/>
        <w:rPr>
          <w:b/>
          <w:sz w:val="23"/>
          <w:szCs w:val="23"/>
        </w:rPr>
      </w:pPr>
      <w:r>
        <w:rPr>
          <w:b/>
          <w:sz w:val="23"/>
          <w:szCs w:val="23"/>
        </w:rPr>
        <w:t>9. Ответственность сторон.</w:t>
      </w:r>
    </w:p>
    <w:p>
      <w:pPr>
        <w:pStyle w:val="Heading2"/>
        <w:spacing w:lineRule="auto" w:line="276" w:before="0" w:after="0"/>
        <w:ind w:firstLine="426"/>
        <w:jc w:val="both"/>
        <w:rPr>
          <w:b w:val="false"/>
          <w:bCs w:val="false"/>
          <w:color w:val="000000"/>
        </w:rPr>
      </w:pPr>
      <w:r>
        <w:rPr>
          <w:rFonts w:cs="Times New Roman" w:ascii="Times New Roman" w:hAnsi="Times New Roman"/>
          <w:b w:val="false"/>
          <w:bCs w:val="false"/>
          <w:i w:val="false"/>
          <w:color w:val="000000"/>
          <w:sz w:val="22"/>
          <w:szCs w:val="22"/>
        </w:rPr>
        <w:t>9.1. Стороны несут ответственность за неисполнение или ненадлежащее исполнение обязательств в соответствии с условиями настоящего Контракта и действующим законодательством Российской Федерации.</w:t>
      </w:r>
    </w:p>
    <w:p>
      <w:pPr>
        <w:pStyle w:val="NormalWeb"/>
        <w:shd w:val="clear" w:color="auto" w:fill="FFFFFF"/>
        <w:spacing w:lineRule="auto" w:line="276" w:before="0" w:after="0"/>
        <w:ind w:firstLine="426"/>
        <w:jc w:val="both"/>
        <w:rPr/>
      </w:pPr>
      <w:r>
        <w:rPr>
          <w:rStyle w:val="Arefseq"/>
          <w:b/>
          <w:bCs/>
          <w:color w:val="000000"/>
          <w:sz w:val="22"/>
          <w:szCs w:val="22"/>
        </w:rPr>
        <w:t>9.2. </w:t>
      </w:r>
      <w:r>
        <w:rPr>
          <w:b/>
          <w:color w:val="000000"/>
          <w:sz w:val="22"/>
          <w:szCs w:val="22"/>
        </w:rPr>
        <w:t>Взыскание неустойки с Поставщика</w:t>
      </w:r>
    </w:p>
    <w:p>
      <w:pPr>
        <w:pStyle w:val="NormalWeb"/>
        <w:shd w:val="clear" w:color="auto" w:fill="FFFFFF"/>
        <w:spacing w:lineRule="auto" w:line="276" w:before="0" w:after="0"/>
        <w:ind w:firstLine="426"/>
        <w:jc w:val="both"/>
        <w:rPr/>
      </w:pPr>
      <w:r>
        <w:rPr>
          <w:rStyle w:val="Arefseq"/>
          <w:b w:val="false"/>
          <w:bCs w:val="false"/>
          <w:color w:val="000000"/>
          <w:sz w:val="22"/>
          <w:szCs w:val="22"/>
        </w:rPr>
        <w:t>9.2.1. </w:t>
      </w:r>
      <w:r>
        <w:rPr>
          <w:b w:val="false"/>
          <w:bCs w:val="false"/>
          <w:color w:val="000000"/>
          <w:sz w:val="22"/>
          <w:szCs w:val="22"/>
        </w:rPr>
        <w:t xml:space="preserve">В случае просрочки исполнения обязательств Поставщиком </w:t>
      </w:r>
      <w:r>
        <w:rPr>
          <w:b w:val="false"/>
          <w:bCs w:val="false"/>
          <w:sz w:val="22"/>
          <w:szCs w:val="22"/>
        </w:rPr>
        <w:t>(в том числе гарантийного обязательства)</w:t>
      </w:r>
      <w:r>
        <w:rPr>
          <w:b w:val="false"/>
          <w:bCs w:val="false"/>
          <w:color w:val="000000"/>
          <w:sz w:val="22"/>
          <w:szCs w:val="22"/>
        </w:rPr>
        <w:t>, предусмотренных Контрактом, а также в иных случаях неисполнения или ненадлежащего исполнения Поставщиком контрактных обязательств Покупатель направляет Поставщику требование об уплате неустоек (штрафов, пеней).</w:t>
      </w:r>
    </w:p>
    <w:p>
      <w:pPr>
        <w:pStyle w:val="Normal"/>
        <w:spacing w:lineRule="auto" w:line="276"/>
        <w:ind w:firstLine="426"/>
        <w:jc w:val="both"/>
        <w:rPr/>
      </w:pPr>
      <w:r>
        <w:rPr>
          <w:rStyle w:val="Arefseq"/>
          <w:rFonts w:cs="Times New Roman"/>
          <w:b w:val="false"/>
          <w:bCs w:val="false"/>
          <w:color w:val="000000"/>
          <w:sz w:val="22"/>
          <w:szCs w:val="22"/>
        </w:rPr>
        <w:t>9.2.2. </w:t>
      </w:r>
      <w:r>
        <w:rPr>
          <w:rFonts w:cs="Times New Roman"/>
          <w:b w:val="false"/>
          <w:bCs w:val="false"/>
          <w:sz w:val="22"/>
          <w:szCs w:val="22"/>
        </w:rPr>
        <w:t xml:space="preserve"> В соответствии с ч. 7 ст. 34 Закона о контрактной системе пеня начисляется за каждый день просрочки исполнения </w:t>
      </w:r>
      <w:r>
        <w:rPr>
          <w:rFonts w:cs="Times New Roman"/>
          <w:b w:val="false"/>
          <w:bCs w:val="false"/>
          <w:color w:val="000000"/>
          <w:sz w:val="22"/>
          <w:szCs w:val="22"/>
        </w:rPr>
        <w:t xml:space="preserve">Поставщиком </w:t>
      </w:r>
      <w:r>
        <w:rPr>
          <w:rFonts w:cs="Times New Roman"/>
          <w:b w:val="false"/>
          <w:bCs w:val="false"/>
          <w:sz w:val="22"/>
          <w:szCs w:val="2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cs="Times New Roman"/>
          <w:b w:val="false"/>
          <w:bCs w:val="false"/>
          <w:color w:val="000000"/>
          <w:sz w:val="22"/>
          <w:szCs w:val="22"/>
        </w:rPr>
        <w:t>Поставщиком</w:t>
      </w:r>
      <w:r>
        <w:rPr>
          <w:rFonts w:cs="Times New Roman"/>
          <w:b w:val="false"/>
          <w:bCs w:val="false"/>
          <w:sz w:val="22"/>
          <w:szCs w:val="22"/>
        </w:rPr>
        <w:t>, за исключением случаев, если законодательством Российской Федерации установлен иной порядок начисления пени.</w:t>
      </w:r>
    </w:p>
    <w:p>
      <w:pPr>
        <w:pStyle w:val="Normal"/>
        <w:spacing w:lineRule="auto" w:line="276"/>
        <w:ind w:firstLine="426"/>
        <w:jc w:val="both"/>
        <w:rPr>
          <w:b w:val="false"/>
          <w:bCs w:val="false"/>
        </w:rPr>
      </w:pPr>
      <w:r>
        <w:rPr>
          <w:rFonts w:cs="Times New Roman"/>
          <w:b w:val="false"/>
          <w:bCs w:val="false"/>
          <w:sz w:val="22"/>
          <w:szCs w:val="22"/>
        </w:rPr>
        <w:t>9.2.3.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 Поставщиком,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Поставщиком, утвержденными постановлением Правительства Российской Федерации от 30 августа 2017 г. № 1042 и равен 10 процентов цены Контракта.</w:t>
      </w:r>
    </w:p>
    <w:p>
      <w:pPr>
        <w:pStyle w:val="Normal"/>
        <w:spacing w:lineRule="auto" w:line="276"/>
        <w:ind w:firstLine="426"/>
        <w:jc w:val="both"/>
        <w:rPr>
          <w:b w:val="false"/>
          <w:bCs w:val="false"/>
        </w:rPr>
      </w:pPr>
      <w:r>
        <w:rPr>
          <w:rFonts w:cs="Times New Roman"/>
          <w:b w:val="false"/>
          <w:bCs w:val="false"/>
          <w:sz w:val="22"/>
          <w:szCs w:val="22"/>
        </w:rPr>
        <w:t>9.2.4.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pPr>
        <w:pStyle w:val="NormalWeb"/>
        <w:shd w:val="clear" w:color="auto" w:fill="FFFFFF"/>
        <w:spacing w:lineRule="auto" w:line="276" w:before="0" w:after="0"/>
        <w:ind w:firstLine="426"/>
        <w:jc w:val="both"/>
        <w:rPr>
          <w:b w:val="false"/>
          <w:bCs w:val="false"/>
        </w:rPr>
      </w:pPr>
      <w:r>
        <w:rPr>
          <w:b w:val="false"/>
          <w:bCs w:val="false"/>
          <w:color w:val="000000"/>
          <w:sz w:val="22"/>
          <w:szCs w:val="22"/>
        </w:rPr>
        <w:t>9.2.5. Общая сумма начисленных штрафов за неисполнение или ненадлежащее исполнение поставщиком (Подрядчиком, Поставщиком) обязательств, предусмотренных контрактом, не может превышать цену контракта.</w:t>
      </w:r>
    </w:p>
    <w:p>
      <w:pPr>
        <w:pStyle w:val="NormalWeb"/>
        <w:shd w:val="clear" w:color="auto" w:fill="FFFFFF"/>
        <w:spacing w:lineRule="auto" w:line="276" w:before="0" w:after="0"/>
        <w:ind w:firstLine="426"/>
        <w:jc w:val="both"/>
        <w:rPr>
          <w:b w:val="false"/>
          <w:bCs w:val="false"/>
        </w:rPr>
      </w:pPr>
      <w:r>
        <w:rPr>
          <w:b w:val="false"/>
          <w:bCs w:val="false"/>
          <w:color w:val="000000"/>
          <w:spacing w:val="-1"/>
          <w:sz w:val="22"/>
          <w:szCs w:val="22"/>
        </w:rPr>
        <w:t>9.2.6.</w:t>
      </w:r>
      <w:r>
        <w:rPr>
          <w:b w:val="false"/>
          <w:bCs w:val="false"/>
          <w:color w:val="FF0000"/>
          <w:spacing w:val="-1"/>
          <w:sz w:val="22"/>
          <w:szCs w:val="22"/>
        </w:rPr>
        <w:t xml:space="preserve"> </w:t>
      </w:r>
      <w:r>
        <w:rPr>
          <w:b w:val="false"/>
          <w:bCs w:val="false"/>
          <w:spacing w:val="-1"/>
          <w:sz w:val="22"/>
          <w:szCs w:val="22"/>
        </w:rPr>
        <w:t xml:space="preserve">В случае нарушения </w:t>
      </w:r>
      <w:r>
        <w:rPr>
          <w:b w:val="false"/>
          <w:bCs w:val="false"/>
          <w:color w:val="000000"/>
          <w:spacing w:val="-1"/>
          <w:sz w:val="22"/>
          <w:szCs w:val="22"/>
        </w:rPr>
        <w:t xml:space="preserve">Поставщиком </w:t>
      </w:r>
      <w:r>
        <w:rPr>
          <w:b w:val="false"/>
          <w:bCs w:val="false"/>
          <w:spacing w:val="-1"/>
          <w:sz w:val="22"/>
          <w:szCs w:val="22"/>
        </w:rPr>
        <w:t xml:space="preserve">обязательств по Контракту Покупатель вправе зачесть начисленную за данное нарушение неустойку/штраф в счет суммы, подлежащей уплате </w:t>
      </w:r>
      <w:r>
        <w:rPr>
          <w:b w:val="false"/>
          <w:bCs w:val="false"/>
          <w:color w:val="000000"/>
          <w:spacing w:val="-1"/>
          <w:sz w:val="22"/>
          <w:szCs w:val="22"/>
        </w:rPr>
        <w:t xml:space="preserve">Поставщику </w:t>
      </w:r>
      <w:r>
        <w:rPr>
          <w:b w:val="false"/>
          <w:bCs w:val="false"/>
          <w:spacing w:val="-1"/>
          <w:sz w:val="22"/>
          <w:szCs w:val="22"/>
        </w:rPr>
        <w:t>за оказанные им услуги.</w:t>
      </w:r>
    </w:p>
    <w:p>
      <w:pPr>
        <w:pStyle w:val="NormalWeb"/>
        <w:shd w:val="clear" w:color="auto" w:fill="FFFFFF"/>
        <w:spacing w:lineRule="auto" w:line="276" w:before="0" w:after="0"/>
        <w:ind w:firstLine="426"/>
        <w:jc w:val="both"/>
        <w:rPr/>
      </w:pPr>
      <w:r>
        <w:rPr>
          <w:rStyle w:val="Arefseq"/>
          <w:b/>
          <w:bCs/>
          <w:color w:val="000000"/>
          <w:sz w:val="22"/>
          <w:szCs w:val="22"/>
        </w:rPr>
        <w:t>9.3. </w:t>
      </w:r>
      <w:r>
        <w:rPr>
          <w:b/>
          <w:color w:val="000000"/>
          <w:sz w:val="22"/>
          <w:szCs w:val="22"/>
        </w:rPr>
        <w:t>Взыскание неустойки с Покупателя</w:t>
      </w:r>
    </w:p>
    <w:p>
      <w:pPr>
        <w:pStyle w:val="NormalWeb"/>
        <w:shd w:val="clear" w:color="auto" w:fill="FFFFFF"/>
        <w:spacing w:lineRule="auto" w:line="276" w:before="0" w:after="0"/>
        <w:ind w:firstLine="426"/>
        <w:jc w:val="both"/>
        <w:rPr/>
      </w:pPr>
      <w:r>
        <w:rPr>
          <w:rStyle w:val="Arefseq"/>
          <w:b w:val="false"/>
          <w:bCs w:val="false"/>
          <w:color w:val="000000"/>
          <w:sz w:val="22"/>
          <w:szCs w:val="22"/>
        </w:rPr>
        <w:t>9.3.1. </w:t>
      </w:r>
      <w:r>
        <w:rPr>
          <w:b w:val="false"/>
          <w:bCs w:val="false"/>
          <w:color w:val="000000"/>
          <w:sz w:val="22"/>
          <w:szCs w:val="22"/>
        </w:rPr>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контрактных обязательств Поставщик вправе потребовать уплаты неустоек (штрафов, пеней).</w:t>
      </w:r>
    </w:p>
    <w:p>
      <w:pPr>
        <w:pStyle w:val="NormalWeb"/>
        <w:shd w:val="clear" w:color="auto" w:fill="FFFFFF"/>
        <w:spacing w:lineRule="auto" w:line="276" w:before="0" w:after="0"/>
        <w:ind w:firstLine="426"/>
        <w:jc w:val="both"/>
        <w:rPr/>
      </w:pPr>
      <w:r>
        <w:rPr>
          <w:rStyle w:val="Arefseq"/>
          <w:b w:val="false"/>
          <w:bCs w:val="false"/>
          <w:color w:val="000000"/>
          <w:sz w:val="22"/>
          <w:szCs w:val="22"/>
        </w:rPr>
        <w:t>9.3.2. </w:t>
      </w:r>
      <w:r>
        <w:rPr>
          <w:b w:val="false"/>
          <w:bCs w:val="false"/>
          <w:color w:val="000000"/>
          <w:sz w:val="22"/>
          <w:szCs w:val="22"/>
        </w:rPr>
        <w:t>Пеня начисляется Покупателю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pPr>
        <w:pStyle w:val="Normal"/>
        <w:spacing w:lineRule="auto" w:line="276"/>
        <w:ind w:firstLine="426"/>
        <w:jc w:val="both"/>
        <w:rPr/>
      </w:pPr>
      <w:r>
        <w:rPr>
          <w:rStyle w:val="Arefseq"/>
          <w:rFonts w:cs="Times New Roman"/>
          <w:b w:val="false"/>
          <w:bCs w:val="false"/>
          <w:color w:val="000000"/>
          <w:sz w:val="22"/>
          <w:szCs w:val="22"/>
        </w:rPr>
        <w:t>9.3.3. За</w:t>
      </w:r>
      <w:r>
        <w:rPr>
          <w:rFonts w:cs="Times New Roman"/>
          <w:b w:val="false"/>
          <w:bCs w:val="false"/>
          <w:sz w:val="22"/>
          <w:szCs w:val="22"/>
        </w:rPr>
        <w:t xml:space="preserve">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cs="Times New Roman"/>
          <w:b w:val="false"/>
          <w:bCs w:val="false"/>
          <w:color w:val="FF0000"/>
          <w:sz w:val="22"/>
          <w:szCs w:val="22"/>
        </w:rPr>
        <w:t xml:space="preserve"> </w:t>
      </w:r>
      <w:r>
        <w:rPr>
          <w:rFonts w:cs="Times New Roman"/>
          <w:b w:val="false"/>
          <w:bCs w:val="false"/>
          <w:sz w:val="22"/>
          <w:szCs w:val="22"/>
        </w:rPr>
        <w:t>1 000,00 (одна тысяча) рублей 00 копеек.</w:t>
      </w:r>
    </w:p>
    <w:p>
      <w:pPr>
        <w:pStyle w:val="NormalWeb"/>
        <w:shd w:val="clear" w:color="auto" w:fill="FFFFFF"/>
        <w:spacing w:lineRule="auto" w:line="276" w:before="0" w:after="0"/>
        <w:ind w:firstLine="426"/>
        <w:jc w:val="both"/>
        <w:rPr/>
      </w:pPr>
      <w:r>
        <w:rPr>
          <w:rStyle w:val="Arefseq"/>
          <w:b w:val="false"/>
          <w:bCs w:val="false"/>
          <w:color w:val="000000"/>
          <w:sz w:val="22"/>
          <w:szCs w:val="22"/>
        </w:rPr>
        <w:t>9.4. </w:t>
      </w:r>
      <w:r>
        <w:rPr>
          <w:b w:val="false"/>
          <w:bCs w:val="false"/>
          <w:color w:val="000000"/>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Web"/>
        <w:shd w:val="clear" w:color="auto" w:fill="FFFFFF"/>
        <w:spacing w:lineRule="auto" w:line="276" w:before="0" w:after="0"/>
        <w:ind w:firstLine="426"/>
        <w:jc w:val="both"/>
        <w:rPr/>
      </w:pPr>
      <w:r>
        <w:rPr>
          <w:rStyle w:val="Arefseq"/>
          <w:b w:val="false"/>
          <w:bCs w:val="false"/>
          <w:color w:val="000000"/>
          <w:sz w:val="22"/>
          <w:szCs w:val="22"/>
        </w:rPr>
        <w:t>9.5. </w:t>
      </w:r>
      <w:r>
        <w:rPr>
          <w:b w:val="false"/>
          <w:bCs w:val="false"/>
          <w:color w:val="000000"/>
          <w:sz w:val="22"/>
          <w:szCs w:val="22"/>
        </w:rPr>
        <w:t>Каждая из сторон обязана возместить другой стороне убытки, причиненные неисполнением или ненадлежащим исполнением своих обязательств.</w:t>
      </w:r>
    </w:p>
    <w:p>
      <w:pPr>
        <w:pStyle w:val="NormalWeb"/>
        <w:shd w:val="clear" w:color="auto" w:fill="FFFFFF"/>
        <w:spacing w:lineRule="auto" w:line="276" w:before="0" w:after="0"/>
        <w:ind w:firstLine="426"/>
        <w:jc w:val="both"/>
        <w:rPr/>
      </w:pPr>
      <w:r>
        <w:rPr>
          <w:b w:val="false"/>
          <w:bCs w:val="false"/>
          <w:color w:val="000000"/>
          <w:sz w:val="22"/>
          <w:szCs w:val="22"/>
        </w:rPr>
        <w:t>9.6. Общая сумма начисленн</w:t>
      </w:r>
      <w:r>
        <w:rPr>
          <w:color w:val="000000"/>
          <w:sz w:val="22"/>
          <w:szCs w:val="22"/>
        </w:rPr>
        <w:t>ых штрафов за ненадлежащее исполнение заказчиком обязательств, предусмотренных контрактом, не может превышать цену контракта.</w:t>
      </w:r>
    </w:p>
    <w:p>
      <w:pPr>
        <w:pStyle w:val="NormalWeb"/>
        <w:shd w:val="clear" w:color="auto" w:fill="FFFFFF"/>
        <w:spacing w:lineRule="auto" w:line="276" w:before="0" w:after="0"/>
        <w:ind w:firstLine="426"/>
        <w:jc w:val="both"/>
        <w:rPr>
          <w:sz w:val="22"/>
          <w:szCs w:val="22"/>
        </w:rPr>
      </w:pPr>
      <w:r>
        <w:rPr>
          <w:sz w:val="22"/>
          <w:szCs w:val="22"/>
        </w:rPr>
      </w:r>
    </w:p>
    <w:p>
      <w:pPr>
        <w:pStyle w:val="Standard"/>
        <w:jc w:val="center"/>
        <w:rPr>
          <w:b/>
          <w:sz w:val="23"/>
          <w:szCs w:val="23"/>
        </w:rPr>
      </w:pPr>
      <w:r>
        <w:rPr>
          <w:b/>
          <w:sz w:val="23"/>
          <w:szCs w:val="23"/>
        </w:rPr>
        <w:t>10. Форс-мажорные обстоятельства.</w:t>
      </w:r>
    </w:p>
    <w:p>
      <w:pPr>
        <w:pStyle w:val="Standard"/>
        <w:jc w:val="both"/>
        <w:rPr>
          <w:sz w:val="23"/>
          <w:szCs w:val="23"/>
        </w:rPr>
      </w:pPr>
      <w:r>
        <w:rPr>
          <w:sz w:val="23"/>
          <w:szCs w:val="23"/>
        </w:rPr>
        <w:t>10.1. При возникновении обстоятельств, которые делают полностью или частично невозможным выполнения Контракта одной из сторон, а именно: пожар, стихийное бедствие, война, военные действия всех видов, замена текущего законодательства и другие возможные обстоятельства непреодолимой силы, не зависящие от сторон, сроки исполнения обязательств продлеваются на то время, в течение которого действуют эти обстоятельства.</w:t>
      </w:r>
    </w:p>
    <w:p>
      <w:pPr>
        <w:pStyle w:val="Standard"/>
        <w:jc w:val="both"/>
        <w:rPr>
          <w:sz w:val="23"/>
          <w:szCs w:val="23"/>
        </w:rPr>
      </w:pPr>
      <w:r>
        <w:rPr>
          <w:sz w:val="23"/>
          <w:szCs w:val="23"/>
        </w:rPr>
        <w:t>10.2. Сторона, которая не исполняет своего обязательства, должна дать извещение другой стороне о препятствии и о его влиянии на исполнение обязательств по Контракту.</w:t>
      </w:r>
    </w:p>
    <w:p>
      <w:pPr>
        <w:pStyle w:val="Standard"/>
        <w:jc w:val="both"/>
        <w:rPr>
          <w:sz w:val="23"/>
          <w:szCs w:val="23"/>
        </w:rPr>
      </w:pPr>
      <w:r>
        <w:rPr>
          <w:sz w:val="23"/>
          <w:szCs w:val="23"/>
        </w:rPr>
        <w:t>10.3. Если обстоятельство непреодолимой силы действует на протяжении одного месяца и не обнаруживает признаков прекращения, Контракт может быть расторгнут одной из сторон путем направления уведомления другой стороне.</w:t>
      </w:r>
    </w:p>
    <w:p>
      <w:pPr>
        <w:pStyle w:val="Standard"/>
        <w:jc w:val="both"/>
        <w:rPr>
          <w:sz w:val="23"/>
          <w:szCs w:val="23"/>
        </w:rPr>
      </w:pPr>
      <w:r>
        <w:rPr>
          <w:sz w:val="23"/>
          <w:szCs w:val="23"/>
        </w:rPr>
        <w:t>10.4. Сторона, ссылающаяся на форс-мажорные обстоятельства, обязана предоставить для их подтверждения документ компетентного государственного органа.</w:t>
      </w:r>
    </w:p>
    <w:p>
      <w:pPr>
        <w:pStyle w:val="Standard"/>
        <w:jc w:val="both"/>
        <w:rPr>
          <w:b/>
        </w:rPr>
      </w:pPr>
      <w:r>
        <w:rPr>
          <w:b/>
        </w:rPr>
      </w:r>
    </w:p>
    <w:p>
      <w:pPr>
        <w:pStyle w:val="Standard"/>
        <w:jc w:val="center"/>
        <w:rPr>
          <w:b/>
        </w:rPr>
      </w:pPr>
      <w:r>
        <w:rPr>
          <w:b/>
        </w:rPr>
        <w:t>11. Антикоррупционная оговорка.</w:t>
      </w:r>
    </w:p>
    <w:p>
      <w:pPr>
        <w:pStyle w:val="Standard"/>
        <w:jc w:val="both"/>
        <w:rPr/>
      </w:pPr>
      <w:r>
        <w:rPr/>
        <w:t xml:space="preserve">11.1. </w:t>
      </w:r>
      <w:r>
        <w:rPr>
          <w:sz w:val="23"/>
          <w:szCs w:val="23"/>
        </w:rPr>
        <w:t>При исполнении своих обязательств по Контракту,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pPr>
        <w:pStyle w:val="Standard"/>
        <w:jc w:val="both"/>
        <w:rPr>
          <w:sz w:val="23"/>
          <w:szCs w:val="23"/>
        </w:rPr>
      </w:pPr>
      <w:r>
        <w:rPr>
          <w:sz w:val="23"/>
          <w:szCs w:val="23"/>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pPr>
        <w:pStyle w:val="Standard"/>
        <w:jc w:val="both"/>
        <w:rPr>
          <w:sz w:val="23"/>
          <w:szCs w:val="23"/>
        </w:rPr>
      </w:pPr>
      <w:r>
        <w:rPr>
          <w:sz w:val="23"/>
          <w:szCs w:val="23"/>
        </w:rPr>
        <w:t>- не осуществляют действия, квалифицируемые применимым для целей Контракта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pPr>
        <w:pStyle w:val="Standard"/>
        <w:jc w:val="both"/>
        <w:rPr>
          <w:sz w:val="23"/>
          <w:szCs w:val="23"/>
        </w:rPr>
      </w:pPr>
      <w:r>
        <w:rPr>
          <w:sz w:val="23"/>
          <w:szCs w:val="23"/>
        </w:rPr>
        <w:t>11.2. В случае возникновения у Сторон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pPr>
        <w:pStyle w:val="Standard"/>
        <w:jc w:val="both"/>
        <w:rPr>
          <w:sz w:val="23"/>
          <w:szCs w:val="23"/>
        </w:rPr>
      </w:pPr>
      <w:r>
        <w:rPr>
          <w:sz w:val="23"/>
          <w:szCs w:val="23"/>
        </w:rPr>
        <w:t>11.3. Поставщик обязуется по требованию Покупательа раскрыть информацию о конечных бенефициарах в течение 10 (десяти) рабочих дней с момента получения такого запроса.</w:t>
      </w:r>
    </w:p>
    <w:p>
      <w:pPr>
        <w:pStyle w:val="Standard"/>
        <w:jc w:val="both"/>
        <w:rPr>
          <w:sz w:val="23"/>
          <w:szCs w:val="23"/>
        </w:rPr>
      </w:pPr>
      <w:r>
        <w:rPr>
          <w:sz w:val="23"/>
          <w:szCs w:val="23"/>
        </w:rPr>
        <w:t>11.4. В случае нарушения Поставщиком обязательств, предусмотренных настоящей статьёй, Покупатель имеет право в любой срок в одностороннем внесудебном порядке отказаться от исполнения настоящего Контракта полностью или в части, направив письменное уведомление о расторжении или изменении Контракта. Покупатель  вправе требовать возмещения убытков в полном объёме, возникших в результате такого расторжения или изменения Контракта.</w:t>
      </w:r>
    </w:p>
    <w:p>
      <w:pPr>
        <w:pStyle w:val="Standard"/>
        <w:rPr/>
      </w:pPr>
      <w:r>
        <w:rPr/>
      </w:r>
    </w:p>
    <w:p>
      <w:pPr>
        <w:pStyle w:val="Standard"/>
        <w:jc w:val="center"/>
        <w:rPr>
          <w:b/>
        </w:rPr>
      </w:pPr>
      <w:r>
        <w:rPr>
          <w:b/>
        </w:rPr>
        <w:t>12. Аффилированность</w:t>
      </w:r>
    </w:p>
    <w:p>
      <w:pPr>
        <w:pStyle w:val="Standard"/>
        <w:jc w:val="both"/>
        <w:rPr>
          <w:sz w:val="23"/>
          <w:szCs w:val="23"/>
        </w:rPr>
      </w:pPr>
      <w:r>
        <w:rPr>
          <w:sz w:val="23"/>
          <w:szCs w:val="23"/>
        </w:rPr>
        <w:t>12.1. Поставщик подтверждает, что по состоянию на дату заключения настоящего Контракта и в течение всего периода его действия никто из следующих лиц:</w:t>
      </w:r>
    </w:p>
    <w:p>
      <w:pPr>
        <w:pStyle w:val="Standard"/>
        <w:jc w:val="both"/>
        <w:rPr>
          <w:sz w:val="23"/>
          <w:szCs w:val="23"/>
        </w:rPr>
      </w:pPr>
      <w:r>
        <w:rPr>
          <w:sz w:val="23"/>
          <w:szCs w:val="23"/>
        </w:rPr>
        <w:t>- Поставщик и/или выгодоприобретатели, посредники или представители в данной сделке со стороны Поставщика, либо близкие родственники (супруги, родители, дети, полнородные и неполнородные братья и сестры, усыновители и усыновленные, дети супругов и супруги детей) Поставщика и/или выгодоприобретателя, посредника или представителя в данной сделке со стороны Поставщика;</w:t>
      </w:r>
    </w:p>
    <w:p>
      <w:pPr>
        <w:pStyle w:val="Standard"/>
        <w:jc w:val="both"/>
        <w:rPr>
          <w:sz w:val="23"/>
          <w:szCs w:val="23"/>
        </w:rPr>
      </w:pPr>
      <w:r>
        <w:rPr>
          <w:sz w:val="23"/>
          <w:szCs w:val="23"/>
        </w:rPr>
        <w:t>- лица, занимающие должности в органах управления Поставщика и/или в органах управления управляющей организации Покупательа и/или в органах управления выгодоприобретателей, посредников или представителей в сделке со стороны Поставщика;</w:t>
      </w:r>
    </w:p>
    <w:p>
      <w:pPr>
        <w:pStyle w:val="Standard"/>
        <w:jc w:val="both"/>
        <w:rPr>
          <w:sz w:val="23"/>
          <w:szCs w:val="23"/>
        </w:rPr>
      </w:pPr>
      <w:r>
        <w:rPr>
          <w:sz w:val="23"/>
          <w:szCs w:val="23"/>
        </w:rPr>
        <w:t>- лица, владеющие совместно с аффилированными лицами 20 и более процентами акций (долей, паев) Поставщика, выгодоприобретателя, посредника или представителя в данной сделке со стороны Поставщика:</w:t>
      </w:r>
    </w:p>
    <w:p>
      <w:pPr>
        <w:pStyle w:val="Standard"/>
        <w:ind w:firstLine="426"/>
        <w:jc w:val="both"/>
        <w:rPr>
          <w:sz w:val="23"/>
          <w:szCs w:val="23"/>
        </w:rPr>
      </w:pPr>
      <w:r>
        <w:rPr>
          <w:sz w:val="23"/>
          <w:szCs w:val="23"/>
        </w:rPr>
        <w:t>не состоит в близком родстве или свойстве с лицами, замещающими должности в ФССП России, замещение которых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Standard"/>
        <w:ind w:firstLine="426"/>
        <w:jc w:val="both"/>
        <w:rPr>
          <w:sz w:val="23"/>
          <w:szCs w:val="23"/>
        </w:rPr>
      </w:pPr>
      <w:r>
        <w:rPr>
          <w:sz w:val="23"/>
          <w:szCs w:val="23"/>
        </w:rPr>
      </w:r>
    </w:p>
    <w:p>
      <w:pPr>
        <w:pStyle w:val="Standard"/>
        <w:jc w:val="center"/>
        <w:rPr>
          <w:b/>
          <w:sz w:val="23"/>
          <w:szCs w:val="23"/>
        </w:rPr>
      </w:pPr>
      <w:r>
        <w:rPr>
          <w:b/>
          <w:sz w:val="23"/>
          <w:szCs w:val="23"/>
        </w:rPr>
        <w:t>13. Порядок разрешения споров.</w:t>
      </w:r>
    </w:p>
    <w:p>
      <w:pPr>
        <w:pStyle w:val="Standard"/>
        <w:jc w:val="both"/>
        <w:rPr>
          <w:sz w:val="23"/>
          <w:szCs w:val="23"/>
        </w:rPr>
      </w:pPr>
      <w:r>
        <w:rPr>
          <w:sz w:val="23"/>
          <w:szCs w:val="23"/>
        </w:rPr>
        <w:t>13.1.При возникновении споров стороны принимают меры к урегулированию их путем переговоров.</w:t>
      </w:r>
    </w:p>
    <w:p>
      <w:pPr>
        <w:pStyle w:val="Standard"/>
        <w:jc w:val="both"/>
        <w:rPr>
          <w:sz w:val="23"/>
          <w:szCs w:val="23"/>
        </w:rPr>
      </w:pPr>
      <w:r>
        <w:rPr>
          <w:sz w:val="23"/>
          <w:szCs w:val="23"/>
        </w:rPr>
        <w:t>13.2.При невозможности урегулирования споров путем переговоров споры разрешаются Арбитражном судом г. Санкт-Петербурга и Ленинградской области в соответствии с действующим законодательством Российской Федерации.</w:t>
      </w:r>
    </w:p>
    <w:p>
      <w:pPr>
        <w:pStyle w:val="Standard"/>
        <w:jc w:val="both"/>
        <w:rPr>
          <w:b/>
          <w:sz w:val="23"/>
          <w:szCs w:val="23"/>
        </w:rPr>
      </w:pPr>
      <w:r>
        <w:rPr>
          <w:b/>
          <w:sz w:val="23"/>
          <w:szCs w:val="23"/>
        </w:rPr>
      </w:r>
    </w:p>
    <w:p>
      <w:pPr>
        <w:pStyle w:val="Standard"/>
        <w:jc w:val="center"/>
        <w:rPr>
          <w:b/>
          <w:sz w:val="23"/>
          <w:szCs w:val="23"/>
        </w:rPr>
      </w:pPr>
      <w:r>
        <w:rPr>
          <w:b/>
          <w:sz w:val="23"/>
          <w:szCs w:val="23"/>
        </w:rPr>
        <w:t>14. Условия изменения, дополнения и расторжения Контракта.</w:t>
      </w:r>
    </w:p>
    <w:p>
      <w:pPr>
        <w:pStyle w:val="Standard"/>
        <w:jc w:val="both"/>
        <w:rPr>
          <w:sz w:val="23"/>
          <w:szCs w:val="23"/>
        </w:rPr>
      </w:pPr>
      <w:r>
        <w:rPr>
          <w:sz w:val="23"/>
          <w:szCs w:val="23"/>
        </w:rPr>
        <w:t>14.1. Любые изменения и дополнения к Контракту имеют силу только в том случае, если они оформлены в письменном виде и подписаны обеими сторонами в соответствии со ст. 95 Федерального закона от 05.04.2013 №44-ФЗ.</w:t>
      </w:r>
    </w:p>
    <w:p>
      <w:pPr>
        <w:pStyle w:val="Standard"/>
        <w:jc w:val="both"/>
        <w:rPr>
          <w:sz w:val="23"/>
          <w:szCs w:val="23"/>
        </w:rPr>
      </w:pPr>
      <w:r>
        <w:rPr>
          <w:sz w:val="23"/>
          <w:szCs w:val="23"/>
        </w:rPr>
        <w:t>14.2. Расторжение контракта возможно по соглашению сторон, в одностороннем порядке на условиях настоящего контракта, по решению суда.</w:t>
      </w:r>
    </w:p>
    <w:p>
      <w:pPr>
        <w:pStyle w:val="Standard"/>
        <w:jc w:val="both"/>
        <w:rPr>
          <w:sz w:val="23"/>
          <w:szCs w:val="23"/>
        </w:rPr>
      </w:pPr>
      <w:r>
        <w:rPr>
          <w:sz w:val="23"/>
          <w:szCs w:val="23"/>
        </w:rPr>
        <w:t>14.3. В случае задержки поставки товара  по вине Поставщика более чем на 20 рабочих дней Покупатель имеет право расторгнуть Контракт в одностороннем порядке полностью или частично, с проведением расчетов за фактически поставленный товар.</w:t>
      </w:r>
    </w:p>
    <w:p>
      <w:pPr>
        <w:pStyle w:val="Standard"/>
        <w:jc w:val="both"/>
        <w:rPr>
          <w:b/>
          <w:sz w:val="23"/>
          <w:szCs w:val="23"/>
        </w:rPr>
      </w:pPr>
      <w:r>
        <w:rPr>
          <w:b/>
          <w:sz w:val="23"/>
          <w:szCs w:val="23"/>
        </w:rPr>
      </w:r>
    </w:p>
    <w:p>
      <w:pPr>
        <w:pStyle w:val="Standard"/>
        <w:jc w:val="center"/>
        <w:rPr>
          <w:b/>
          <w:sz w:val="23"/>
          <w:szCs w:val="23"/>
        </w:rPr>
      </w:pPr>
      <w:r>
        <w:rPr>
          <w:b/>
          <w:sz w:val="23"/>
          <w:szCs w:val="23"/>
        </w:rPr>
        <w:t>15. Прочие условия.</w:t>
      </w:r>
    </w:p>
    <w:p>
      <w:pPr>
        <w:pStyle w:val="Standard"/>
        <w:pBdr>
          <w:bottom w:val="single" w:sz="12" w:space="1" w:color="000001"/>
        </w:pBdr>
        <w:jc w:val="both"/>
        <w:rPr/>
      </w:pPr>
      <w:r>
        <w:rPr>
          <w:sz w:val="23"/>
          <w:szCs w:val="23"/>
        </w:rPr>
        <w:t xml:space="preserve">15.1. Ниже перечисленные документы образуют приложения к Контракту и являются его неотъемлемой частью: Приложение №1 - </w:t>
      </w:r>
      <w:r>
        <w:rPr>
          <w:i w:val="false"/>
          <w:iCs w:val="false"/>
          <w:sz w:val="23"/>
          <w:szCs w:val="23"/>
          <w:u w:val="none"/>
        </w:rPr>
        <w:t>Спецификация.</w:t>
      </w:r>
    </w:p>
    <w:p>
      <w:pPr>
        <w:pStyle w:val="Standard"/>
        <w:ind w:left="360"/>
        <w:rPr>
          <w:b/>
          <w:sz w:val="23"/>
          <w:szCs w:val="23"/>
        </w:rPr>
      </w:pPr>
      <w:r>
        <w:rPr>
          <w:b/>
          <w:sz w:val="23"/>
          <w:szCs w:val="23"/>
        </w:rPr>
      </w:r>
    </w:p>
    <w:p>
      <w:pPr>
        <w:pStyle w:val="Standard"/>
        <w:jc w:val="center"/>
        <w:rPr>
          <w:b/>
          <w:sz w:val="23"/>
          <w:szCs w:val="23"/>
        </w:rPr>
      </w:pPr>
      <w:r>
        <w:rPr>
          <w:b/>
          <w:sz w:val="23"/>
          <w:szCs w:val="23"/>
        </w:rPr>
        <w:t>16. Адреса и банковские реквизиты.</w:t>
      </w:r>
    </w:p>
    <w:p>
      <w:pPr>
        <w:pStyle w:val="Standard"/>
        <w:rPr>
          <w:b/>
          <w:sz w:val="23"/>
          <w:szCs w:val="23"/>
        </w:rPr>
      </w:pPr>
      <w:r>
        <w:rPr>
          <w:b/>
          <w:sz w:val="23"/>
          <w:szCs w:val="23"/>
        </w:rPr>
      </w:r>
    </w:p>
    <w:tbl>
      <w:tblPr>
        <w:tblW w:w="9856" w:type="dxa"/>
        <w:jc w:val="left"/>
        <w:tblInd w:w="99" w:type="dxa"/>
        <w:tblLayout w:type="fixed"/>
        <w:tblCellMar>
          <w:top w:w="0" w:type="dxa"/>
          <w:left w:w="108" w:type="dxa"/>
          <w:bottom w:w="0" w:type="dxa"/>
          <w:right w:w="108" w:type="dxa"/>
        </w:tblCellMar>
        <w:tblLook w:val="0000" w:noHBand="0" w:noVBand="0" w:firstColumn="0" w:lastRow="0" w:lastColumn="0" w:firstRow="0"/>
      </w:tblPr>
      <w:tblGrid>
        <w:gridCol w:w="4859"/>
        <w:gridCol w:w="4996"/>
      </w:tblGrid>
      <w:tr>
        <w:trPr>
          <w:trHeight w:val="333" w:hRule="atLeast"/>
        </w:trPr>
        <w:tc>
          <w:tcPr>
            <w:tcW w:w="4859" w:type="dxa"/>
            <w:tcBorders/>
            <w:shd w:color="auto" w:fill="FFFFFF" w:val="clear"/>
            <w:vAlign w:val="center"/>
          </w:tcPr>
          <w:p>
            <w:pPr>
              <w:pStyle w:val="Standard"/>
              <w:tabs>
                <w:tab w:val="clear" w:pos="653"/>
                <w:tab w:val="left" w:pos="360" w:leader="none"/>
              </w:tabs>
              <w:jc w:val="center"/>
              <w:rPr>
                <w:b/>
                <w:sz w:val="23"/>
                <w:szCs w:val="23"/>
              </w:rPr>
            </w:pPr>
            <w:r>
              <w:rPr>
                <w:b/>
                <w:sz w:val="23"/>
                <w:szCs w:val="23"/>
              </w:rPr>
              <w:t>Покупатель</w:t>
            </w:r>
          </w:p>
        </w:tc>
        <w:tc>
          <w:tcPr>
            <w:tcW w:w="4996" w:type="dxa"/>
            <w:tcBorders/>
            <w:shd w:color="auto" w:fill="FFFFFF" w:val="clear"/>
          </w:tcPr>
          <w:p>
            <w:pPr>
              <w:pStyle w:val="Standard"/>
              <w:tabs>
                <w:tab w:val="clear" w:pos="653"/>
                <w:tab w:val="left" w:pos="360" w:leader="none"/>
              </w:tabs>
              <w:jc w:val="center"/>
              <w:rPr>
                <w:b/>
                <w:bCs/>
                <w:sz w:val="23"/>
                <w:szCs w:val="23"/>
              </w:rPr>
            </w:pPr>
            <w:r>
              <w:rPr>
                <w:b/>
                <w:bCs/>
                <w:sz w:val="23"/>
                <w:szCs w:val="23"/>
              </w:rPr>
              <w:t>Поставщик</w:t>
            </w:r>
          </w:p>
        </w:tc>
      </w:tr>
      <w:tr>
        <w:trPr>
          <w:trHeight w:val="441" w:hRule="atLeast"/>
        </w:trPr>
        <w:tc>
          <w:tcPr>
            <w:tcW w:w="4859" w:type="dxa"/>
            <w:tcBorders/>
            <w:shd w:color="auto" w:fill="FFFFFF" w:val="clear"/>
          </w:tcPr>
          <w:p>
            <w:pPr>
              <w:pStyle w:val="Normal"/>
              <w:rPr>
                <w:b/>
                <w:sz w:val="22"/>
                <w:szCs w:val="22"/>
              </w:rPr>
            </w:pPr>
            <w:r>
              <w:rPr>
                <w:b/>
                <w:sz w:val="22"/>
                <w:szCs w:val="22"/>
              </w:rPr>
              <w:t>Главное управление Федеральной службы судебных  приставов по г. Санкт-Петербургу</w:t>
            </w:r>
          </w:p>
          <w:p>
            <w:pPr>
              <w:pStyle w:val="Normal"/>
              <w:rPr>
                <w:b/>
                <w:sz w:val="22"/>
                <w:szCs w:val="22"/>
              </w:rPr>
            </w:pPr>
            <w:r>
              <w:rPr>
                <w:b/>
                <w:sz w:val="22"/>
                <w:szCs w:val="22"/>
              </w:rPr>
            </w:r>
          </w:p>
          <w:p>
            <w:pPr>
              <w:pStyle w:val="Normal"/>
              <w:spacing w:lineRule="auto" w:line="240" w:before="0" w:after="0"/>
              <w:ind w:hanging="0"/>
              <w:rPr/>
            </w:pPr>
            <w:r>
              <w:rPr>
                <w:rFonts w:cs="Times New Roman"/>
                <w:color w:val="000000"/>
                <w:sz w:val="22"/>
                <w:szCs w:val="22"/>
                <w:lang w:eastAsia="ar-SA"/>
              </w:rPr>
              <w:t>190121, г.Санкт-Петербург, ул. Большая Морская, д.59.</w:t>
            </w:r>
          </w:p>
          <w:p>
            <w:pPr>
              <w:pStyle w:val="Normal"/>
              <w:spacing w:lineRule="auto" w:line="240" w:before="0" w:after="0"/>
              <w:ind w:hanging="0"/>
              <w:rPr/>
            </w:pPr>
            <w:r>
              <w:rPr>
                <w:rFonts w:cs="Times New Roman"/>
                <w:color w:val="000000"/>
                <w:sz w:val="22"/>
                <w:szCs w:val="22"/>
                <w:lang w:eastAsia="ar-SA"/>
              </w:rPr>
              <w:t>Получатель: УФК по г.Санкт-Петербургу (Главное управление Федеральной службы судебных приставов по г.Санкт-Петербургу, л/с 03721785720)</w:t>
            </w:r>
          </w:p>
          <w:p>
            <w:pPr>
              <w:pStyle w:val="Normal"/>
              <w:spacing w:lineRule="auto" w:line="240" w:before="0" w:after="0"/>
              <w:ind w:hanging="0"/>
              <w:rPr/>
            </w:pPr>
            <w:r>
              <w:rPr>
                <w:rFonts w:cs="Times New Roman"/>
                <w:color w:val="000000"/>
                <w:sz w:val="22"/>
                <w:szCs w:val="22"/>
                <w:lang w:eastAsia="ar-SA"/>
              </w:rPr>
              <w:t>ИНН/КПП 7838027691/783801001</w:t>
            </w:r>
          </w:p>
          <w:p>
            <w:pPr>
              <w:pStyle w:val="Normal"/>
              <w:spacing w:lineRule="auto" w:line="240" w:before="0" w:after="0"/>
              <w:ind w:hanging="0"/>
              <w:rPr/>
            </w:pPr>
            <w:r>
              <w:rPr>
                <w:rFonts w:cs="Times New Roman"/>
                <w:color w:val="000000"/>
                <w:sz w:val="22"/>
                <w:szCs w:val="22"/>
                <w:lang w:eastAsia="ar-SA"/>
              </w:rPr>
              <w:t>р/сч 03211643000000013225</w:t>
            </w:r>
          </w:p>
          <w:p>
            <w:pPr>
              <w:pStyle w:val="Normal"/>
              <w:spacing w:lineRule="auto" w:line="240" w:before="0" w:after="0"/>
              <w:ind w:hanging="0"/>
              <w:rPr/>
            </w:pPr>
            <w:r>
              <w:rPr>
                <w:rFonts w:cs="Times New Roman"/>
                <w:color w:val="000000"/>
                <w:sz w:val="22"/>
                <w:szCs w:val="22"/>
                <w:lang w:eastAsia="ar-SA"/>
              </w:rPr>
              <w:t>Наименование банка: ОКЦ № 1 ВОЛГО-ВЯТСКОГО ГУ БАНКА РОССИИ//УФК по Нижегородской области, г. Нижний Новгород</w:t>
            </w:r>
          </w:p>
          <w:p>
            <w:pPr>
              <w:pStyle w:val="Normal"/>
              <w:spacing w:lineRule="auto" w:line="240" w:before="0" w:after="0"/>
              <w:ind w:hanging="0"/>
              <w:rPr/>
            </w:pPr>
            <w:r>
              <w:rPr>
                <w:rFonts w:cs="Times New Roman"/>
                <w:color w:val="000000"/>
                <w:sz w:val="22"/>
                <w:szCs w:val="22"/>
                <w:lang w:eastAsia="ar-SA"/>
              </w:rPr>
              <w:t>Кор.счет: 40102810745370000024</w:t>
            </w:r>
          </w:p>
          <w:p>
            <w:pPr>
              <w:pStyle w:val="Normal"/>
              <w:spacing w:lineRule="auto" w:line="240" w:before="0" w:after="0"/>
              <w:ind w:hanging="0"/>
              <w:rPr/>
            </w:pPr>
            <w:r>
              <w:rPr>
                <w:rFonts w:cs="Times New Roman"/>
                <w:color w:val="000000"/>
                <w:sz w:val="22"/>
                <w:szCs w:val="22"/>
                <w:lang w:eastAsia="ar-SA"/>
              </w:rPr>
              <w:t>БИК 012202102</w:t>
            </w:r>
          </w:p>
          <w:p>
            <w:pPr>
              <w:pStyle w:val="Normal"/>
              <w:spacing w:lineRule="auto" w:line="240" w:before="0" w:after="0"/>
              <w:ind w:hanging="0"/>
              <w:rPr/>
            </w:pPr>
            <w:r>
              <w:rPr>
                <w:rFonts w:cs="Times New Roman"/>
                <w:color w:val="000000"/>
                <w:sz w:val="22"/>
                <w:szCs w:val="22"/>
                <w:lang w:eastAsia="ar-SA"/>
              </w:rPr>
              <w:t>ОКТМО 40303000</w:t>
            </w:r>
          </w:p>
          <w:p>
            <w:pPr>
              <w:pStyle w:val="Normal"/>
              <w:spacing w:lineRule="auto" w:line="240" w:before="0" w:after="0"/>
              <w:ind w:hanging="0"/>
              <w:rPr/>
            </w:pPr>
            <w:r>
              <w:rPr>
                <w:rStyle w:val="Hyperlink"/>
                <w:rFonts w:cs="Times New Roman"/>
                <w:color w:val="000000"/>
                <w:sz w:val="22"/>
                <w:szCs w:val="22"/>
                <w:lang w:eastAsia="ar-SA"/>
              </w:rPr>
              <w:t>Тел. (812) 3182032</w:t>
            </w:r>
          </w:p>
          <w:p>
            <w:pPr>
              <w:pStyle w:val="Standard"/>
              <w:rPr>
                <w:sz w:val="23"/>
                <w:szCs w:val="23"/>
              </w:rPr>
            </w:pPr>
            <w:r>
              <w:rPr>
                <w:sz w:val="23"/>
                <w:szCs w:val="23"/>
              </w:rPr>
            </w:r>
          </w:p>
          <w:p>
            <w:pPr>
              <w:pStyle w:val="Standard"/>
              <w:rPr>
                <w:sz w:val="23"/>
                <w:szCs w:val="23"/>
              </w:rPr>
            </w:pPr>
            <w:r>
              <w:rPr>
                <w:sz w:val="23"/>
                <w:szCs w:val="23"/>
              </w:rPr>
            </w:r>
          </w:p>
          <w:p>
            <w:pPr>
              <w:pStyle w:val="Standard"/>
              <w:rPr>
                <w:sz w:val="23"/>
                <w:szCs w:val="23"/>
              </w:rPr>
            </w:pPr>
            <w:r>
              <w:rPr>
                <w:sz w:val="23"/>
                <w:szCs w:val="23"/>
              </w:rPr>
            </w:r>
          </w:p>
          <w:p>
            <w:pPr>
              <w:pStyle w:val="Standard"/>
              <w:rPr>
                <w:bCs/>
                <w:sz w:val="23"/>
                <w:szCs w:val="23"/>
              </w:rPr>
            </w:pPr>
            <w:r>
              <w:rPr>
                <w:bCs/>
                <w:sz w:val="23"/>
                <w:szCs w:val="23"/>
              </w:rPr>
              <w:t>Заместитель руководителя</w:t>
            </w:r>
          </w:p>
          <w:p>
            <w:pPr>
              <w:pStyle w:val="Standard"/>
              <w:rPr>
                <w:sz w:val="23"/>
                <w:szCs w:val="23"/>
              </w:rPr>
            </w:pPr>
            <w:r>
              <w:rPr>
                <w:sz w:val="23"/>
                <w:szCs w:val="23"/>
              </w:rPr>
            </w:r>
          </w:p>
          <w:p>
            <w:pPr>
              <w:pStyle w:val="Standard"/>
              <w:rPr/>
            </w:pPr>
            <w:r>
              <w:rPr>
                <w:b w:val="false"/>
                <w:bCs w:val="false"/>
                <w:sz w:val="23"/>
                <w:szCs w:val="23"/>
              </w:rPr>
              <w:t xml:space="preserve">Подписано ЭЦП </w:t>
            </w:r>
            <w:r>
              <w:rPr>
                <w:sz w:val="23"/>
                <w:szCs w:val="23"/>
              </w:rPr>
              <w:t>/А.В. Коростелев</w:t>
            </w:r>
          </w:p>
          <w:p>
            <w:pPr>
              <w:pStyle w:val="Standard"/>
              <w:rPr>
                <w:sz w:val="23"/>
                <w:szCs w:val="23"/>
              </w:rPr>
            </w:pPr>
            <w:r>
              <w:rPr>
                <w:sz w:val="23"/>
                <w:szCs w:val="23"/>
              </w:rPr>
            </w:r>
          </w:p>
          <w:p>
            <w:pPr>
              <w:pStyle w:val="Standard"/>
              <w:rPr>
                <w:sz w:val="23"/>
                <w:szCs w:val="23"/>
              </w:rPr>
            </w:pPr>
            <w:r>
              <w:rPr>
                <w:sz w:val="23"/>
                <w:szCs w:val="23"/>
              </w:rPr>
            </w:r>
          </w:p>
        </w:tc>
        <w:tc>
          <w:tcPr>
            <w:tcW w:w="4996" w:type="dxa"/>
            <w:tcBorders/>
            <w:shd w:color="auto" w:fill="FFFFFF" w:val="clear"/>
          </w:tcPr>
          <w:p>
            <w:pPr>
              <w:pStyle w:val="Standard"/>
              <w:rPr>
                <w:sz w:val="23"/>
                <w:szCs w:val="23"/>
              </w:rPr>
            </w:pPr>
            <w:r>
              <w:rPr>
                <w:sz w:val="23"/>
                <w:szCs w:val="23"/>
              </w:rPr>
            </w:r>
          </w:p>
        </w:tc>
      </w:tr>
    </w:tbl>
    <w:p>
      <w:pPr>
        <w:pStyle w:val="Standard"/>
        <w:rPr/>
      </w:pPr>
      <w:r>
        <w:rPr/>
      </w:r>
      <w:r>
        <w:br w:type="page"/>
      </w:r>
    </w:p>
    <w:p>
      <w:pPr>
        <w:pStyle w:val="Standard"/>
        <w:spacing w:before="0" w:after="0"/>
        <w:rPr>
          <w:sz w:val="23"/>
          <w:szCs w:val="23"/>
        </w:rPr>
      </w:pPr>
      <w:r>
        <w:rPr>
          <w:sz w:val="23"/>
          <w:szCs w:val="23"/>
        </w:rPr>
      </w:r>
    </w:p>
    <w:p>
      <w:pPr>
        <w:pStyle w:val="Standard"/>
        <w:tabs>
          <w:tab w:val="clear" w:pos="653"/>
          <w:tab w:val="left" w:pos="7371" w:leader="none"/>
        </w:tabs>
        <w:rPr>
          <w:sz w:val="23"/>
          <w:szCs w:val="23"/>
        </w:rPr>
      </w:pPr>
      <w:r>
        <w:rPr>
          <w:sz w:val="23"/>
          <w:szCs w:val="23"/>
        </w:rPr>
        <w:tab/>
        <w:t>Приложение №1</w:t>
      </w:r>
    </w:p>
    <w:p>
      <w:pPr>
        <w:pStyle w:val="Standard"/>
        <w:tabs>
          <w:tab w:val="clear" w:pos="653"/>
          <w:tab w:val="left" w:pos="7371" w:leader="none"/>
        </w:tabs>
        <w:rPr>
          <w:sz w:val="23"/>
          <w:szCs w:val="23"/>
        </w:rPr>
      </w:pPr>
      <w:r>
        <w:rPr>
          <w:sz w:val="23"/>
          <w:szCs w:val="23"/>
        </w:rPr>
        <w:tab/>
        <w:t>к Контракту №___________</w:t>
      </w:r>
    </w:p>
    <w:p>
      <w:pPr>
        <w:pStyle w:val="Standard"/>
        <w:tabs>
          <w:tab w:val="clear" w:pos="653"/>
          <w:tab w:val="left" w:pos="7371" w:leader="none"/>
        </w:tabs>
        <w:jc w:val="center"/>
        <w:rPr>
          <w:sz w:val="23"/>
          <w:szCs w:val="23"/>
        </w:rPr>
      </w:pPr>
      <w:r>
        <w:rPr>
          <w:sz w:val="23"/>
          <w:szCs w:val="23"/>
        </w:rPr>
        <w:tab/>
        <w:t>от «___»  _________  2026г.</w:t>
      </w:r>
    </w:p>
    <w:p>
      <w:pPr>
        <w:pStyle w:val="Standard"/>
        <w:jc w:val="right"/>
        <w:rPr/>
      </w:pPr>
      <w:r>
        <w:rPr/>
      </w:r>
    </w:p>
    <w:p>
      <w:pPr>
        <w:pStyle w:val="Standard"/>
        <w:jc w:val="center"/>
        <w:rPr>
          <w:bCs/>
          <w:sz w:val="23"/>
          <w:szCs w:val="23"/>
        </w:rPr>
      </w:pPr>
      <w:r>
        <w:rPr>
          <w:bCs/>
          <w:sz w:val="23"/>
          <w:szCs w:val="23"/>
        </w:rPr>
        <w:t>Спецификация</w:t>
      </w:r>
    </w:p>
    <w:p>
      <w:pPr>
        <w:pStyle w:val="Standard"/>
        <w:rPr>
          <w:b/>
          <w:bCs/>
          <w:sz w:val="23"/>
          <w:szCs w:val="23"/>
          <w:lang w:val="en-US"/>
        </w:rPr>
      </w:pPr>
      <w:r>
        <w:rPr>
          <w:b/>
          <w:bCs/>
          <w:sz w:val="23"/>
          <w:szCs w:val="23"/>
          <w:lang w:val="en-US"/>
        </w:rPr>
      </w:r>
    </w:p>
    <w:tbl>
      <w:tblPr>
        <w:tblW w:w="10500" w:type="dxa"/>
        <w:jc w:val="left"/>
        <w:tblInd w:w="0" w:type="dxa"/>
        <w:tblLayout w:type="fixed"/>
        <w:tblCellMar>
          <w:top w:w="0" w:type="dxa"/>
          <w:left w:w="10" w:type="dxa"/>
          <w:bottom w:w="0" w:type="dxa"/>
          <w:right w:w="10" w:type="dxa"/>
        </w:tblCellMar>
        <w:tblLook w:val="0000" w:noHBand="0" w:noVBand="0" w:firstColumn="0" w:lastRow="0" w:lastColumn="0" w:firstRow="0"/>
      </w:tblPr>
      <w:tblGrid>
        <w:gridCol w:w="360"/>
        <w:gridCol w:w="5103"/>
        <w:gridCol w:w="1274"/>
        <w:gridCol w:w="1134"/>
        <w:gridCol w:w="1101"/>
        <w:gridCol w:w="1527"/>
      </w:tblGrid>
      <w:tr>
        <w:trPr>
          <w:trHeight w:val="680" w:hRule="atLeast"/>
          <w:cantSplit w:val="true"/>
        </w:trPr>
        <w:tc>
          <w:tcPr>
            <w:tcW w:w="360" w:type="dxa"/>
            <w:tcBorders>
              <w:top w:val="single" w:sz="4" w:space="0" w:color="000001"/>
              <w:left w:val="single" w:sz="4" w:space="0" w:color="000001"/>
              <w:bottom w:val="single" w:sz="4" w:space="0" w:color="000001"/>
            </w:tcBorders>
            <w:shd w:color="auto" w:fill="FFFFFF" w:val="clear"/>
            <w:vAlign w:val="center"/>
          </w:tcPr>
          <w:p>
            <w:pPr>
              <w:pStyle w:val="Standard"/>
              <w:jc w:val="center"/>
              <w:rPr>
                <w:sz w:val="24"/>
                <w:szCs w:val="24"/>
              </w:rPr>
            </w:pPr>
            <w:r>
              <w:rPr>
                <w:sz w:val="24"/>
                <w:szCs w:val="24"/>
              </w:rPr>
              <w:t>№</w:t>
            </w:r>
          </w:p>
        </w:tc>
        <w:tc>
          <w:tcPr>
            <w:tcW w:w="5103" w:type="dxa"/>
            <w:tcBorders>
              <w:top w:val="single" w:sz="4" w:space="0" w:color="000001"/>
              <w:left w:val="single" w:sz="4" w:space="0" w:color="000001"/>
              <w:bottom w:val="single" w:sz="4" w:space="0" w:color="000001"/>
            </w:tcBorders>
            <w:shd w:color="auto" w:fill="FFFFFF" w:val="clear"/>
            <w:vAlign w:val="center"/>
          </w:tcPr>
          <w:p>
            <w:pPr>
              <w:pStyle w:val="Standard"/>
              <w:jc w:val="center"/>
              <w:rPr>
                <w:rFonts w:ascii="Times New Roman" w:hAnsi="Times New Roman"/>
                <w:sz w:val="24"/>
                <w:szCs w:val="24"/>
              </w:rPr>
            </w:pPr>
            <w:r>
              <w:rPr>
                <w:sz w:val="24"/>
                <w:szCs w:val="24"/>
              </w:rPr>
              <w:t>Наименование</w:t>
            </w:r>
          </w:p>
        </w:tc>
        <w:tc>
          <w:tcPr>
            <w:tcW w:w="1274"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Standard"/>
              <w:jc w:val="center"/>
              <w:rPr>
                <w:sz w:val="24"/>
                <w:szCs w:val="24"/>
              </w:rPr>
            </w:pPr>
            <w:r>
              <w:rPr>
                <w:sz w:val="24"/>
                <w:szCs w:val="24"/>
              </w:rPr>
              <w:t>Кол-во</w:t>
            </w:r>
          </w:p>
        </w:tc>
        <w:tc>
          <w:tcPr>
            <w:tcW w:w="1134" w:type="dxa"/>
            <w:tcBorders>
              <w:top w:val="single" w:sz="4" w:space="0" w:color="000001"/>
              <w:left w:val="single" w:sz="4" w:space="0" w:color="000001"/>
              <w:bottom w:val="single" w:sz="4" w:space="0" w:color="000001"/>
            </w:tcBorders>
            <w:shd w:color="auto" w:fill="FFFFFF" w:val="clear"/>
            <w:vAlign w:val="center"/>
          </w:tcPr>
          <w:p>
            <w:pPr>
              <w:pStyle w:val="Standard"/>
              <w:jc w:val="center"/>
              <w:rPr>
                <w:sz w:val="24"/>
                <w:szCs w:val="24"/>
              </w:rPr>
            </w:pPr>
            <w:r>
              <w:rPr>
                <w:sz w:val="24"/>
                <w:szCs w:val="24"/>
              </w:rPr>
              <w:t>Ед. измерения</w:t>
            </w:r>
          </w:p>
        </w:tc>
        <w:tc>
          <w:tcPr>
            <w:tcW w:w="1101" w:type="dxa"/>
            <w:tcBorders>
              <w:top w:val="single" w:sz="4" w:space="0" w:color="000001"/>
              <w:left w:val="single" w:sz="4" w:space="0" w:color="000001"/>
              <w:bottom w:val="single" w:sz="4" w:space="0" w:color="000001"/>
            </w:tcBorders>
            <w:shd w:color="auto" w:fill="FFFFFF" w:val="clear"/>
            <w:vAlign w:val="center"/>
          </w:tcPr>
          <w:p>
            <w:pPr>
              <w:pStyle w:val="Standard"/>
              <w:jc w:val="center"/>
              <w:rPr>
                <w:sz w:val="24"/>
                <w:szCs w:val="24"/>
              </w:rPr>
            </w:pPr>
            <w:r>
              <w:rPr>
                <w:sz w:val="24"/>
                <w:szCs w:val="24"/>
              </w:rPr>
              <w:t>Цена, руб.</w:t>
            </w:r>
          </w:p>
        </w:tc>
        <w:tc>
          <w:tcPr>
            <w:tcW w:w="152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Standard"/>
              <w:jc w:val="center"/>
              <w:rPr>
                <w:sz w:val="24"/>
                <w:szCs w:val="24"/>
              </w:rPr>
            </w:pPr>
            <w:r>
              <w:rPr>
                <w:sz w:val="24"/>
                <w:szCs w:val="24"/>
              </w:rPr>
              <w:t>Сумма, руб.</w:t>
            </w:r>
          </w:p>
        </w:tc>
      </w:tr>
      <w:tr>
        <w:trPr>
          <w:trHeight w:val="113" w:hRule="atLeast"/>
          <w:cantSplit w:val="true"/>
        </w:trPr>
        <w:tc>
          <w:tcPr>
            <w:tcW w:w="360" w:type="dxa"/>
            <w:tcBorders>
              <w:left w:val="single" w:sz="4" w:space="0" w:color="000001"/>
              <w:bottom w:val="single" w:sz="4" w:space="0" w:color="000001"/>
            </w:tcBorders>
            <w:shd w:color="auto" w:fill="FFFFFF" w:val="clear"/>
            <w:vAlign w:val="center"/>
          </w:tcPr>
          <w:p>
            <w:pPr>
              <w:pStyle w:val="Standard"/>
              <w:jc w:val="center"/>
              <w:rPr>
                <w:sz w:val="24"/>
                <w:szCs w:val="24"/>
              </w:rPr>
            </w:pPr>
            <w:r>
              <w:rPr>
                <w:sz w:val="24"/>
                <w:szCs w:val="24"/>
              </w:rPr>
              <w:t>1</w:t>
            </w:r>
          </w:p>
        </w:tc>
        <w:tc>
          <w:tcPr>
            <w:tcW w:w="5103" w:type="dxa"/>
            <w:tcBorders>
              <w:left w:val="single" w:sz="4" w:space="0" w:color="000001"/>
              <w:bottom w:val="single" w:sz="4" w:space="0" w:color="000001"/>
            </w:tcBorders>
            <w:shd w:color="auto" w:fill="FFFFFF" w:val="clear"/>
          </w:tcPr>
          <w:p>
            <w:pPr>
              <w:pStyle w:val="Heading1"/>
              <w:spacing w:before="240" w:after="60"/>
              <w:jc w:val="center"/>
              <w:rPr>
                <w:b w:val="false"/>
                <w:bCs w:val="false"/>
                <w:sz w:val="24"/>
                <w:szCs w:val="24"/>
              </w:rPr>
            </w:pPr>
            <w:r>
              <w:rPr>
                <w:b w:val="false"/>
                <w:bCs w:val="false"/>
                <w:sz w:val="24"/>
                <w:szCs w:val="24"/>
              </w:rPr>
              <w:t>Кабель соединительный аудио-видео PREMIER 5-821 7.0, HDMI (m) - DVI-D (m), ver 1.4, 7м, ф/фильтр, черный</w:t>
            </w:r>
          </w:p>
          <w:p>
            <w:pPr>
              <w:pStyle w:val="Normal"/>
              <w:jc w:val="center"/>
              <w:rPr>
                <w:b w:val="false"/>
                <w:bCs w:val="false"/>
              </w:rPr>
            </w:pPr>
            <w:r>
              <w:rPr>
                <w:b w:val="false"/>
                <w:bCs w:val="false"/>
              </w:rPr>
            </w:r>
          </w:p>
          <w:p>
            <w:pPr>
              <w:pStyle w:val="Normal"/>
              <w:jc w:val="center"/>
              <w:rPr>
                <w:b w:val="false"/>
                <w:bCs w:val="false"/>
              </w:rPr>
            </w:pPr>
            <w:r>
              <w:rPr>
                <w:b w:val="false"/>
                <w:bCs w:val="false"/>
              </w:rPr>
            </w:r>
          </w:p>
        </w:tc>
        <w:tc>
          <w:tcPr>
            <w:tcW w:w="1274"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2</w:t>
            </w:r>
          </w:p>
        </w:tc>
        <w:tc>
          <w:tcPr>
            <w:tcW w:w="1134" w:type="dxa"/>
            <w:tcBorders>
              <w:left w:val="single" w:sz="4" w:space="0" w:color="000001"/>
              <w:bottom w:val="single" w:sz="4" w:space="0" w:color="000001"/>
            </w:tcBorders>
            <w:shd w:color="auto" w:fill="FFFFFF" w:val="clear"/>
            <w:vAlign w:val="center"/>
          </w:tcPr>
          <w:p>
            <w:pPr>
              <w:pStyle w:val="Normal"/>
              <w:jc w:val="center"/>
              <w:rPr>
                <w:sz w:val="24"/>
                <w:szCs w:val="24"/>
              </w:rPr>
            </w:pPr>
            <w:r>
              <w:rPr>
                <w:sz w:val="24"/>
                <w:szCs w:val="24"/>
              </w:rPr>
              <w:t>Штука</w:t>
            </w:r>
          </w:p>
        </w:tc>
        <w:tc>
          <w:tcPr>
            <w:tcW w:w="1101" w:type="dxa"/>
            <w:tcBorders>
              <w:left w:val="single" w:sz="4" w:space="0" w:color="000001"/>
              <w:bottom w:val="single" w:sz="4" w:space="0" w:color="000001"/>
            </w:tcBorders>
            <w:shd w:color="auto" w:fill="FFFFFF" w:val="clear"/>
            <w:vAlign w:val="center"/>
          </w:tcPr>
          <w:p>
            <w:pPr>
              <w:pStyle w:val="Style17"/>
              <w:jc w:val="center"/>
              <w:rPr>
                <w:rFonts w:ascii="Times New Roman" w:hAnsi="Times New Roman"/>
                <w:sz w:val="24"/>
                <w:szCs w:val="24"/>
                <w:lang w:val="en-US"/>
              </w:rPr>
            </w:pPr>
            <w:r>
              <w:rPr>
                <w:sz w:val="24"/>
                <w:szCs w:val="24"/>
                <w:lang w:val="ru-RU"/>
              </w:rPr>
              <w:t>75</w:t>
            </w:r>
            <w:r>
              <w:rPr>
                <w:sz w:val="24"/>
                <w:szCs w:val="24"/>
                <w:lang w:val="en-US"/>
              </w:rPr>
              <w:t>0</w:t>
            </w:r>
          </w:p>
        </w:tc>
        <w:tc>
          <w:tcPr>
            <w:tcW w:w="1527"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1500</w:t>
            </w:r>
          </w:p>
        </w:tc>
      </w:tr>
      <w:tr>
        <w:trPr>
          <w:trHeight w:val="113" w:hRule="atLeast"/>
          <w:cantSplit w:val="true"/>
        </w:trPr>
        <w:tc>
          <w:tcPr>
            <w:tcW w:w="360" w:type="dxa"/>
            <w:tcBorders>
              <w:left w:val="single" w:sz="4" w:space="0" w:color="000001"/>
              <w:bottom w:val="single" w:sz="4" w:space="0" w:color="000001"/>
            </w:tcBorders>
            <w:shd w:color="auto" w:fill="FFFFFF" w:val="clear"/>
            <w:vAlign w:val="center"/>
          </w:tcPr>
          <w:p>
            <w:pPr>
              <w:pStyle w:val="Standard"/>
              <w:jc w:val="center"/>
              <w:rPr>
                <w:sz w:val="24"/>
                <w:szCs w:val="24"/>
              </w:rPr>
            </w:pPr>
            <w:r>
              <w:rPr>
                <w:sz w:val="24"/>
                <w:szCs w:val="24"/>
              </w:rPr>
              <w:t>2</w:t>
            </w:r>
          </w:p>
        </w:tc>
        <w:tc>
          <w:tcPr>
            <w:tcW w:w="5103" w:type="dxa"/>
            <w:tcBorders>
              <w:left w:val="single" w:sz="4" w:space="0" w:color="000001"/>
              <w:bottom w:val="single" w:sz="4" w:space="0" w:color="000001"/>
            </w:tcBorders>
            <w:shd w:color="auto" w:fill="FFFFFF" w:val="clear"/>
          </w:tcPr>
          <w:p>
            <w:pPr>
              <w:pStyle w:val="Heading1"/>
              <w:spacing w:before="240" w:after="60"/>
              <w:jc w:val="center"/>
              <w:rPr>
                <w:b w:val="false"/>
                <w:bCs w:val="false"/>
                <w:sz w:val="24"/>
                <w:szCs w:val="24"/>
                <w:lang w:val="en-US"/>
              </w:rPr>
            </w:pPr>
            <w:r>
              <w:rPr>
                <w:b w:val="false"/>
                <w:bCs w:val="false"/>
                <w:sz w:val="24"/>
                <w:szCs w:val="24"/>
                <w:lang w:val="en-US"/>
              </w:rPr>
              <w:t>Патч-корд FTP4 cat.5e, 3.0м, литой коннектор, красный, Netko CKC</w:t>
            </w:r>
          </w:p>
          <w:p>
            <w:pPr>
              <w:pStyle w:val="Normal"/>
              <w:jc w:val="center"/>
              <w:rPr>
                <w:b w:val="false"/>
                <w:bCs w:val="false"/>
                <w:sz w:val="24"/>
                <w:szCs w:val="24"/>
                <w:lang w:val="en-US"/>
              </w:rPr>
            </w:pPr>
            <w:r>
              <w:rPr>
                <w:b w:val="false"/>
                <w:bCs w:val="false"/>
                <w:sz w:val="24"/>
                <w:szCs w:val="24"/>
                <w:lang w:val="en-US"/>
              </w:rPr>
            </w:r>
          </w:p>
        </w:tc>
        <w:tc>
          <w:tcPr>
            <w:tcW w:w="1274"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50</w:t>
            </w:r>
          </w:p>
        </w:tc>
        <w:tc>
          <w:tcPr>
            <w:tcW w:w="1134" w:type="dxa"/>
            <w:tcBorders>
              <w:left w:val="single" w:sz="4" w:space="0" w:color="000001"/>
              <w:bottom w:val="single" w:sz="4" w:space="0" w:color="000001"/>
            </w:tcBorders>
            <w:shd w:color="auto" w:fill="FFFFFF" w:val="clear"/>
            <w:vAlign w:val="center"/>
          </w:tcPr>
          <w:p>
            <w:pPr>
              <w:pStyle w:val="Normal"/>
              <w:jc w:val="center"/>
              <w:rPr>
                <w:sz w:val="24"/>
                <w:szCs w:val="24"/>
              </w:rPr>
            </w:pPr>
            <w:r>
              <w:rPr>
                <w:sz w:val="24"/>
                <w:szCs w:val="24"/>
              </w:rPr>
              <w:t>Штука</w:t>
            </w:r>
          </w:p>
        </w:tc>
        <w:tc>
          <w:tcPr>
            <w:tcW w:w="1101" w:type="dxa"/>
            <w:tcBorders>
              <w:left w:val="single" w:sz="4" w:space="0" w:color="000001"/>
              <w:bottom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70</w:t>
            </w:r>
          </w:p>
        </w:tc>
        <w:tc>
          <w:tcPr>
            <w:tcW w:w="1527"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3500</w:t>
            </w:r>
          </w:p>
        </w:tc>
      </w:tr>
      <w:tr>
        <w:trPr>
          <w:trHeight w:val="113" w:hRule="atLeast"/>
          <w:cantSplit w:val="true"/>
        </w:trPr>
        <w:tc>
          <w:tcPr>
            <w:tcW w:w="360" w:type="dxa"/>
            <w:tcBorders>
              <w:left w:val="single" w:sz="4" w:space="0" w:color="000001"/>
              <w:bottom w:val="single" w:sz="4" w:space="0" w:color="000001"/>
            </w:tcBorders>
            <w:shd w:color="auto" w:fill="FFFFFF" w:val="clear"/>
            <w:vAlign w:val="center"/>
          </w:tcPr>
          <w:p>
            <w:pPr>
              <w:pStyle w:val="Standard"/>
              <w:jc w:val="center"/>
              <w:rPr>
                <w:sz w:val="24"/>
                <w:szCs w:val="24"/>
              </w:rPr>
            </w:pPr>
            <w:r>
              <w:rPr>
                <w:sz w:val="24"/>
                <w:szCs w:val="24"/>
              </w:rPr>
              <w:t>3</w:t>
            </w:r>
          </w:p>
        </w:tc>
        <w:tc>
          <w:tcPr>
            <w:tcW w:w="5103" w:type="dxa"/>
            <w:tcBorders>
              <w:left w:val="single" w:sz="4" w:space="0" w:color="000001"/>
              <w:bottom w:val="single" w:sz="4" w:space="0" w:color="000001"/>
            </w:tcBorders>
            <w:shd w:color="auto" w:fill="FFFFFF" w:val="clear"/>
          </w:tcPr>
          <w:p>
            <w:pPr>
              <w:pStyle w:val="Heading1"/>
              <w:spacing w:before="240" w:after="60"/>
              <w:jc w:val="center"/>
              <w:rPr>
                <w:rFonts w:ascii="Times New Roman" w:hAnsi="Times New Roman"/>
                <w:b w:val="false"/>
                <w:bCs w:val="false"/>
                <w:sz w:val="24"/>
                <w:szCs w:val="24"/>
                <w:lang w:val="en-US"/>
              </w:rPr>
            </w:pPr>
            <w:r>
              <w:rPr>
                <w:rFonts w:ascii="Times New Roman" w:hAnsi="Times New Roman"/>
                <w:b w:val="false"/>
                <w:bCs w:val="false"/>
                <w:sz w:val="24"/>
                <w:szCs w:val="24"/>
                <w:lang w:val="en-US"/>
              </w:rPr>
              <w:t>Патч-корд Technolink UTP4 cat 5e, 3,0м, ВС, LSZH, оранжевый, литой коннектор</w:t>
            </w:r>
          </w:p>
          <w:p>
            <w:pPr>
              <w:pStyle w:val="Normal"/>
              <w:jc w:val="center"/>
              <w:rPr>
                <w:lang w:val="en-US"/>
              </w:rPr>
            </w:pPr>
            <w:r>
              <w:rPr>
                <w:lang w:val="en-US"/>
              </w:rPr>
            </w:r>
          </w:p>
          <w:p>
            <w:pPr>
              <w:pStyle w:val="Normal"/>
              <w:jc w:val="center"/>
              <w:rPr>
                <w:rFonts w:ascii="Times New Roman" w:hAnsi="Times New Roman"/>
                <w:b w:val="false"/>
                <w:bCs w:val="false"/>
                <w:sz w:val="24"/>
                <w:szCs w:val="24"/>
              </w:rPr>
            </w:pPr>
            <w:r>
              <w:rPr>
                <w:b w:val="false"/>
                <w:bCs w:val="false"/>
                <w:sz w:val="24"/>
                <w:szCs w:val="24"/>
              </w:rPr>
            </w:r>
          </w:p>
          <w:p>
            <w:pPr>
              <w:pStyle w:val="Normal"/>
              <w:jc w:val="center"/>
              <w:rPr/>
            </w:pPr>
            <w:r>
              <w:rPr/>
            </w:r>
          </w:p>
        </w:tc>
        <w:tc>
          <w:tcPr>
            <w:tcW w:w="1274"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50</w:t>
            </w:r>
          </w:p>
        </w:tc>
        <w:tc>
          <w:tcPr>
            <w:tcW w:w="1134" w:type="dxa"/>
            <w:tcBorders>
              <w:left w:val="single" w:sz="4" w:space="0" w:color="000001"/>
              <w:bottom w:val="single" w:sz="4" w:space="0" w:color="000001"/>
            </w:tcBorders>
            <w:shd w:color="auto" w:fill="FFFFFF" w:val="clear"/>
            <w:vAlign w:val="center"/>
          </w:tcPr>
          <w:p>
            <w:pPr>
              <w:pStyle w:val="Normal"/>
              <w:jc w:val="center"/>
              <w:rPr>
                <w:sz w:val="24"/>
                <w:szCs w:val="24"/>
              </w:rPr>
            </w:pPr>
            <w:r>
              <w:rPr>
                <w:sz w:val="24"/>
                <w:szCs w:val="24"/>
              </w:rPr>
              <w:t>Штука</w:t>
            </w:r>
          </w:p>
        </w:tc>
        <w:tc>
          <w:tcPr>
            <w:tcW w:w="1101" w:type="dxa"/>
            <w:tcBorders>
              <w:left w:val="single" w:sz="4" w:space="0" w:color="000001"/>
              <w:bottom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70</w:t>
            </w:r>
          </w:p>
        </w:tc>
        <w:tc>
          <w:tcPr>
            <w:tcW w:w="1527"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3500</w:t>
            </w:r>
          </w:p>
        </w:tc>
      </w:tr>
      <w:tr>
        <w:trPr>
          <w:trHeight w:val="113" w:hRule="atLeast"/>
          <w:cantSplit w:val="true"/>
        </w:trPr>
        <w:tc>
          <w:tcPr>
            <w:tcW w:w="360" w:type="dxa"/>
            <w:tcBorders>
              <w:left w:val="single" w:sz="4" w:space="0" w:color="000001"/>
              <w:bottom w:val="single" w:sz="4" w:space="0" w:color="000001"/>
            </w:tcBorders>
            <w:shd w:color="auto" w:fill="FFFFFF" w:val="clear"/>
            <w:vAlign w:val="center"/>
          </w:tcPr>
          <w:p>
            <w:pPr>
              <w:pStyle w:val="Standard"/>
              <w:jc w:val="center"/>
              <w:rPr>
                <w:sz w:val="24"/>
                <w:szCs w:val="24"/>
              </w:rPr>
            </w:pPr>
            <w:r>
              <w:rPr>
                <w:sz w:val="24"/>
                <w:szCs w:val="24"/>
              </w:rPr>
              <w:t>4</w:t>
            </w:r>
          </w:p>
        </w:tc>
        <w:tc>
          <w:tcPr>
            <w:tcW w:w="5103" w:type="dxa"/>
            <w:tcBorders>
              <w:left w:val="single" w:sz="4" w:space="0" w:color="000001"/>
              <w:bottom w:val="single" w:sz="4" w:space="0" w:color="000001"/>
            </w:tcBorders>
            <w:shd w:color="auto" w:fill="FFFFFF" w:val="clear"/>
          </w:tcPr>
          <w:p>
            <w:pPr>
              <w:pStyle w:val="Heading1"/>
              <w:spacing w:before="240" w:after="60"/>
              <w:jc w:val="center"/>
              <w:rPr>
                <w:rFonts w:ascii="Times New Roman" w:hAnsi="Times New Roman"/>
                <w:b w:val="false"/>
                <w:bCs w:val="false"/>
                <w:sz w:val="22"/>
                <w:szCs w:val="22"/>
              </w:rPr>
            </w:pPr>
            <w:r>
              <w:rPr>
                <w:rFonts w:ascii="Times New Roman" w:hAnsi="Times New Roman"/>
                <w:b w:val="false"/>
                <w:bCs w:val="false"/>
                <w:sz w:val="22"/>
                <w:szCs w:val="22"/>
              </w:rPr>
              <w:t>Блок распределения питания NTSS NTSS-PDU-DA1015, горизонт.размещ., SchukoХ8, Тип вход. тока 10A</w:t>
            </w:r>
          </w:p>
          <w:p>
            <w:pPr>
              <w:pStyle w:val="Normal"/>
              <w:jc w:val="center"/>
              <w:rPr>
                <w:rFonts w:ascii="Times New Roman" w:hAnsi="Times New Roman"/>
                <w:b w:val="false"/>
                <w:bCs w:val="false"/>
                <w:sz w:val="22"/>
                <w:szCs w:val="22"/>
              </w:rPr>
            </w:pPr>
            <w:r>
              <w:rPr>
                <w:b w:val="false"/>
                <w:bCs w:val="false"/>
                <w:sz w:val="22"/>
                <w:szCs w:val="22"/>
              </w:rPr>
            </w:r>
          </w:p>
          <w:p>
            <w:pPr>
              <w:pStyle w:val="Normal"/>
              <w:jc w:val="center"/>
              <w:rPr>
                <w:b w:val="false"/>
                <w:bCs w:val="false"/>
              </w:rPr>
            </w:pPr>
            <w:r>
              <w:rPr>
                <w:b w:val="false"/>
                <w:bCs w:val="false"/>
              </w:rPr>
            </w:r>
          </w:p>
          <w:p>
            <w:pPr>
              <w:pStyle w:val="Normal"/>
              <w:jc w:val="center"/>
              <w:rPr>
                <w:b w:val="false"/>
                <w:bCs w:val="false"/>
              </w:rPr>
            </w:pPr>
            <w:r>
              <w:rPr>
                <w:b w:val="false"/>
                <w:bCs w:val="false"/>
              </w:rPr>
            </w:r>
          </w:p>
        </w:tc>
        <w:tc>
          <w:tcPr>
            <w:tcW w:w="1274"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10</w:t>
            </w:r>
          </w:p>
        </w:tc>
        <w:tc>
          <w:tcPr>
            <w:tcW w:w="1134" w:type="dxa"/>
            <w:tcBorders>
              <w:left w:val="single" w:sz="4" w:space="0" w:color="000001"/>
              <w:bottom w:val="single" w:sz="4" w:space="0" w:color="000001"/>
            </w:tcBorders>
            <w:shd w:color="auto" w:fill="FFFFFF" w:val="clear"/>
            <w:vAlign w:val="center"/>
          </w:tcPr>
          <w:p>
            <w:pPr>
              <w:pStyle w:val="Normal"/>
              <w:jc w:val="center"/>
              <w:rPr>
                <w:sz w:val="24"/>
                <w:szCs w:val="24"/>
              </w:rPr>
            </w:pPr>
            <w:r>
              <w:rPr>
                <w:sz w:val="24"/>
                <w:szCs w:val="24"/>
              </w:rPr>
              <w:t>Штука</w:t>
            </w:r>
          </w:p>
        </w:tc>
        <w:tc>
          <w:tcPr>
            <w:tcW w:w="1101" w:type="dxa"/>
            <w:tcBorders>
              <w:left w:val="single" w:sz="4" w:space="0" w:color="000001"/>
              <w:bottom w:val="single" w:sz="4" w:space="0" w:color="000001"/>
            </w:tcBorders>
            <w:shd w:color="auto" w:fill="FFFFFF" w:val="clear"/>
            <w:vAlign w:val="center"/>
          </w:tcPr>
          <w:p>
            <w:pPr>
              <w:pStyle w:val="Style17"/>
              <w:jc w:val="center"/>
              <w:rPr>
                <w:rFonts w:ascii="Times New Roman" w:hAnsi="Times New Roman"/>
                <w:sz w:val="24"/>
                <w:szCs w:val="24"/>
                <w:lang w:val="en-US"/>
              </w:rPr>
            </w:pPr>
            <w:r>
              <w:rPr>
                <w:sz w:val="24"/>
                <w:szCs w:val="24"/>
                <w:lang w:val="en-US"/>
              </w:rPr>
              <w:t>1</w:t>
            </w:r>
            <w:r>
              <w:rPr>
                <w:sz w:val="24"/>
                <w:szCs w:val="24"/>
                <w:lang w:val="ru-RU"/>
              </w:rPr>
              <w:t>200</w:t>
            </w:r>
          </w:p>
        </w:tc>
        <w:tc>
          <w:tcPr>
            <w:tcW w:w="1527" w:type="dxa"/>
            <w:tcBorders>
              <w:left w:val="single" w:sz="4" w:space="0" w:color="000001"/>
              <w:bottom w:val="single" w:sz="4" w:space="0" w:color="000001"/>
              <w:right w:val="single" w:sz="4" w:space="0" w:color="000001"/>
            </w:tcBorders>
            <w:shd w:color="auto" w:fill="FFFFFF" w:val="clear"/>
            <w:vAlign w:val="center"/>
          </w:tcPr>
          <w:p>
            <w:pPr>
              <w:pStyle w:val="Style17"/>
              <w:jc w:val="center"/>
              <w:rPr>
                <w:rFonts w:ascii="Times New Roman" w:hAnsi="Times New Roman"/>
                <w:sz w:val="24"/>
                <w:szCs w:val="24"/>
                <w:lang w:val="ru-RU"/>
              </w:rPr>
            </w:pPr>
            <w:r>
              <w:rPr>
                <w:sz w:val="24"/>
                <w:szCs w:val="24"/>
                <w:lang w:val="ru-RU"/>
              </w:rPr>
              <w:t>12000</w:t>
            </w:r>
          </w:p>
        </w:tc>
      </w:tr>
      <w:tr>
        <w:trPr>
          <w:trHeight w:val="553" w:hRule="atLeast"/>
          <w:cantSplit w:val="true"/>
        </w:trPr>
        <w:tc>
          <w:tcPr>
            <w:tcW w:w="360" w:type="dxa"/>
            <w:tcBorders>
              <w:left w:val="single" w:sz="4" w:space="0" w:color="000001"/>
              <w:bottom w:val="single" w:sz="4" w:space="0" w:color="000001"/>
            </w:tcBorders>
            <w:shd w:color="auto" w:fill="FFFFFF" w:val="clear"/>
          </w:tcPr>
          <w:p>
            <w:pPr>
              <w:pStyle w:val="Standard"/>
              <w:jc w:val="center"/>
              <w:rPr>
                <w:b/>
                <w:bCs/>
                <w:sz w:val="24"/>
                <w:szCs w:val="24"/>
              </w:rPr>
            </w:pPr>
            <w:r>
              <w:rPr>
                <w:b/>
                <w:bCs/>
                <w:sz w:val="24"/>
                <w:szCs w:val="24"/>
              </w:rPr>
            </w:r>
          </w:p>
        </w:tc>
        <w:tc>
          <w:tcPr>
            <w:tcW w:w="8612" w:type="dxa"/>
            <w:gridSpan w:val="4"/>
            <w:tcBorders>
              <w:left w:val="single" w:sz="4" w:space="0" w:color="000001"/>
              <w:bottom w:val="single" w:sz="4" w:space="0" w:color="000001"/>
            </w:tcBorders>
            <w:shd w:color="auto" w:fill="FFFFFF" w:val="clear"/>
            <w:vAlign w:val="center"/>
          </w:tcPr>
          <w:p>
            <w:pPr>
              <w:pStyle w:val="Standard"/>
              <w:jc w:val="center"/>
              <w:rPr>
                <w:sz w:val="24"/>
                <w:szCs w:val="24"/>
              </w:rPr>
            </w:pPr>
            <w:r>
              <w:rPr>
                <w:b/>
                <w:bCs/>
                <w:sz w:val="24"/>
                <w:szCs w:val="24"/>
              </w:rPr>
              <w:t>Итого</w:t>
            </w:r>
            <w:r>
              <w:rPr>
                <w:b/>
                <w:bCs/>
                <w:sz w:val="24"/>
                <w:szCs w:val="24"/>
                <w:lang w:val="en-US"/>
              </w:rPr>
              <w:t>:</w:t>
            </w:r>
          </w:p>
        </w:tc>
        <w:tc>
          <w:tcPr>
            <w:tcW w:w="1527" w:type="dxa"/>
            <w:tcBorders>
              <w:left w:val="single" w:sz="4" w:space="0" w:color="000001"/>
              <w:bottom w:val="single" w:sz="4" w:space="0" w:color="000001"/>
              <w:right w:val="single" w:sz="4" w:space="0" w:color="000001"/>
            </w:tcBorders>
            <w:shd w:color="auto" w:fill="FFFFFF" w:val="clear"/>
            <w:vAlign w:val="center"/>
          </w:tcPr>
          <w:p>
            <w:pPr>
              <w:pStyle w:val="Standard"/>
              <w:jc w:val="center"/>
              <w:rPr>
                <w:rFonts w:ascii="Times New Roman" w:hAnsi="Times New Roman"/>
                <w:sz w:val="24"/>
                <w:szCs w:val="24"/>
                <w:lang w:val="en-US" w:eastAsia="zh-CN"/>
              </w:rPr>
            </w:pPr>
            <w:r>
              <w:rPr>
                <w:sz w:val="24"/>
                <w:szCs w:val="24"/>
                <w:lang w:val="en-US" w:eastAsia="zh-CN"/>
              </w:rPr>
              <w:t>20 500,00</w:t>
            </w:r>
          </w:p>
        </w:tc>
      </w:tr>
    </w:tbl>
    <w:p>
      <w:pPr>
        <w:pStyle w:val="Textbody"/>
        <w:rPr/>
      </w:pPr>
      <w:r>
        <w:rPr/>
      </w:r>
    </w:p>
    <w:tbl>
      <w:tblPr>
        <w:tblW w:w="10348" w:type="dxa"/>
        <w:jc w:val="left"/>
        <w:tblInd w:w="348" w:type="dxa"/>
        <w:tblLayout w:type="fixed"/>
        <w:tblCellMar>
          <w:top w:w="0" w:type="dxa"/>
          <w:left w:w="108" w:type="dxa"/>
          <w:bottom w:w="0" w:type="dxa"/>
          <w:right w:w="108" w:type="dxa"/>
        </w:tblCellMar>
        <w:tblLook w:val="0000" w:noHBand="0" w:noVBand="0" w:firstColumn="0" w:lastRow="0" w:lastColumn="0" w:firstRow="0"/>
      </w:tblPr>
      <w:tblGrid>
        <w:gridCol w:w="4959"/>
        <w:gridCol w:w="5388"/>
      </w:tblGrid>
      <w:tr>
        <w:trPr/>
        <w:tc>
          <w:tcPr>
            <w:tcW w:w="4959" w:type="dxa"/>
            <w:tcBorders>
              <w:top w:val="single" w:sz="4" w:space="0" w:color="000001"/>
              <w:left w:val="single" w:sz="4" w:space="0" w:color="000001"/>
              <w:bottom w:val="single" w:sz="4" w:space="0" w:color="000001"/>
            </w:tcBorders>
            <w:shd w:color="auto" w:fill="FFFFFF" w:val="clear"/>
          </w:tcPr>
          <w:p>
            <w:pPr>
              <w:pStyle w:val="NoSpacing"/>
              <w:jc w:val="center"/>
              <w:rPr>
                <w:sz w:val="20"/>
                <w:szCs w:val="20"/>
              </w:rPr>
            </w:pPr>
            <w:r>
              <w:rPr>
                <w:sz w:val="20"/>
                <w:szCs w:val="20"/>
              </w:rPr>
              <w:t>Покупатель</w:t>
            </w:r>
          </w:p>
        </w:tc>
        <w:tc>
          <w:tcPr>
            <w:tcW w:w="5388" w:type="dxa"/>
            <w:tcBorders>
              <w:top w:val="single" w:sz="4" w:space="0" w:color="000001"/>
              <w:left w:val="single" w:sz="4" w:space="0" w:color="000001"/>
              <w:bottom w:val="single" w:sz="4" w:space="0" w:color="000001"/>
              <w:right w:val="single" w:sz="4" w:space="0" w:color="000001"/>
            </w:tcBorders>
            <w:shd w:color="auto" w:fill="FFFFFF" w:val="clear"/>
          </w:tcPr>
          <w:p>
            <w:pPr>
              <w:pStyle w:val="NoSpacing"/>
              <w:jc w:val="center"/>
              <w:rPr>
                <w:sz w:val="20"/>
                <w:szCs w:val="20"/>
              </w:rPr>
            </w:pPr>
            <w:r>
              <w:rPr>
                <w:sz w:val="20"/>
                <w:szCs w:val="20"/>
              </w:rPr>
              <w:t>ПОСТАВЩИК</w:t>
            </w:r>
          </w:p>
        </w:tc>
      </w:tr>
      <w:tr>
        <w:trPr>
          <w:trHeight w:val="1158" w:hRule="atLeast"/>
        </w:trPr>
        <w:tc>
          <w:tcPr>
            <w:tcW w:w="4959" w:type="dxa"/>
            <w:tcBorders>
              <w:top w:val="single" w:sz="4" w:space="0" w:color="000001"/>
              <w:left w:val="single" w:sz="4" w:space="0" w:color="000001"/>
              <w:bottom w:val="single" w:sz="4" w:space="0" w:color="000001"/>
            </w:tcBorders>
            <w:shd w:color="auto" w:fill="FFFFFF" w:val="clear"/>
          </w:tcPr>
          <w:p>
            <w:pPr>
              <w:pStyle w:val="NoSpacing"/>
              <w:jc w:val="center"/>
              <w:rPr>
                <w:b/>
                <w:sz w:val="20"/>
                <w:szCs w:val="20"/>
              </w:rPr>
            </w:pPr>
            <w:r>
              <w:rPr>
                <w:b/>
                <w:sz w:val="20"/>
                <w:szCs w:val="20"/>
              </w:rPr>
              <w:t>Главное управление Федеральной службы судебных  приставов по г. Санкт-Петербургу</w:t>
            </w:r>
          </w:p>
          <w:p>
            <w:pPr>
              <w:pStyle w:val="NoSpacing"/>
              <w:jc w:val="center"/>
              <w:rPr>
                <w:sz w:val="20"/>
                <w:szCs w:val="20"/>
              </w:rPr>
            </w:pPr>
            <w:r>
              <w:rPr>
                <w:sz w:val="20"/>
                <w:szCs w:val="20"/>
              </w:rPr>
            </w:r>
          </w:p>
          <w:p>
            <w:pPr>
              <w:pStyle w:val="NoSpacing"/>
              <w:jc w:val="center"/>
              <w:rPr>
                <w:sz w:val="20"/>
                <w:szCs w:val="20"/>
              </w:rPr>
            </w:pPr>
            <w:r>
              <w:rPr>
                <w:sz w:val="20"/>
                <w:szCs w:val="20"/>
              </w:rPr>
            </w:r>
          </w:p>
          <w:p>
            <w:pPr>
              <w:pStyle w:val="NoSpacing"/>
              <w:jc w:val="left"/>
              <w:rPr>
                <w:sz w:val="20"/>
                <w:szCs w:val="20"/>
              </w:rPr>
            </w:pPr>
            <w:r>
              <w:rPr>
                <w:sz w:val="20"/>
                <w:szCs w:val="20"/>
              </w:rPr>
              <w:t>Подписано ЭЦП / А.В. Коростелев</w:t>
            </w:r>
          </w:p>
          <w:p>
            <w:pPr>
              <w:pStyle w:val="Standard"/>
              <w:jc w:val="center"/>
              <w:rPr>
                <w:sz w:val="20"/>
                <w:szCs w:val="20"/>
              </w:rPr>
            </w:pPr>
            <w:r>
              <w:rPr>
                <w:sz w:val="20"/>
                <w:szCs w:val="20"/>
              </w:rPr>
            </w:r>
          </w:p>
        </w:tc>
        <w:tc>
          <w:tcPr>
            <w:tcW w:w="5388" w:type="dxa"/>
            <w:tcBorders>
              <w:top w:val="single" w:sz="4" w:space="0" w:color="000001"/>
              <w:left w:val="single" w:sz="4" w:space="0" w:color="000001"/>
              <w:bottom w:val="single" w:sz="4" w:space="0" w:color="000001"/>
              <w:right w:val="single" w:sz="4" w:space="0" w:color="000001"/>
            </w:tcBorders>
            <w:shd w:color="auto" w:fill="FFFFFF" w:val="clear"/>
          </w:tcPr>
          <w:p>
            <w:pPr>
              <w:pStyle w:val="Standard"/>
              <w:widowControl w:val="false"/>
              <w:tabs>
                <w:tab w:val="clear" w:pos="653"/>
                <w:tab w:val="center" w:pos="2546" w:leader="none"/>
              </w:tabs>
              <w:jc w:val="center"/>
              <w:rPr>
                <w:b/>
                <w:color w:val="000000"/>
                <w:sz w:val="20"/>
                <w:szCs w:val="20"/>
              </w:rPr>
            </w:pPr>
            <w:r>
              <w:rPr>
                <w:b/>
                <w:color w:val="000000"/>
                <w:sz w:val="20"/>
                <w:szCs w:val="20"/>
              </w:rPr>
            </w:r>
          </w:p>
          <w:p>
            <w:pPr>
              <w:pStyle w:val="Standard"/>
              <w:widowControl w:val="false"/>
              <w:tabs>
                <w:tab w:val="clear" w:pos="653"/>
                <w:tab w:val="center" w:pos="2546" w:leader="none"/>
              </w:tabs>
              <w:jc w:val="center"/>
              <w:rPr>
                <w:b/>
                <w:color w:val="000000"/>
                <w:sz w:val="20"/>
                <w:szCs w:val="20"/>
              </w:rPr>
            </w:pPr>
            <w:r>
              <w:rPr>
                <w:b/>
                <w:color w:val="000000"/>
                <w:sz w:val="20"/>
                <w:szCs w:val="20"/>
              </w:rPr>
            </w:r>
          </w:p>
          <w:p>
            <w:pPr>
              <w:pStyle w:val="Standard"/>
              <w:widowControl w:val="false"/>
              <w:tabs>
                <w:tab w:val="clear" w:pos="653"/>
                <w:tab w:val="center" w:pos="2546" w:leader="none"/>
              </w:tabs>
              <w:jc w:val="center"/>
              <w:rPr>
                <w:b/>
                <w:color w:val="000000"/>
                <w:sz w:val="20"/>
                <w:szCs w:val="20"/>
              </w:rPr>
            </w:pPr>
            <w:r>
              <w:rPr>
                <w:b/>
                <w:color w:val="000000"/>
                <w:sz w:val="20"/>
                <w:szCs w:val="20"/>
              </w:rPr>
            </w:r>
          </w:p>
          <w:p>
            <w:pPr>
              <w:pStyle w:val="Standard"/>
              <w:widowControl w:val="false"/>
              <w:tabs>
                <w:tab w:val="clear" w:pos="653"/>
                <w:tab w:val="center" w:pos="2546" w:leader="none"/>
              </w:tabs>
              <w:jc w:val="center"/>
              <w:rPr>
                <w:color w:val="000000"/>
                <w:sz w:val="20"/>
                <w:szCs w:val="20"/>
              </w:rPr>
            </w:pPr>
            <w:r>
              <w:rPr>
                <w:color w:val="000000"/>
                <w:sz w:val="20"/>
                <w:szCs w:val="20"/>
              </w:rPr>
            </w:r>
          </w:p>
          <w:p>
            <w:pPr>
              <w:pStyle w:val="Standard"/>
              <w:widowControl w:val="false"/>
              <w:tabs>
                <w:tab w:val="clear" w:pos="653"/>
                <w:tab w:val="center" w:pos="2546" w:leader="none"/>
              </w:tabs>
              <w:suppressAutoHyphens w:val="false"/>
              <w:rPr>
                <w:sz w:val="20"/>
                <w:szCs w:val="20"/>
              </w:rPr>
            </w:pPr>
            <w:r>
              <w:rPr>
                <w:color w:val="000000"/>
                <w:sz w:val="20"/>
                <w:szCs w:val="20"/>
              </w:rPr>
              <w:t>Подписано ЭЦП /_______________</w:t>
            </w:r>
          </w:p>
        </w:tc>
      </w:tr>
    </w:tbl>
    <w:p>
      <w:pPr>
        <w:pStyle w:val="Standard"/>
        <w:rPr/>
      </w:pPr>
      <w:r>
        <w:rPr/>
      </w:r>
    </w:p>
    <w:sectPr>
      <w:headerReference w:type="default" r:id="rId2"/>
      <w:type w:val="nextPage"/>
      <w:pgSz w:w="11906" w:h="16838"/>
      <w:pgMar w:left="851" w:right="567" w:gutter="0" w:header="720" w:top="777" w:footer="0" w:bottom="76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Cambria">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Cambria">
    <w:charset w:val="01"/>
    <w:family w:val="roman"/>
    <w:pitch w:val="variable"/>
  </w:font>
  <w:font w:name="Arial">
    <w:charset w:val="01"/>
    <w:family w:val="roman"/>
    <w:pitch w:val="variable"/>
  </w:font>
  <w:font w:name="Verdana">
    <w:charset w:val="01"/>
    <w:family w:val="roman"/>
    <w:pitch w:val="variable"/>
  </w:font>
  <w:font w:name="Tahoma">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0" w:hanging="0"/>
      </w:pPr>
      <w:rPr>
        <w:rFonts w:ascii="Symbol" w:hAnsi="Symbol" w:cs="Symbol" w:hint="default"/>
        <w:sz w:val="23"/>
      </w:rPr>
    </w:lvl>
    <w:lvl w:ilvl="1">
      <w:start w:val="1"/>
      <w:numFmt w:val="decimal"/>
      <w:lvlText w:val="%2."/>
      <w:lvlJc w:val="left"/>
      <w:pPr>
        <w:tabs>
          <w:tab w:val="num" w:pos="0"/>
        </w:tabs>
        <w:ind w:left="0" w:hanging="0"/>
      </w:pPr>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2">
    <w:lvl w:ilvl="0">
      <w:numFmt w:val="bullet"/>
      <w:lvlText w:val=""/>
      <w:lvlJc w:val="left"/>
      <w:pPr>
        <w:tabs>
          <w:tab w:val="num" w:pos="0"/>
        </w:tabs>
        <w:ind w:left="0" w:hanging="0"/>
      </w:pPr>
      <w:rPr>
        <w:rFonts w:ascii="Symbol" w:hAnsi="Symbol" w:cs="Symbol" w:hint="default"/>
        <w:sz w:val="23"/>
      </w:rPr>
    </w:lvl>
    <w:lvl w:ilvl="1">
      <w:start w:val="1"/>
      <w:numFmt w:val="decimal"/>
      <w:lvlText w:val="%2."/>
      <w:lvlJc w:val="left"/>
      <w:pPr>
        <w:tabs>
          <w:tab w:val="num" w:pos="0"/>
        </w:tabs>
        <w:ind w:left="0" w:hanging="0"/>
      </w:pPr>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num>
</w:numbering>
</file>

<file path=word/settings.xml><?xml version="1.0" encoding="utf-8"?>
<w:settings xmlns:w="http://schemas.openxmlformats.org/wordprocessingml/2006/main">
  <w:zoom w:percent="80"/>
  <w:defaultTabStop w:val="653"/>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Heading1">
    <w:name w:val="Heading 1"/>
    <w:basedOn w:val="Standard"/>
    <w:next w:val="Textbody"/>
    <w:qFormat/>
    <w:pPr>
      <w:keepNext w:val="true"/>
      <w:spacing w:before="240" w:after="60"/>
      <w:outlineLvl w:val="0"/>
    </w:pPr>
    <w:rPr>
      <w:rFonts w:ascii="Arial" w:hAnsi="Arial" w:cs="Arial"/>
      <w:b/>
      <w:bCs/>
      <w:sz w:val="32"/>
      <w:szCs w:val="32"/>
    </w:rPr>
  </w:style>
  <w:style w:type="paragraph" w:styleId="Heading2">
    <w:name w:val="Heading 2"/>
    <w:basedOn w:val="Standard"/>
    <w:next w:val="Textbody"/>
    <w:qFormat/>
    <w:pPr>
      <w:keepNext w:val="true"/>
      <w:keepLines/>
      <w:spacing w:before="200" w:after="120"/>
      <w:outlineLvl w:val="1"/>
    </w:pPr>
    <w:rPr>
      <w:rFonts w:ascii="Cambria" w:hAnsi="Cambria"/>
      <w:b/>
      <w:bCs/>
      <w:color w:val="4F81BD"/>
      <w:sz w:val="26"/>
      <w:szCs w:val="26"/>
    </w:rPr>
  </w:style>
  <w:style w:type="paragraph" w:styleId="Heading3">
    <w:name w:val="Heading 3"/>
    <w:basedOn w:val="Standard"/>
    <w:next w:val="Textbody"/>
    <w:qFormat/>
    <w:pPr>
      <w:keepNext w:val="true"/>
      <w:ind w:hanging="338" w:left="332" w:right="-468"/>
      <w:outlineLvl w:val="2"/>
    </w:pPr>
    <w:rPr>
      <w:b/>
      <w:bCs/>
    </w:rPr>
  </w:style>
  <w:style w:type="paragraph" w:styleId="Heading4">
    <w:name w:val="Heading 4"/>
    <w:basedOn w:val="Standard"/>
    <w:next w:val="Textbody"/>
    <w:qFormat/>
    <w:pPr>
      <w:keepNext w:val="true"/>
      <w:outlineLvl w:val="3"/>
    </w:pPr>
    <w:rPr>
      <w:b/>
      <w:bCs/>
      <w:sz w:val="1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Symbol"/>
    </w:rPr>
  </w:style>
  <w:style w:type="character" w:styleId="WW8Num4z0" w:customStyle="1">
    <w:name w:val="WW8Num4z0"/>
    <w:qFormat/>
    <w:rPr>
      <w:rFonts w:ascii="Courier New" w:hAnsi="Courier New" w:cs="Courier New"/>
      <w:sz w:val="23"/>
      <w:szCs w:val="23"/>
    </w:rPr>
  </w:style>
  <w:style w:type="character" w:styleId="5" w:customStyle="1">
    <w:name w:val="Основной шрифт абзаца5"/>
    <w:qFormat/>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1" w:customStyle="1">
    <w:name w:val="Основной шрифт абзаца1"/>
    <w:qFormat/>
    <w:rPr/>
  </w:style>
  <w:style w:type="character" w:styleId="Pagenumber">
    <w:name w:val="page number"/>
    <w:basedOn w:val="1"/>
    <w:qFormat/>
    <w:rPr/>
  </w:style>
  <w:style w:type="character" w:styleId="Internetlink" w:customStyle="1">
    <w:name w:val="Internet link"/>
    <w:basedOn w:val="DefaultParagraphFont"/>
    <w:qFormat/>
    <w:rPr>
      <w:color w:val="0000FF"/>
      <w:u w:val="single"/>
    </w:rPr>
  </w:style>
  <w:style w:type="character" w:styleId="Style10" w:customStyle="1">
    <w:name w:val="Основной текст с отступом Знак"/>
    <w:qFormat/>
    <w:rPr>
      <w:sz w:val="24"/>
      <w:szCs w:val="24"/>
      <w:lang w:val="ru-RU" w:bidi="ar-SA"/>
    </w:rPr>
  </w:style>
  <w:style w:type="character" w:styleId="Otvetkrasn30" w:customStyle="1">
    <w:name w:val="otvet_krasn_30"/>
    <w:basedOn w:val="DefaultParagraphFont"/>
    <w:qFormat/>
    <w:rPr/>
  </w:style>
  <w:style w:type="character" w:styleId="21" w:customStyle="1">
    <w:name w:val="Заголовок 2 Знак"/>
    <w:basedOn w:val="DefaultParagraphFont"/>
    <w:qFormat/>
    <w:rPr>
      <w:rFonts w:ascii="Cambria" w:hAnsi="Cambria"/>
      <w:b/>
      <w:bCs/>
      <w:color w:val="4F81BD"/>
      <w:sz w:val="26"/>
      <w:szCs w:val="26"/>
      <w:lang w:eastAsia="zh-CN"/>
    </w:rPr>
  </w:style>
  <w:style w:type="character" w:styleId="11" w:customStyle="1">
    <w:name w:val="Заголовок 1 Знак"/>
    <w:basedOn w:val="DefaultParagraphFont"/>
    <w:qFormat/>
    <w:rPr>
      <w:rFonts w:ascii="Arial" w:hAnsi="Arial" w:cs="Arial"/>
      <w:b/>
      <w:bCs/>
      <w:color w:val="00000A"/>
      <w:sz w:val="32"/>
      <w:szCs w:val="32"/>
      <w:lang w:eastAsia="zh-CN"/>
    </w:rPr>
  </w:style>
  <w:style w:type="character" w:styleId="Style11" w:customStyle="1">
    <w:name w:val="Символ нумерации"/>
    <w:qFormat/>
    <w:rPr/>
  </w:style>
  <w:style w:type="character" w:styleId="Hyperlink">
    <w:name w:val="Hyperlink"/>
    <w:semiHidden/>
    <w:unhideWhenUsed/>
    <w:rsid w:val="00b4126d"/>
    <w:rPr>
      <w:color w:val="0000FF"/>
      <w:u w:val="single"/>
    </w:rPr>
  </w:style>
  <w:style w:type="character" w:styleId="Arefseq">
    <w:name w:val="aref_seq"/>
    <w:basedOn w:val="DefaultParagraphFont"/>
    <w:qFormat/>
    <w:rPr/>
  </w:style>
  <w:style w:type="paragraph" w:styleId="Style12" w:customStyle="1">
    <w:name w:val="Заголовок"/>
    <w:basedOn w:val="Standard"/>
    <w:next w:val="Textbody"/>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3" w:customStyle="1">
    <w:name w:val="Указатель"/>
    <w:basedOn w:val="Standard"/>
    <w:qFormat/>
    <w:pPr>
      <w:suppressLineNumbers/>
    </w:pPr>
    <w:rPr>
      <w:rFonts w:cs="Lucida San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Textbody" w:customStyle="1">
    <w:name w:val="Text body"/>
    <w:basedOn w:val="Standard"/>
    <w:qFormat/>
    <w:pPr>
      <w:spacing w:lineRule="auto" w:line="288" w:before="0" w:after="140"/>
      <w:jc w:val="both"/>
    </w:pPr>
    <w:rPr/>
  </w:style>
  <w:style w:type="paragraph" w:styleId="Caption1">
    <w:name w:val="caption1"/>
    <w:basedOn w:val="Standard"/>
    <w:qFormat/>
    <w:pPr>
      <w:suppressLineNumbers/>
      <w:spacing w:before="120" w:after="120"/>
    </w:pPr>
    <w:rPr>
      <w:rFonts w:cs="Lohit Devanagari"/>
      <w:i/>
      <w:iCs/>
    </w:rPr>
  </w:style>
  <w:style w:type="paragraph" w:styleId="12" w:customStyle="1">
    <w:name w:val="Заголовок1"/>
    <w:basedOn w:val="Standard"/>
    <w:qFormat/>
    <w:pPr>
      <w:keepNext w:val="true"/>
      <w:spacing w:before="240" w:after="120"/>
    </w:pPr>
    <w:rPr>
      <w:rFonts w:ascii="Arial" w:hAnsi="Arial" w:eastAsia="DejaVu Sans" w:cs="Lohit Devanagari"/>
      <w:sz w:val="28"/>
      <w:szCs w:val="28"/>
    </w:rPr>
  </w:style>
  <w:style w:type="paragraph" w:styleId="Indexheading">
    <w:name w:val="index heading"/>
    <w:basedOn w:val="Standard"/>
    <w:qFormat/>
    <w:pPr>
      <w:suppressLineNumbers/>
    </w:pPr>
    <w:rPr>
      <w:rFonts w:cs="Mangal"/>
    </w:rPr>
  </w:style>
  <w:style w:type="paragraph" w:styleId="51" w:customStyle="1">
    <w:name w:val="Указатель5"/>
    <w:basedOn w:val="Standard"/>
    <w:qFormat/>
    <w:pPr>
      <w:suppressLineNumbers/>
    </w:pPr>
    <w:rPr>
      <w:rFonts w:cs="Lohit Devanagari"/>
    </w:rPr>
  </w:style>
  <w:style w:type="paragraph" w:styleId="41" w:customStyle="1">
    <w:name w:val="Название объекта4"/>
    <w:basedOn w:val="Standard"/>
    <w:qFormat/>
    <w:pPr>
      <w:suppressLineNumbers/>
      <w:spacing w:before="120" w:after="120"/>
    </w:pPr>
    <w:rPr>
      <w:rFonts w:cs="Lohit Devanagari"/>
      <w:i/>
      <w:iCs/>
    </w:rPr>
  </w:style>
  <w:style w:type="paragraph" w:styleId="42" w:customStyle="1">
    <w:name w:val="Указатель4"/>
    <w:basedOn w:val="Standard"/>
    <w:qFormat/>
    <w:pPr>
      <w:suppressLineNumbers/>
    </w:pPr>
    <w:rPr>
      <w:rFonts w:cs="Lohit Devanagari"/>
    </w:rPr>
  </w:style>
  <w:style w:type="paragraph" w:styleId="31" w:customStyle="1">
    <w:name w:val="Название объекта3"/>
    <w:basedOn w:val="Standard"/>
    <w:qFormat/>
    <w:pPr>
      <w:suppressLineNumbers/>
      <w:spacing w:before="120" w:after="120"/>
    </w:pPr>
    <w:rPr>
      <w:rFonts w:cs="Lohit Devanagari"/>
      <w:i/>
      <w:iCs/>
    </w:rPr>
  </w:style>
  <w:style w:type="paragraph" w:styleId="32" w:customStyle="1">
    <w:name w:val="Указатель3"/>
    <w:basedOn w:val="Standard"/>
    <w:qFormat/>
    <w:pPr>
      <w:suppressLineNumbers/>
    </w:pPr>
    <w:rPr>
      <w:rFonts w:cs="Lohit Devanagari"/>
    </w:rPr>
  </w:style>
  <w:style w:type="paragraph" w:styleId="22" w:customStyle="1">
    <w:name w:val="Название объекта2"/>
    <w:basedOn w:val="Standard"/>
    <w:qFormat/>
    <w:pPr>
      <w:suppressLineNumbers/>
      <w:spacing w:before="120" w:after="120"/>
    </w:pPr>
    <w:rPr>
      <w:rFonts w:cs="Lohit Devanagari"/>
      <w:i/>
      <w:iCs/>
    </w:rPr>
  </w:style>
  <w:style w:type="paragraph" w:styleId="23" w:customStyle="1">
    <w:name w:val="Указатель2"/>
    <w:basedOn w:val="Standard"/>
    <w:qFormat/>
    <w:pPr>
      <w:suppressLineNumbers/>
    </w:pPr>
    <w:rPr>
      <w:rFonts w:cs="Lohit Devanagari"/>
    </w:rPr>
  </w:style>
  <w:style w:type="paragraph" w:styleId="13" w:customStyle="1">
    <w:name w:val="Название объекта1"/>
    <w:basedOn w:val="Standard"/>
    <w:qFormat/>
    <w:pPr>
      <w:suppressLineNumbers/>
      <w:spacing w:before="120" w:after="120"/>
    </w:pPr>
    <w:rPr>
      <w:rFonts w:cs="Lohit Devanagari"/>
      <w:i/>
      <w:iCs/>
    </w:rPr>
  </w:style>
  <w:style w:type="paragraph" w:styleId="14" w:customStyle="1">
    <w:name w:val="Указатель1"/>
    <w:basedOn w:val="Standard"/>
    <w:qFormat/>
    <w:pPr>
      <w:suppressLineNumbers/>
    </w:pPr>
    <w:rPr>
      <w:rFonts w:cs="Lohit Devanagari"/>
    </w:rPr>
  </w:style>
  <w:style w:type="paragraph" w:styleId="Style14" w:customStyle="1">
    <w:name w:val="Верхний и нижний колонтитулы"/>
    <w:basedOn w:val="Standard"/>
    <w:qFormat/>
    <w:pPr/>
    <w:rPr/>
  </w:style>
  <w:style w:type="paragraph" w:styleId="Style15">
    <w:name w:val="Колонтитул"/>
    <w:basedOn w:val="Normal"/>
    <w:qFormat/>
    <w:pPr/>
    <w:rPr/>
  </w:style>
  <w:style w:type="paragraph" w:styleId="Header">
    <w:name w:val="Header"/>
    <w:basedOn w:val="Standard"/>
    <w:pPr>
      <w:suppressLineNumbers/>
      <w:tabs>
        <w:tab w:val="clear" w:pos="653"/>
        <w:tab w:val="center" w:pos="4677" w:leader="none"/>
        <w:tab w:val="right" w:pos="9355" w:leader="none"/>
      </w:tabs>
    </w:pPr>
    <w:rPr/>
  </w:style>
  <w:style w:type="paragraph" w:styleId="Footer">
    <w:name w:val="Footer"/>
    <w:basedOn w:val="Standard"/>
    <w:pPr>
      <w:suppressLineNumbers/>
      <w:tabs>
        <w:tab w:val="clear" w:pos="653"/>
        <w:tab w:val="center" w:pos="4677" w:leader="none"/>
        <w:tab w:val="right" w:pos="9355" w:leader="none"/>
      </w:tabs>
    </w:pPr>
    <w:rPr/>
  </w:style>
  <w:style w:type="paragraph" w:styleId="211" w:customStyle="1">
    <w:name w:val="Основной текст 21"/>
    <w:basedOn w:val="Standard"/>
    <w:qFormat/>
    <w:pPr>
      <w:spacing w:lineRule="auto" w:line="480" w:before="0" w:after="120"/>
    </w:pPr>
    <w:rPr/>
  </w:style>
  <w:style w:type="paragraph" w:styleId="221" w:customStyle="1">
    <w:name w:val="Основной текст с отступом 22"/>
    <w:basedOn w:val="Standard"/>
    <w:qFormat/>
    <w:pPr>
      <w:spacing w:lineRule="auto" w:line="480" w:before="0" w:after="120"/>
      <w:ind w:left="283"/>
    </w:pPr>
    <w:rPr/>
  </w:style>
  <w:style w:type="paragraph" w:styleId="CharCharCharChar" w:customStyle="1">
    <w:name w:val="Знак Char Char Знак Char Char Знак"/>
    <w:basedOn w:val="Standard"/>
    <w:qFormat/>
    <w:pPr>
      <w:spacing w:lineRule="exact" w:line="240" w:before="0" w:after="160"/>
    </w:pPr>
    <w:rPr>
      <w:rFonts w:ascii="Verdana" w:hAnsi="Verdana" w:cs="Verdana"/>
      <w:sz w:val="20"/>
      <w:szCs w:val="20"/>
      <w:lang w:val="en-US"/>
    </w:rPr>
  </w:style>
  <w:style w:type="paragraph" w:styleId="BalloonText">
    <w:name w:val="Balloon Text"/>
    <w:basedOn w:val="Standard"/>
    <w:qFormat/>
    <w:pPr/>
    <w:rPr>
      <w:rFonts w:ascii="Tahoma" w:hAnsi="Tahoma" w:cs="Tahoma"/>
      <w:sz w:val="16"/>
      <w:szCs w:val="16"/>
    </w:rPr>
  </w:style>
  <w:style w:type="paragraph" w:styleId="212" w:customStyle="1">
    <w:name w:val="Знак2 Знак Знак Знак Знак Знак Знак Знак Знак Знак1 Знак Знак Знак"/>
    <w:basedOn w:val="Standard"/>
    <w:qFormat/>
    <w:pPr>
      <w:spacing w:lineRule="exact" w:line="240" w:before="0" w:after="160"/>
    </w:pPr>
    <w:rPr>
      <w:rFonts w:ascii="Verdana" w:hAnsi="Verdana" w:cs="Verdana"/>
      <w:lang w:val="en-US"/>
    </w:rPr>
  </w:style>
  <w:style w:type="paragraph" w:styleId="Style16" w:customStyle="1">
    <w:name w:val="Краткий обратный адрес"/>
    <w:basedOn w:val="Standard"/>
    <w:qFormat/>
    <w:pPr/>
    <w:rPr/>
  </w:style>
  <w:style w:type="paragraph" w:styleId="Textbodyindent" w:customStyle="1">
    <w:name w:val="Text body indent"/>
    <w:basedOn w:val="Standard"/>
    <w:qFormat/>
    <w:pPr>
      <w:spacing w:before="0" w:after="120"/>
      <w:ind w:left="283"/>
    </w:pPr>
    <w:rPr/>
  </w:style>
  <w:style w:type="paragraph" w:styleId="LO-Normal" w:customStyle="1">
    <w:name w:val="LO-Normal"/>
    <w:qFormat/>
    <w:pPr>
      <w:widowControl/>
      <w:suppressAutoHyphens w:val="true"/>
      <w:bidi w:val="0"/>
      <w:spacing w:before="0" w:after="0"/>
      <w:jc w:val="both"/>
      <w:textAlignment w:val="baseline"/>
    </w:pPr>
    <w:rPr>
      <w:rFonts w:ascii="Arial" w:hAnsi="Arial" w:eastAsia="Times New Roman" w:cs="Arial"/>
      <w:color w:val="00000A"/>
      <w:kern w:val="2"/>
      <w:sz w:val="24"/>
      <w:szCs w:val="20"/>
      <w:lang w:val="ru-RU" w:eastAsia="zh-CN" w:bidi="ar-SA"/>
    </w:rPr>
  </w:style>
  <w:style w:type="paragraph" w:styleId="213" w:customStyle="1">
    <w:name w:val="Основной текст с отступом 21"/>
    <w:basedOn w:val="Standard"/>
    <w:qFormat/>
    <w:pPr>
      <w:ind w:firstLine="567"/>
      <w:jc w:val="both"/>
    </w:pPr>
    <w:rPr>
      <w:szCs w:val="20"/>
    </w:rPr>
  </w:style>
  <w:style w:type="paragraph" w:styleId="Style17" w:customStyle="1">
    <w:name w:val="Содержимое таблицы"/>
    <w:basedOn w:val="Standard"/>
    <w:qFormat/>
    <w:pPr>
      <w:suppressLineNumbers/>
    </w:pPr>
    <w:rPr/>
  </w:style>
  <w:style w:type="paragraph" w:styleId="Style18" w:customStyle="1">
    <w:name w:val="Заголовок таблицы"/>
    <w:basedOn w:val="Style17"/>
    <w:qFormat/>
    <w:pPr>
      <w:jc w:val="center"/>
    </w:pPr>
    <w:rPr>
      <w:b/>
      <w:bCs/>
    </w:rPr>
  </w:style>
  <w:style w:type="paragraph" w:styleId="Style19" w:customStyle="1">
    <w:name w:val="Содержимое врезки"/>
    <w:basedOn w:val="Standard"/>
    <w:qFormat/>
    <w:pPr/>
    <w:rPr/>
  </w:style>
  <w:style w:type="paragraph" w:styleId="Style20" w:customStyle="1">
    <w:name w:val="Верхний колонтитул слева"/>
    <w:basedOn w:val="Standard"/>
    <w:qFormat/>
    <w:pPr>
      <w:suppressLineNumbers/>
      <w:tabs>
        <w:tab w:val="clear" w:pos="653"/>
        <w:tab w:val="center" w:pos="5102" w:leader="none"/>
        <w:tab w:val="right" w:pos="10205" w:leader="none"/>
      </w:tabs>
    </w:pPr>
    <w:rPr/>
  </w:style>
  <w:style w:type="paragraph" w:styleId="ConsPlusNormal" w:customStyle="1">
    <w:name w:val="ConsPlusNormal"/>
    <w:qFormat/>
    <w:pPr>
      <w:widowControl w:val="false"/>
      <w:suppressAutoHyphens w:val="false"/>
      <w:bidi w:val="0"/>
      <w:spacing w:before="0" w:after="0"/>
      <w:jc w:val="left"/>
      <w:textAlignment w:val="baseline"/>
    </w:pPr>
    <w:rPr>
      <w:rFonts w:ascii="Times New Roman" w:hAnsi="Times New Roman" w:eastAsia="Times New Roman" w:cs="Times New Roman"/>
      <w:color w:val="auto"/>
      <w:kern w:val="2"/>
      <w:sz w:val="24"/>
      <w:szCs w:val="20"/>
      <w:lang w:val="ru-RU" w:eastAsia="ru-RU" w:bidi="ar-SA"/>
    </w:rPr>
  </w:style>
  <w:style w:type="paragraph" w:styleId="ListParagraph">
    <w:name w:val="List Paragraph"/>
    <w:basedOn w:val="Standard"/>
    <w:qFormat/>
    <w:pPr>
      <w:ind w:left="720"/>
    </w:pPr>
    <w:rPr/>
  </w:style>
  <w:style w:type="paragraph" w:styleId="NoSpacing">
    <w:name w:val="No Spacing"/>
    <w:qFormat/>
    <w:pPr>
      <w:widowControl/>
      <w:suppressAutoHyphens w:val="true"/>
      <w:bidi w:val="0"/>
      <w:spacing w:before="0" w:after="0"/>
      <w:jc w:val="both"/>
      <w:textAlignment w:val="baseline"/>
    </w:pPr>
    <w:rPr>
      <w:rFonts w:ascii="Times New Roman" w:hAnsi="Times New Roman" w:eastAsia="Times New Roman" w:cs="Times New Roman"/>
      <w:color w:val="auto"/>
      <w:kern w:val="2"/>
      <w:sz w:val="24"/>
      <w:szCs w:val="24"/>
      <w:lang w:val="ru-RU" w:eastAsia="ar-SA" w:bidi="ar-SA"/>
    </w:rPr>
  </w:style>
  <w:style w:type="paragraph" w:styleId="NormalWeb">
    <w:name w:val="Normal (Web)"/>
    <w:basedOn w:val="Normal"/>
    <w:qFormat/>
    <w:pPr>
      <w:widowControl/>
      <w:suppressAutoHyphens w:val="false"/>
      <w:spacing w:before="280" w:after="119"/>
      <w:ind w:hanging="0"/>
      <w:jc w:val="left"/>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LibreOffice/7.6.7.2$Linux_X86_64 LibreOffice_project/60$Build-2</Application>
  <AppVersion>15.0000</AppVersion>
  <Pages>6</Pages>
  <Words>1981</Words>
  <Characters>14284</Characters>
  <CharactersWithSpaces>16157</CharactersWithSpaces>
  <Paragraphs>143</Paragraphs>
  <Company>xxx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2025-07-17T13:14:00Z</dcterms:created>
  <dc:creator>Менеджер</dc:creator>
  <dc:description/>
  <dc:language>ru-RU</dc:language>
  <cp:lastModifiedBy/>
  <cp:lastPrinted>2020-10-05T12:27:00Z</cp:lastPrinted>
  <dcterms:modified xsi:type="dcterms:W3CDTF">2026-05-25T11:10:05Z</dcterms:modified>
  <cp:revision>5</cp:revision>
  <dc:subject/>
  <dc:title>ГОСУДАРСТВЕННЫЙ КОНТРАКТ № 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