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93"/>
        <w:ind w:right="0" w:firstLine="708"/>
        <w:jc w:val="righ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1_693"/>
        <w:ind w:right="0" w:firstLine="540"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1"/>
          <w:szCs w:val="21"/>
          <w:highlight w:val="white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</w:r>
    </w:p>
    <w:p>
      <w:pPr>
        <w:pStyle w:val="1_693"/>
        <w:jc w:val="center"/>
        <w:spacing w:before="0"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white"/>
        </w:rPr>
        <w:t xml:space="preserve">на оказание услуг по проведению предрейсовых осмотра водителей транспортных средств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sz w:val="22"/>
          <w:szCs w:val="22"/>
          <w:highlight w:val="none"/>
        </w:rPr>
      </w:r>
      <w:r>
        <w:rPr>
          <w:rFonts w:ascii="Times New Roman" w:hAnsi="Times New Roman"/>
          <w:b/>
          <w:sz w:val="22"/>
          <w:szCs w:val="22"/>
          <w:highlight w:val="none"/>
        </w:rPr>
      </w:r>
    </w:p>
    <w:p>
      <w:pPr>
        <w:contextualSpacing/>
        <w:ind w:left="0" w:right="0" w:firstLine="567"/>
        <w:jc w:val="both"/>
        <w:shd w:val="clear" w:color="auto" w:fill="auto"/>
        <w:widowControl/>
        <w:tabs>
          <w:tab w:val="left" w:pos="284" w:leader="none"/>
          <w:tab w:val="left" w:pos="567" w:leader="none"/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Настоящее Техническое задание определяет порядок оказания услуг для нужд </w:t>
      </w:r>
      <w:r>
        <w:rPr>
          <w:b/>
          <w:color w:val="auto"/>
          <w:sz w:val="22"/>
          <w:szCs w:val="22"/>
        </w:rPr>
        <w:t xml:space="preserve">Управления Федеральной службы государственной регистрации, кадастра и картографии по Красноярскому краю </w:t>
      </w:r>
      <w:r>
        <w:rPr>
          <w:rFonts w:ascii="Times New Roman" w:hAnsi="Times New Roman" w:cs="Times New Roman"/>
          <w:b/>
          <w:sz w:val="22"/>
          <w:szCs w:val="22"/>
        </w:rPr>
        <w:t xml:space="preserve">(Управление </w:t>
      </w:r>
      <w:r>
        <w:rPr>
          <w:rFonts w:ascii="Times New Roman" w:hAnsi="Times New Roman" w:cs="Times New Roman"/>
          <w:b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b/>
          <w:sz w:val="22"/>
          <w:szCs w:val="22"/>
        </w:rPr>
        <w:t xml:space="preserve"> по Красноярскому краю)</w:t>
      </w:r>
      <w:r>
        <w:rPr>
          <w:sz w:val="22"/>
          <w:szCs w:val="22"/>
        </w:rPr>
        <w:t xml:space="preserve"> в 2026 году.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0"/>
        <w:ind w:left="0" w:right="0" w:firstLine="567"/>
        <w:jc w:val="both"/>
        <w:spacing w:line="240" w:lineRule="auto"/>
        <w:widowControl/>
        <w:tabs>
          <w:tab w:val="left" w:pos="283" w:leader="none"/>
          <w:tab w:val="left" w:pos="425" w:leader="none"/>
        </w:tabs>
        <w:rPr>
          <w:rStyle w:val="899"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 xml:space="preserve">Наименование объекта закупки</w:t>
      </w:r>
      <w:r>
        <w:rPr>
          <w:sz w:val="22"/>
          <w:szCs w:val="22"/>
        </w:rPr>
        <w:t xml:space="preserve">: </w:t>
      </w:r>
      <w:r>
        <w:rPr>
          <w:rStyle w:val="899"/>
          <w:sz w:val="22"/>
          <w:szCs w:val="22"/>
        </w:rPr>
        <w:t xml:space="preserve">оказание </w:t>
      </w:r>
      <w:r>
        <w:rPr>
          <w:rStyle w:val="899"/>
          <w:sz w:val="22"/>
          <w:szCs w:val="22"/>
        </w:rPr>
        <w:t xml:space="preserve">услуг по проведению предрейсового</w:t>
      </w:r>
      <w:r>
        <w:rPr>
          <w:rStyle w:val="899"/>
          <w:sz w:val="22"/>
          <w:szCs w:val="22"/>
        </w:rPr>
        <w:t xml:space="preserve"> </w:t>
      </w:r>
      <w:r>
        <w:rPr>
          <w:rStyle w:val="899"/>
          <w:sz w:val="22"/>
          <w:szCs w:val="22"/>
        </w:rPr>
        <w:t xml:space="preserve">осмотра</w:t>
      </w:r>
      <w:r>
        <w:rPr>
          <w:rStyle w:val="899"/>
          <w:sz w:val="22"/>
          <w:szCs w:val="22"/>
        </w:rPr>
        <w:t xml:space="preserve"> водителей транспортных средств. </w:t>
      </w:r>
      <w:r>
        <w:rPr>
          <w:sz w:val="22"/>
          <w:szCs w:val="22"/>
        </w:rPr>
      </w:r>
      <w:r>
        <w:rPr>
          <w:rStyle w:val="899"/>
          <w:sz w:val="22"/>
          <w:szCs w:val="22"/>
        </w:rPr>
      </w:r>
    </w:p>
    <w:p>
      <w:pPr>
        <w:pStyle w:val="900"/>
        <w:ind w:left="0" w:right="0" w:firstLine="567"/>
        <w:jc w:val="both"/>
        <w:spacing w:line="240" w:lineRule="auto"/>
        <w:widowControl/>
        <w:tabs>
          <w:tab w:val="left" w:pos="283" w:leader="none"/>
          <w:tab w:val="left" w:pos="425" w:leader="none"/>
        </w:tabs>
        <w:rPr>
          <w:b/>
          <w:bCs/>
        </w:rPr>
      </w:pPr>
      <w:r>
        <w:rPr>
          <w:b/>
          <w:bCs/>
          <w:sz w:val="22"/>
          <w:szCs w:val="22"/>
        </w:rPr>
        <w:t xml:space="preserve">ОКПД2</w:t>
      </w:r>
      <w:r>
        <w:rPr>
          <w:b/>
          <w:sz w:val="22"/>
          <w:szCs w:val="22"/>
        </w:rPr>
        <w:t xml:space="preserve">:</w:t>
      </w:r>
      <w:r>
        <w:rPr>
          <w:sz w:val="22"/>
          <w:szCs w:val="22"/>
        </w:rPr>
        <w:t xml:space="preserve"> 86.21.10.190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widowControl w:val="off"/>
        <w:tabs>
          <w:tab w:val="left" w:pos="283" w:leader="none"/>
          <w:tab w:val="left" w:pos="425" w:leader="none"/>
        </w:tabs>
        <w:rPr>
          <w:sz w:val="24"/>
          <w:szCs w:val="24"/>
        </w:rPr>
      </w:pPr>
      <w:r>
        <w:rPr>
          <w:rStyle w:val="899"/>
          <w:b/>
          <w:sz w:val="22"/>
          <w:szCs w:val="22"/>
        </w:rPr>
        <w:t xml:space="preserve">2</w:t>
      </w:r>
      <w:r>
        <w:rPr>
          <w:rStyle w:val="899"/>
          <w:b/>
          <w:sz w:val="22"/>
          <w:szCs w:val="22"/>
        </w:rPr>
        <w:t xml:space="preserve">. Срок </w:t>
      </w:r>
      <w:r>
        <w:rPr>
          <w:rStyle w:val="899"/>
          <w:b/>
          <w:sz w:val="22"/>
          <w:szCs w:val="22"/>
        </w:rPr>
        <w:t xml:space="preserve">оказания услуг</w:t>
      </w:r>
      <w:r>
        <w:rPr>
          <w:rStyle w:val="899"/>
          <w:b/>
          <w:sz w:val="22"/>
          <w:szCs w:val="22"/>
        </w:rPr>
        <w:t xml:space="preserve">:</w:t>
      </w:r>
      <w:r>
        <w:rPr>
          <w:rStyle w:val="899"/>
          <w:sz w:val="22"/>
          <w:szCs w:val="22"/>
        </w:rPr>
        <w:t xml:space="preserve"> ежедневно с 01.09.2026 г.</w:t>
      </w:r>
      <w:r>
        <w:rPr>
          <w:rStyle w:val="899"/>
          <w:sz w:val="22"/>
          <w:szCs w:val="22"/>
        </w:rPr>
        <w:t xml:space="preserve"> по 30.09.2026 г.</w:t>
      </w:r>
      <w:r>
        <w:rPr>
          <w:rStyle w:val="899"/>
          <w:sz w:val="22"/>
          <w:szCs w:val="22"/>
        </w:rPr>
        <w:t xml:space="preserve"> </w:t>
      </w:r>
      <w:r>
        <w:rPr>
          <w:rStyle w:val="899"/>
          <w:sz w:val="22"/>
          <w:szCs w:val="22"/>
        </w:rPr>
        <w:t xml:space="preserve">(включительно) </w:t>
      </w:r>
      <w:r>
        <w:rPr>
          <w:rStyle w:val="899"/>
          <w:sz w:val="22"/>
          <w:szCs w:val="22"/>
        </w:rPr>
        <w:t xml:space="preserve">в рабочие дни с 07 час. 00 мин. до 09 час. 00 мин.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4"/>
        <w:contextualSpacing/>
        <w:ind w:firstLine="0"/>
        <w:jc w:val="both"/>
        <w:spacing w:line="240" w:lineRule="auto"/>
        <w:tabs>
          <w:tab w:val="left" w:pos="283" w:leader="none"/>
          <w:tab w:val="left" w:pos="42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899"/>
          <w:rFonts w:ascii="Times New Roman" w:hAnsi="Times New Roman" w:eastAsia="Times New Roman" w:cs="Times New Roman"/>
          <w:b/>
          <w:sz w:val="22"/>
          <w:szCs w:val="22"/>
        </w:rPr>
        <w:t xml:space="preserve">           3.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Срок исполнения Контракта: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с 01.09.2026 г. по 30.10.2026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(включительно)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Срок исполнения Контракта представляет собой срок,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включающий в том числе срок оказания услуг, приемку оказанных услуг,оформление документов о приемке, а также оплату Заказчиком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Исполнителю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оказанных услуг.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tabs>
          <w:tab w:val="left" w:pos="283" w:leader="none"/>
          <w:tab w:val="left" w:pos="425" w:leader="none"/>
        </w:tabs>
        <w:rPr>
          <w:rStyle w:val="899"/>
          <w:rFonts w:ascii="Times New Roman" w:hAnsi="Times New Roman" w:eastAsia="Times New Roman" w:cs="Times New Roman"/>
          <w:sz w:val="22"/>
          <w:szCs w:val="22"/>
        </w:rPr>
      </w:pPr>
      <w:r>
        <w:rPr>
          <w:rStyle w:val="899"/>
          <w:rFonts w:ascii="Times New Roman" w:hAnsi="Times New Roman" w:eastAsia="Times New Roman" w:cs="Times New Roman"/>
          <w:b/>
          <w:sz w:val="22"/>
          <w:szCs w:val="22"/>
        </w:rPr>
        <w:t xml:space="preserve">4. Место оказания услуг: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</w:r>
    </w:p>
    <w:p>
      <w:pPr>
        <w:pStyle w:val="1_693"/>
        <w:ind w:left="0" w:right="0"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П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о месту нахождения Исполнителя, расположенному в пределах административных границ г. Красноярска, Красноярского края.</w:t>
      </w:r>
      <w:r/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93"/>
        <w:ind w:left="0" w:right="0" w:firstLine="567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Предрейсовый медицинский осмотр должен осуществляться в помещении Исполнителя расположенного на расстоянии не далее 3 км от основной стоянки транспортных средств Заказчика, при движении по дорогам общего пользования для исключения дополнительных расхо</w:t>
      </w:r>
      <w:r>
        <w:rPr>
          <w:rFonts w:ascii="Times New Roman" w:hAnsi="Times New Roman" w:cs="Times New Roman"/>
          <w:sz w:val="22"/>
          <w:szCs w:val="22"/>
          <w:highlight w:val="none"/>
        </w:rPr>
        <w:t xml:space="preserve">дов Заказчика как: перепробеги автомобилей и перерасходов моторного топлива, что влечет за собой дополнительные расходы бюджетных средств.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_693"/>
        <w:ind w:left="0" w:right="0" w:firstLine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  <w:t xml:space="preserve">Основная стоянка транспортных средств Заказчика находиться по адресу: Россия, Красноярский край, 660021, г. Красноярск, ул. Дубровинского, д. 114 , стр. 1 (гаражный бокс).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.  Требования к оказанию услуг.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5.1. 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Количество водителей - согласно списка водителей, который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 Заказчик передает Исполнителю после заключения Контракта.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5.2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Предрейсовый осмотр проводится медицинской организацией, осуществляющей медицинскую деятельность и при наличии: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лицензии на осуществление медицинской деятельности, предусматривающей выполнение работ (услуг) по медицинским осмотрам;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медицинского работника, имеющего высшее и (или) среднее профессиональное образование;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правильно организованное рабочее место медицинского работ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ника для проведения предрейсового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осмотра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(оснащенное медицинс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кими приборами, инструментами,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оборудованием и мебелью).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before="40" w:beforeAutospacing="0" w:line="211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5.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3.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 Оказание услуг должно осуществляться в соответствии с требованиями: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before="40" w:beforeAutospacing="0" w:line="211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-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ст. ст. 212 - 213 Трудового кодекса Российской Федерации;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line="223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ст. 20 Федерального закона от 10.12.1995 № 196-ФЗ (ред. от 07.07.2025) «О безопасности дорожного движения»;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-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fldChar w:fldCharType="begin"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instrText xml:space="preserve"> HYPERLINK "consultantplus://offline/ref=F4ADB868012A086614D1B8BAB54D99C64643197F7017DD92DDBC2AEC18B2AE4480198DDB82B82428BEL2C" </w:instrTex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fldChar w:fldCharType="separate"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ч. 7 ст. 46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fldChar w:fldCharType="end"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Федерального закона от 21.11.2011 № 323-ФЗ (ред. от 23.07.2025) «Об основах охраны здоровья граждан в Российской Федерации»;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- Приказа Министерства здравоохранения Российской Федерации от 30.05.2023 № 266н «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. 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899"/>
          <w:rFonts w:ascii="Times New Roman" w:hAnsi="Times New Roman" w:eastAsia="Times New Roman" w:cs="Times New Roman"/>
          <w:sz w:val="22"/>
          <w:szCs w:val="22"/>
        </w:rPr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. Предрейсовый осмотр 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проводится в следующем объеме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  <w:t xml:space="preserve">:</w:t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</w:r>
      <w:r>
        <w:rPr>
          <w:rStyle w:val="899"/>
          <w:rFonts w:ascii="Times New Roman" w:hAnsi="Times New Roman" w:eastAsia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Style w:val="899"/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.1. Сбор жалоб, визуальный осмотр, выявление наличия признаков алкогольного, наркотического или иного токсического опьянения и (или) остаточных явлений такого опьянения; 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.2. Общая термометрия;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.3. Измерение артериального давления на периферических артериях и исследование пульса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.4. Количественное определение алкоголя в выдыхаемом воздухе;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line="240" w:lineRule="auto"/>
        <w:tabs>
          <w:tab w:val="left" w:pos="28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.5. Определение наличия психоактивных веществ в моче.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пульса.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5.5. Исследование, указанное в п. 5.4.5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проводится при наличии признаков опьянения и отрицательных результатах исследования выдыхаемого воздуха на алкоголь.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5.6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 Отбор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мочи для определения наличия в ней психоактивных веществ осуществляется в соответствии с приказом Министерства здравоохранения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Российской Федерации от 29 апреля 2025 г. N 262н "Об утверждении порядка проведения  медицинского освидетельствования на состояние опьянения (алкогольного, наркотического или иного токсического), включающего определение кл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инических признаков опьянения и правила химико-токсикологических исследований, а также критерии, при наличии которых имеются достаточные основания полагать, что лицо находится в состоянии опьянения и подлежит направлению на медицинское освидетельствование».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</w:rPr>
        <w:br/>
        <w:t xml:space="preserve">        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5.7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При выявлении у осматриваемого признаков алкого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льного, наркотического или иного токсического опьянения (остаточных явлений такого опьянения) (при положительных или отрицательных результатах исследования выдыхаемого воздуха на наличие алкоголя) медицинский работник после проведения медицинского осмотра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уведомляет об этом работодателя. Данная информация вносится в журнал регистрации предрейсовых медицинских осмотров (далее - Журнал).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 5.8. По результатам медицинского осмотра принимается решение, предусмотренное п. 5.9 в случае прохождения осматриваемым медицинского осмотра в объеме, предусмотренном п. 5.4 с учетом исключений, предусмотренных пунктом 5.5.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.9. По результатам прохождения предрейсового осмотра медицинским работником выносится медицинское заключение: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1) о наличии признаков воздействия вредных и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(с указанием этих признаков);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2) об отсутствии при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.1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0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Медици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нские заключения фиксируются в Журнале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на бумажном носителе, подписываемом медицинским работником, либо формируются в форме электронного документа, подписанного усиленной квалифицированной электронной подписью медицинского работника.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5.11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 Результаты проведенных медицинских осмотров вносятся в Журнал, в котором указывается следующая информация о водителе: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1) дата и время проведения медицинского осмотра;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2) фамилия, имя, отчество (при наличии) водителя;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3) пол водителя  ( осматриваемого);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4) дата рождения водителя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( осматриваемого);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5) результа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ты исследований, указанных в п. 5.4;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6) заключение о результатах медицинских осмотров в соответствии с п.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7) подпись медицинского работника, с указанием фамилии, имен и отчества (при наличии) медицинского работника;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8) подпись водителя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( осматриваемого)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, проходящего медицинский осмотр.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5.12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 В случае 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едения Журнала на бумажном носителе страницы должны быть прошнурованы, пронумерованы, скреплены печатью медицинской организации (при наличии), на оттиске которой идентифицируется название медицинской организации в соответствии с учредительными документами.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5.13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 По результатам прохождения предрейсового осмотра при вынесении медицинско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го заключения, указанного в п. 5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.9. в Журнал вносится запись: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"прошел предрейсовый медицинский осмотр, к исполнению трудовых обязанностей допущен" или "прошел предрейсовы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й медицинский осмотр, к исполнению трудовых обязанностей НЕ допущен" с указанием выявленных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ольного, наркотического или иного токсического опьянения и остаточных явлений такого опьянения, которая заверяется подписью медицинского работника, проводившего медицинский осмотр, с указанием фамилии, имени и отчества (при наличии) медицинского работника.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Результаты проведенных медици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нских осмотров, указанных в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3, медицинский работник сообщает водителю (осматриваемому) и работодателю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(уполномоченному представителю работодателя) по т. 226-56-87.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5. По результатам прохождения медицинского осмотра при вынесении медицинских заключ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ений, предусмотренных пп. 2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.9, в путевом листе медицинским работником, проводившим соответствующий медицинский осм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отр, проставляются дата, время и результат проведения медицинского осмотра в виде отметки "прошел предрейсовый осмотр, к исполнению трудовых обязанностей допущен" и заверяются его собственноручной подписью на бумажном носителе либо усиленной квалифицирован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ной электронной подписью в случае формирования электронного путевого листа с указанием фамилии, имени и отчества (при наличии) медицинского работника, наименования медицинской организации (если медицинский работник состоит в штате медицинской организации).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6. В случае выявления медицинским работником по результатам медицинских осмотров признаков и (или) остаточных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явлений, указанных в пп. 1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 осматриваемому медицинским работником выдается справка о выявлении признаков и (или) остаточных явлений, указанных в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пп. 1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.9.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7. В справке указываются порядковый номер, дата (число, месяц, год) и время (часы, минуты) проведения соответствующего медицинского осмотра, предварительный диагноз.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Справка подписывается медицинским раб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отником, проводившим медицинский осмотр, с указанием фамилии, имени и отчества (при наличии) медицинского работника, либо усиленной квалифицированной электронной подписью медицинского работника, в случае формирования справки в форме электронного документа.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8. Медицинские организации, проводящие соответствующие медицинские осмотры, обеспечивают учет всех вы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данных справок, указанных в п. 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7.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5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1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9. Медицинский работник ежемесячно анализирует и подводит итоги по результатам предрейсовых осмотров, которые затем в письменном виде доводит до сведения Заказчика.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6. 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Конфиденциальность информации (соблюдение конфиденциальности при проведении услуг)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874"/>
        <w:contextualSpacing/>
        <w:ind w:left="0" w:right="0" w:firstLine="425"/>
        <w:jc w:val="both"/>
        <w:spacing w:line="240" w:lineRule="auto"/>
        <w:rPr>
          <w:rFonts w:ascii="Times New Roman" w:hAnsi="Times New Roman" w:cs="Times New Roman"/>
          <w:iCs/>
          <w:color w:val="20202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Результаты проведенного медицинского осмотра являются конфиден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циальной информацией. Заказчик может использовать материалы предоставленной услуги по своему усмотрению. Исполнитель может использовать материалы предоставленной услуги для аналитических отчетов, но без упоминания имени Заказчика. Исполнитель не имеет прав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 передавать эти материалы третьим лицам без согласия Заказчика, за исключением случаев, предусмотренных законодательством Российской Федерации, и по запросам органов исполнительной власти в субъектах Российской Федерации, ведающих вопросами охраны труда (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Управление Федеральной службы по надзору в сфере защиты прав потребителей и благополучия человека</w:t>
      </w:r>
      <w:r>
        <w:rPr>
          <w:rFonts w:ascii="Times New Roman" w:hAnsi="Times New Roman" w:eastAsia="Times New Roman" w:cs="Times New Roman"/>
          <w:iCs/>
          <w:color w:val="202020"/>
          <w:sz w:val="22"/>
          <w:szCs w:val="22"/>
        </w:rPr>
        <w:t xml:space="preserve"> по Красноярскому краю, Государственная инспекция труда в Красноярском крае).</w:t>
      </w:r>
      <w:r>
        <w:rPr>
          <w:rFonts w:ascii="Times New Roman" w:hAnsi="Times New Roman" w:cs="Times New Roman"/>
          <w:iCs/>
          <w:color w:val="202020"/>
          <w:sz w:val="22"/>
          <w:szCs w:val="22"/>
        </w:rPr>
      </w:r>
      <w:r>
        <w:rPr>
          <w:rFonts w:ascii="Times New Roman" w:hAnsi="Times New Roman" w:cs="Times New Roman"/>
          <w:iCs/>
          <w:color w:val="202020"/>
          <w:sz w:val="22"/>
          <w:szCs w:val="22"/>
        </w:rPr>
      </w:r>
    </w:p>
    <w:p>
      <w:pPr>
        <w:pStyle w:val="879"/>
        <w:ind w:left="360"/>
        <w:jc w:val="both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contextualSpacing/>
        <w:ind w:left="0" w:firstLine="708"/>
        <w:jc w:val="both"/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Начальник отдела материально-технического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обеспечения Управления                                                                           </w:t>
        <w:tab/>
        <w:t xml:space="preserve">             М.В. Лазовская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eastAsia="Times New Roman" w:cs="Times New Roman"/>
          <w:sz w:val="18"/>
          <w:szCs w:val="1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  <w:r>
        <w:rPr>
          <w:rFonts w:ascii="Times New Roman" w:hAnsi="Times New Roman" w:eastAsia="Times New Roman" w:cs="Times New Roman"/>
          <w:sz w:val="18"/>
          <w:szCs w:val="18"/>
          <w:highlight w:val="none"/>
        </w:rPr>
      </w:r>
    </w:p>
    <w:p>
      <w:pPr>
        <w:pStyle w:val="879"/>
        <w:ind w:left="0"/>
        <w:jc w:val="left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9"/>
        <w:ind w:left="360"/>
        <w:rPr>
          <w:rFonts w:ascii="Times New Roman" w:hAnsi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/>
          <w:b/>
          <w:bCs/>
          <w:sz w:val="22"/>
          <w:szCs w:val="22"/>
          <w:highlight w:val="none"/>
        </w:rPr>
      </w:r>
    </w:p>
    <w:p>
      <w:pPr>
        <w:pStyle w:val="874"/>
        <w:jc w:val="right"/>
        <w:tabs>
          <w:tab w:val="left" w:pos="3289" w:leader="none"/>
          <w:tab w:val="left" w:pos="351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even" r:id="rId9"/>
      <w:footnotePr/>
      <w:endnotePr/>
      <w:type w:val="nextPage"/>
      <w:pgSz w:w="11906" w:h="16838" w:orient="portrait"/>
      <w:pgMar w:top="426" w:right="851" w:bottom="284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340" w:hanging="340"/>
        <w:tabs>
          <w:tab w:val="num" w:pos="340" w:leader="none"/>
        </w:tabs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22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72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23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736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2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744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320" w:leader="none"/>
        </w:tabs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b w:val="0"/>
        <w:b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  <w:tabs>
          <w:tab w:val="num" w:pos="786" w:leader="none"/>
        </w:tabs>
      </w:pPr>
      <w:rPr>
        <w:b w:val="0"/>
        <w:color w:val="00000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  <w:tabs>
          <w:tab w:val="num" w:pos="249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  <w:tabs>
          <w:tab w:val="num" w:pos="321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  <w:tabs>
          <w:tab w:val="num" w:pos="393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  <w:tabs>
          <w:tab w:val="num" w:pos="465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  <w:tabs>
          <w:tab w:val="num" w:pos="537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  <w:tabs>
          <w:tab w:val="num" w:pos="609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  <w:tabs>
          <w:tab w:val="num" w:pos="681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  <w:tabs>
          <w:tab w:val="num" w:pos="7538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b w:val="0"/>
      </w:rPr>
    </w:lvl>
    <w:lvl w:ilvl="2">
      <w:start w:val="3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/>
      </w:rPr>
    </w:lvl>
    <w:lvl w:ilvl="1">
      <w:start w:val="3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86" w:hanging="360"/>
        <w:tabs>
          <w:tab w:val="num" w:pos="786" w:leader="none"/>
        </w:tabs>
      </w:pPr>
      <w:rPr>
        <w:b w:val="0"/>
        <w:color w:val="00000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hint="default" w:ascii="Wingdings" w:hAnsi="Wingdings" w:eastAsia="Wingdings" w:cs="Wingdings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1"/>
    <w:basedOn w:val="874"/>
    <w:next w:val="874"/>
    <w:link w:val="69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7">
    <w:name w:val="Heading 1 Char"/>
    <w:link w:val="696"/>
    <w:uiPriority w:val="9"/>
    <w:rPr>
      <w:rFonts w:ascii="Arial" w:hAnsi="Arial" w:eastAsia="Arial" w:cs="Arial"/>
      <w:sz w:val="40"/>
      <w:szCs w:val="40"/>
    </w:rPr>
  </w:style>
  <w:style w:type="paragraph" w:styleId="698">
    <w:name w:val="Heading 2"/>
    <w:basedOn w:val="874"/>
    <w:next w:val="874"/>
    <w:link w:val="6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9">
    <w:name w:val="Heading 2 Char"/>
    <w:link w:val="698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4"/>
    <w:next w:val="874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4"/>
    <w:next w:val="874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4"/>
    <w:next w:val="874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4"/>
    <w:next w:val="874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4"/>
    <w:next w:val="874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4"/>
    <w:next w:val="874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4"/>
    <w:next w:val="874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4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4"/>
    <w:next w:val="874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link w:val="716"/>
    <w:uiPriority w:val="10"/>
    <w:rPr>
      <w:sz w:val="48"/>
      <w:szCs w:val="48"/>
    </w:rPr>
  </w:style>
  <w:style w:type="paragraph" w:styleId="718">
    <w:name w:val="Subtitle"/>
    <w:basedOn w:val="874"/>
    <w:next w:val="874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link w:val="718"/>
    <w:uiPriority w:val="11"/>
    <w:rPr>
      <w:sz w:val="24"/>
      <w:szCs w:val="24"/>
    </w:rPr>
  </w:style>
  <w:style w:type="paragraph" w:styleId="720">
    <w:name w:val="Quote"/>
    <w:basedOn w:val="874"/>
    <w:next w:val="874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4"/>
    <w:next w:val="874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paragraph" w:styleId="724">
    <w:name w:val="Header"/>
    <w:basedOn w:val="874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Header Char"/>
    <w:link w:val="724"/>
    <w:uiPriority w:val="99"/>
  </w:style>
  <w:style w:type="paragraph" w:styleId="726">
    <w:name w:val="Footer"/>
    <w:basedOn w:val="874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Footer Char"/>
    <w:link w:val="726"/>
    <w:uiPriority w:val="99"/>
  </w:style>
  <w:style w:type="paragraph" w:styleId="728">
    <w:name w:val="Caption"/>
    <w:basedOn w:val="874"/>
    <w:next w:val="874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726"/>
    <w:uiPriority w:val="35"/>
  </w:style>
  <w:style w:type="table" w:styleId="73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6">
    <w:name w:val="Hyperlink"/>
    <w:uiPriority w:val="99"/>
    <w:unhideWhenUsed/>
    <w:rPr>
      <w:color w:val="0000ff" w:themeColor="hyperlink"/>
      <w:u w:val="single"/>
    </w:r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next w:val="874"/>
    <w:link w:val="874"/>
    <w:qFormat/>
    <w:rPr>
      <w:lang w:val="ru-RU" w:eastAsia="ru-RU" w:bidi="ar-SA"/>
    </w:rPr>
  </w:style>
  <w:style w:type="paragraph" w:styleId="875">
    <w:name w:val="Заголовок 1"/>
    <w:basedOn w:val="874"/>
    <w:next w:val="874"/>
    <w:link w:val="874"/>
    <w:qFormat/>
    <w:pPr>
      <w:jc w:val="center"/>
      <w:keepNext/>
      <w:outlineLvl w:val="0"/>
    </w:pPr>
    <w:rPr>
      <w:rFonts w:ascii="Arial" w:hAnsi="Arial"/>
      <w:b/>
      <w:sz w:val="28"/>
    </w:rPr>
  </w:style>
  <w:style w:type="character" w:styleId="876">
    <w:name w:val="Основной шрифт абзаца"/>
    <w:next w:val="876"/>
    <w:link w:val="874"/>
    <w:semiHidden/>
  </w:style>
  <w:style w:type="table" w:styleId="877">
    <w:name w:val="Обычная таблица"/>
    <w:next w:val="877"/>
    <w:link w:val="874"/>
    <w:semiHidden/>
    <w:tblPr/>
  </w:style>
  <w:style w:type="numbering" w:styleId="878">
    <w:name w:val="Нет списка"/>
    <w:next w:val="878"/>
    <w:link w:val="874"/>
    <w:semiHidden/>
  </w:style>
  <w:style w:type="paragraph" w:styleId="879">
    <w:name w:val="Основной текст"/>
    <w:basedOn w:val="874"/>
    <w:next w:val="879"/>
    <w:link w:val="895"/>
    <w:pPr>
      <w:jc w:val="center"/>
    </w:pPr>
    <w:rPr>
      <w:rFonts w:ascii="Arial" w:hAnsi="Arial"/>
      <w:sz w:val="22"/>
      <w:lang w:val="en-US" w:eastAsia="en-US"/>
    </w:rPr>
  </w:style>
  <w:style w:type="paragraph" w:styleId="880">
    <w:name w:val="Основной текст с отступом"/>
    <w:basedOn w:val="874"/>
    <w:next w:val="880"/>
    <w:link w:val="874"/>
    <w:pPr>
      <w:ind w:firstLine="720"/>
      <w:jc w:val="both"/>
      <w:spacing w:line="360" w:lineRule="auto"/>
    </w:pPr>
    <w:rPr>
      <w:sz w:val="28"/>
    </w:rPr>
  </w:style>
  <w:style w:type="paragraph" w:styleId="881">
    <w:name w:val="Основной текст 2"/>
    <w:basedOn w:val="874"/>
    <w:next w:val="881"/>
    <w:link w:val="874"/>
    <w:pPr>
      <w:jc w:val="both"/>
      <w:spacing w:line="360" w:lineRule="auto"/>
    </w:pPr>
    <w:rPr>
      <w:sz w:val="28"/>
    </w:rPr>
  </w:style>
  <w:style w:type="paragraph" w:styleId="882">
    <w:name w:val="Название"/>
    <w:basedOn w:val="874"/>
    <w:next w:val="882"/>
    <w:link w:val="874"/>
    <w:qFormat/>
    <w:pPr>
      <w:jc w:val="center"/>
    </w:pPr>
    <w:rPr>
      <w:b/>
      <w:sz w:val="28"/>
    </w:rPr>
  </w:style>
  <w:style w:type="paragraph" w:styleId="883">
    <w:name w:val="Текст"/>
    <w:basedOn w:val="874"/>
    <w:next w:val="883"/>
    <w:link w:val="874"/>
    <w:rPr>
      <w:rFonts w:ascii="Courier New" w:hAnsi="Courier New"/>
    </w:rPr>
  </w:style>
  <w:style w:type="paragraph" w:styleId="884">
    <w:name w:val="Текст выноски"/>
    <w:basedOn w:val="874"/>
    <w:next w:val="884"/>
    <w:link w:val="874"/>
    <w:semiHidden/>
    <w:rPr>
      <w:rFonts w:ascii="Tahoma" w:hAnsi="Tahoma" w:cs="Tahoma"/>
      <w:sz w:val="16"/>
      <w:szCs w:val="16"/>
    </w:rPr>
  </w:style>
  <w:style w:type="paragraph" w:styleId="885">
    <w:name w:val="ConsNormal"/>
    <w:next w:val="885"/>
    <w:link w:val="874"/>
    <w:pPr>
      <w:ind w:right="19772" w:firstLine="720"/>
      <w:widowControl w:val="off"/>
    </w:pPr>
    <w:rPr>
      <w:rFonts w:eastAsia="Arial"/>
      <w:b/>
      <w:bCs/>
      <w:sz w:val="40"/>
      <w:szCs w:val="40"/>
      <w:lang w:val="ru-RU" w:eastAsia="ar-SA" w:bidi="ar-SA"/>
    </w:rPr>
  </w:style>
  <w:style w:type="paragraph" w:styleId="886">
    <w:name w:val="ConsPlusNormal"/>
    <w:next w:val="886"/>
    <w:link w:val="898"/>
    <w:uiPriority w:val="99"/>
    <w:pPr>
      <w:ind w:firstLine="720"/>
    </w:pPr>
    <w:rPr>
      <w:sz w:val="22"/>
      <w:szCs w:val="22"/>
      <w:lang w:val="ru-RU" w:eastAsia="ru-RU" w:bidi="ar-SA"/>
    </w:rPr>
  </w:style>
  <w:style w:type="paragraph" w:styleId="887">
    <w:name w:val="Нижний колонтитул"/>
    <w:basedOn w:val="874"/>
    <w:next w:val="887"/>
    <w:link w:val="874"/>
    <w:pPr>
      <w:tabs>
        <w:tab w:val="center" w:pos="4677" w:leader="none"/>
        <w:tab w:val="right" w:pos="9355" w:leader="none"/>
      </w:tabs>
    </w:pPr>
  </w:style>
  <w:style w:type="character" w:styleId="888">
    <w:name w:val="Номер страницы"/>
    <w:basedOn w:val="876"/>
    <w:next w:val="888"/>
    <w:link w:val="874"/>
  </w:style>
  <w:style w:type="paragraph" w:styleId="889">
    <w:name w:val="ConsPlusNonformat"/>
    <w:next w:val="889"/>
    <w:link w:val="874"/>
    <w:rPr>
      <w:rFonts w:ascii="Courier New" w:hAnsi="Courier New" w:cs="Courier New"/>
      <w:lang w:val="ru-RU" w:eastAsia="ru-RU" w:bidi="ar-SA"/>
    </w:rPr>
  </w:style>
  <w:style w:type="paragraph" w:styleId="890">
    <w:name w:val="Верхний колонтитул"/>
    <w:basedOn w:val="874"/>
    <w:next w:val="890"/>
    <w:link w:val="874"/>
    <w:pPr>
      <w:tabs>
        <w:tab w:val="center" w:pos="4677" w:leader="none"/>
        <w:tab w:val="right" w:pos="9355" w:leader="none"/>
      </w:tabs>
    </w:pPr>
  </w:style>
  <w:style w:type="table" w:styleId="891">
    <w:name w:val="Сетка таблицы"/>
    <w:basedOn w:val="877"/>
    <w:next w:val="891"/>
    <w:link w:val="874"/>
    <w:uiPriority w:val="39"/>
    <w:tblPr/>
  </w:style>
  <w:style w:type="paragraph" w:styleId="892">
    <w:name w:val=" Знак Знак Знак Знак Знак Знак Знак Знак Знак Знак"/>
    <w:basedOn w:val="874"/>
    <w:next w:val="892"/>
    <w:link w:val="874"/>
    <w:pPr>
      <w:jc w:val="both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893">
    <w:name w:val="Основной текст с отступом 2"/>
    <w:basedOn w:val="874"/>
    <w:next w:val="893"/>
    <w:link w:val="894"/>
    <w:pPr>
      <w:ind w:left="283"/>
      <w:spacing w:after="120" w:line="480" w:lineRule="auto"/>
    </w:pPr>
  </w:style>
  <w:style w:type="character" w:styleId="894">
    <w:name w:val="Основной текст с отступом 2 Знак"/>
    <w:next w:val="894"/>
    <w:link w:val="893"/>
    <w:rPr>
      <w:lang w:val="ru-RU" w:eastAsia="ru-RU" w:bidi="ar-SA"/>
    </w:rPr>
  </w:style>
  <w:style w:type="character" w:styleId="895">
    <w:name w:val="Основной текст Знак"/>
    <w:next w:val="895"/>
    <w:link w:val="879"/>
    <w:rPr>
      <w:rFonts w:ascii="Arial" w:hAnsi="Arial"/>
      <w:sz w:val="22"/>
    </w:rPr>
  </w:style>
  <w:style w:type="character" w:styleId="896">
    <w:name w:val="Гиперссылка"/>
    <w:next w:val="896"/>
    <w:link w:val="874"/>
    <w:uiPriority w:val="99"/>
    <w:unhideWhenUsed/>
    <w:rPr>
      <w:color w:val="0000ff"/>
      <w:u w:val="single"/>
    </w:rPr>
  </w:style>
  <w:style w:type="paragraph" w:styleId="897">
    <w:name w:val="Обычный (веб)"/>
    <w:basedOn w:val="874"/>
    <w:next w:val="897"/>
    <w:link w:val="874"/>
    <w:uiPriority w:val="99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898">
    <w:name w:val="ConsPlusNormal Знак"/>
    <w:next w:val="898"/>
    <w:link w:val="886"/>
    <w:uiPriority w:val="99"/>
    <w:rPr>
      <w:sz w:val="22"/>
      <w:szCs w:val="22"/>
    </w:rPr>
  </w:style>
  <w:style w:type="character" w:styleId="899">
    <w:name w:val="Font Style12"/>
    <w:next w:val="899"/>
    <w:link w:val="874"/>
    <w:rPr>
      <w:rFonts w:ascii="Times New Roman" w:hAnsi="Times New Roman" w:cs="Times New Roman"/>
      <w:sz w:val="22"/>
      <w:szCs w:val="22"/>
    </w:rPr>
  </w:style>
  <w:style w:type="paragraph" w:styleId="900">
    <w:name w:val="Style2"/>
    <w:basedOn w:val="874"/>
    <w:next w:val="900"/>
    <w:link w:val="874"/>
    <w:uiPriority w:val="99"/>
    <w:pPr>
      <w:ind w:firstLine="2405"/>
      <w:spacing w:line="275" w:lineRule="exact"/>
      <w:widowControl w:val="off"/>
    </w:pPr>
    <w:rPr>
      <w:sz w:val="24"/>
      <w:szCs w:val="24"/>
    </w:rPr>
  </w:style>
  <w:style w:type="paragraph" w:styleId="901">
    <w:name w:val="Style3"/>
    <w:basedOn w:val="874"/>
    <w:next w:val="901"/>
    <w:link w:val="874"/>
    <w:uiPriority w:val="99"/>
    <w:pPr>
      <w:ind w:firstLine="634"/>
      <w:jc w:val="both"/>
      <w:spacing w:line="322" w:lineRule="exact"/>
      <w:widowControl w:val="off"/>
    </w:pPr>
    <w:rPr>
      <w:sz w:val="24"/>
      <w:szCs w:val="24"/>
    </w:rPr>
  </w:style>
  <w:style w:type="character" w:styleId="902" w:default="1">
    <w:name w:val="Default Paragraph Font"/>
    <w:uiPriority w:val="1"/>
    <w:semiHidden/>
    <w:unhideWhenUsed/>
  </w:style>
  <w:style w:type="numbering" w:styleId="903" w:default="1">
    <w:name w:val="No List"/>
    <w:uiPriority w:val="99"/>
    <w:semiHidden/>
    <w:unhideWhenUsed/>
  </w:style>
  <w:style w:type="table" w:styleId="904" w:default="1">
    <w:name w:val="Normal Table"/>
    <w:uiPriority w:val="99"/>
    <w:semiHidden/>
    <w:unhideWhenUsed/>
    <w:tblPr/>
  </w:style>
  <w:style w:type="paragraph" w:styleId="1_693" w:customStyle="1">
    <w:name w:val="Body Text"/>
    <w:basedOn w:val="622"/>
    <w:next w:val="677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_1319" w:customStyle="1">
    <w:name w:val="Font Style20"/>
    <w:basedOn w:val="984"/>
    <w:rPr>
      <w:rFonts w:ascii="Times New Roman" w:hAnsi="Times New Roman" w:cs="Times New Roman"/>
      <w:sz w:val="22"/>
      <w:szCs w:val="22"/>
    </w:rPr>
  </w:style>
  <w:style w:type="paragraph" w:styleId="1_4440" w:customStyle="1">
    <w:name w:val="Normal (Web)"/>
    <w:basedOn w:val="984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Microsoft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й</dc:creator>
  <cp:lastModifiedBy>user</cp:lastModifiedBy>
  <cp:revision>41</cp:revision>
  <dcterms:created xsi:type="dcterms:W3CDTF">2020-12-30T01:57:00Z</dcterms:created>
  <dcterms:modified xsi:type="dcterms:W3CDTF">2026-08-31T06:06:23Z</dcterms:modified>
  <cp:version>983040</cp:version>
</cp:coreProperties>
</file>