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6"/>
        </w:rPr>
      </w:pPr>
      <w:r>
        <w:rPr>
          <w:rFonts w:ascii="TimesNewRoman" w:hAnsi="TimesNewRoman" w:eastAsia="TimesNewRoman" w:cs="TimesNewRoman"/>
          <w:b/>
          <w:sz w:val="26"/>
        </w:rPr>
        <w:t xml:space="preserve">Обоснование</w:t>
      </w:r>
      <w:r>
        <w:rPr>
          <w:rFonts w:ascii="TimesNewRoman" w:hAnsi="TimesNewRoman" w:eastAsia="TimesNewRoman" w:cs="TimesNewRoman"/>
          <w:b/>
          <w:sz w:val="26"/>
        </w:rPr>
      </w:r>
      <w:r>
        <w:rPr>
          <w:rFonts w:ascii="TimesNewRoman" w:hAnsi="TimesNewRoman" w:eastAsia="TimesNewRoman" w:cs="TimesNewRoman"/>
          <w:b/>
          <w:sz w:val="26"/>
        </w:rPr>
      </w:r>
    </w:p>
    <w:p>
      <w:pPr>
        <w:pStyle w:val="617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6"/>
        </w:rPr>
      </w:pPr>
      <w:r>
        <w:rPr>
          <w:rFonts w:ascii="TimesNewRoman" w:hAnsi="TimesNewRoman" w:eastAsia="TimesNewRoman" w:cs="TimesNewRoman"/>
          <w:b/>
          <w:sz w:val="26"/>
        </w:rPr>
        <w:t xml:space="preserve"> цены договора, заключаемого с единственным поставщиком (подрядчиком, исполнителем)</w:t>
      </w:r>
      <w:r>
        <w:rPr>
          <w:rFonts w:ascii="TimesNewRoman" w:hAnsi="TimesNewRoman" w:eastAsia="TimesNewRoman" w:cs="TimesNewRoman"/>
          <w:b/>
          <w:sz w:val="26"/>
        </w:rPr>
      </w:r>
      <w:r>
        <w:rPr>
          <w:rFonts w:ascii="TimesNewRoman" w:hAnsi="TimesNewRoman" w:eastAsia="TimesNewRoman" w:cs="TimesNewRoman"/>
          <w:b/>
          <w:sz w:val="26"/>
        </w:rPr>
      </w:r>
    </w:p>
    <w:p>
      <w:pPr>
        <w:pStyle w:val="1_1934"/>
        <w:contextualSpacing w:val="0"/>
        <w:ind w:left="0" w:firstLine="0"/>
        <w:jc w:val="center"/>
        <w:keepLines w:val="0"/>
        <w:keepNext w:val="0"/>
        <w:pageBreakBefore w:val="0"/>
        <w:spacing w:before="0" w:after="0" w:line="276" w:lineRule="auto"/>
        <w:shd w:val="clear" w:color="000000"/>
        <w:rPr>
          <w:rFonts w:ascii="TimesNewRoman" w:hAnsi="TimesNewRoman" w:eastAsia="TimesNewRoman" w:cs="TimesNewRoman"/>
          <w:b w:val="0"/>
          <w:i w:val="0"/>
          <w:caps w:val="0"/>
          <w:smallCaps w:val="0"/>
          <w:strike w:val="0"/>
          <w:color w:val="000000"/>
          <w:spacing w:val="0"/>
          <w:position w:val="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i w:val="0"/>
          <w:caps w:val="0"/>
          <w:smallCaps w:val="0"/>
          <w:strike w:val="0"/>
          <w:color w:val="000000"/>
          <w:spacing w:val="0"/>
          <w:position w:val="0"/>
          <w:sz w:val="16"/>
          <w:szCs w:val="16"/>
        </w:rPr>
      </w:r>
      <w:r>
        <w:rPr>
          <w:rFonts w:ascii="TimesNewRoman" w:hAnsi="TimesNewRoman" w:eastAsia="TimesNewRoman" w:cs="TimesNewRoman"/>
          <w:b w:val="0"/>
          <w:i w:val="0"/>
          <w:caps w:val="0"/>
          <w:smallCaps w:val="0"/>
          <w:strike w:val="0"/>
          <w:color w:val="000000"/>
          <w:spacing w:val="0"/>
          <w:position w:val="0"/>
          <w:sz w:val="16"/>
          <w:szCs w:val="16"/>
        </w:rPr>
      </w:r>
      <w:r>
        <w:rPr>
          <w:rFonts w:ascii="TimesNewRoman" w:hAnsi="TimesNewRoman" w:eastAsia="TimesNewRoman" w:cs="TimesNewRoman"/>
          <w:b w:val="0"/>
          <w:i w:val="0"/>
          <w:caps w:val="0"/>
          <w:smallCaps w:val="0"/>
          <w:strike w:val="0"/>
          <w:color w:val="000000"/>
          <w:spacing w:val="0"/>
          <w:position w:val="0"/>
          <w:sz w:val="16"/>
          <w:szCs w:val="16"/>
        </w:rPr>
      </w:r>
    </w:p>
    <w:p>
      <w:pPr>
        <w:pStyle w:val="1_1934"/>
        <w:contextualSpacing w:val="0"/>
        <w:ind w:left="0" w:firstLine="0"/>
        <w:jc w:val="center"/>
        <w:keepLines w:val="0"/>
        <w:keepNext w:val="0"/>
        <w:pageBreakBefore w:val="0"/>
        <w:spacing w:before="0" w:after="0" w:line="276" w:lineRule="auto"/>
        <w:shd w:val="clear" w:color="000000"/>
        <w:rPr>
          <w:rFonts w:ascii="TimesNewRoman" w:hAnsi="TimesNewRoman" w:eastAsia="TimesNewRoman" w:cs="TimesNewRoman"/>
          <w:b/>
          <w:bCs/>
          <w:i w:val="0"/>
          <w:caps w:val="0"/>
          <w:smallCaps w:val="0"/>
          <w:strike w:val="0"/>
          <w:color w:val="000000"/>
          <w:spacing w:val="0"/>
          <w:position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/>
          <w:bCs/>
          <w:i w:val="0"/>
          <w:caps w:val="0"/>
          <w:smallCaps w:val="0"/>
          <w:color w:val="000000"/>
          <w:spacing w:val="0"/>
          <w:position w:val="0"/>
          <w:sz w:val="24"/>
        </w:rPr>
      </w:r>
      <w:r>
        <w:rPr>
          <w:rStyle w:val="1_636"/>
          <w:rFonts w:ascii="Times New Roman" w:hAnsi="Times New Roman"/>
          <w:sz w:val="24"/>
        </w:rPr>
        <w:t xml:space="preserve">изготовление и поставка обложек и вкладышей служебных удостоверений, голографических печатей (голограмм) для служебных удостоверений</w:t>
      </w:r>
      <w:r>
        <w:rPr>
          <w:rFonts w:ascii="TimesNewRoman" w:hAnsi="TimesNewRoman" w:eastAsia="TimesNewRoman" w:cs="TimesNewRoman"/>
          <w:b/>
          <w:bCs/>
          <w:i w:val="0"/>
          <w:caps w:val="0"/>
          <w:smallCaps w:val="0"/>
          <w:strike w:val="0"/>
          <w:color w:val="000000"/>
          <w:spacing w:val="0"/>
          <w:position w:val="0"/>
          <w:sz w:val="24"/>
        </w:rPr>
      </w:r>
      <w:r>
        <w:rPr>
          <w:rFonts w:ascii="TimesNewRoman" w:hAnsi="TimesNewRoman" w:eastAsia="TimesNewRoman" w:cs="TimesNewRoman"/>
          <w:b/>
          <w:bCs/>
          <w:i w:val="0"/>
          <w:caps w:val="0"/>
          <w:smallCaps w:val="0"/>
          <w:strike w:val="0"/>
          <w:color w:val="000000"/>
          <w:spacing w:val="0"/>
          <w:position w:val="0"/>
          <w:sz w:val="24"/>
        </w:rPr>
      </w:r>
    </w:p>
    <w:p>
      <w:pPr>
        <w:pStyle w:val="617"/>
        <w:ind w:left="0" w:firstLine="0"/>
        <w:jc w:val="center"/>
        <w:spacing w:before="0" w:after="240" w:line="240" w:lineRule="auto"/>
        <w:rPr>
          <w:rFonts w:ascii="TimesNewRoman" w:hAnsi="TimesNewRoman" w:eastAsia="TimesNewRoman" w:cs="TimesNewRoman"/>
          <w:i/>
          <w:sz w:val="18"/>
        </w:rPr>
        <w:pBdr>
          <w:top w:val="single" w:color="000000" w:sz="4" w:space="0"/>
        </w:pBdr>
      </w:pPr>
      <w:r>
        <w:rPr>
          <w:rFonts w:ascii="TimesNewRoman" w:hAnsi="TimesNewRoman" w:eastAsia="TimesNewRoman" w:cs="TimesNewRoman"/>
          <w:i/>
          <w:sz w:val="18"/>
        </w:rPr>
        <w:t xml:space="preserve">(указывается предмет контракта)</w:t>
      </w:r>
      <w:r>
        <w:rPr>
          <w:rFonts w:ascii="TimesNewRoman" w:hAnsi="TimesNewRoman" w:eastAsia="TimesNewRoman" w:cs="TimesNewRoman"/>
          <w:i/>
          <w:sz w:val="18"/>
        </w:rPr>
      </w:r>
      <w:r>
        <w:rPr>
          <w:rFonts w:ascii="TimesNewRoman" w:hAnsi="TimesNewRoman" w:eastAsia="TimesNewRoman" w:cs="TimesNewRoman"/>
          <w:i/>
          <w:sz w:val="18"/>
        </w:rPr>
      </w:r>
    </w:p>
    <w:tbl>
      <w:tblPr>
        <w:tblW w:w="0" w:type="auto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7864"/>
      </w:tblGrid>
      <w:tr>
        <w:tblPrEx/>
        <w:trPr>
          <w:trHeight w:val="17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sz w:val="24"/>
              </w:rPr>
            </w:pPr>
            <w:r>
              <w:rPr>
                <w:rFonts w:ascii="TimesNewRoman" w:hAnsi="TimesNewRoman" w:eastAsia="TimesNewRoman" w:cs="TimesNewRoman"/>
                <w:b/>
                <w:sz w:val="24"/>
              </w:rPr>
              <w:t xml:space="preserve">Основные характеристики объекта закупки</w:t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4" w:type="dxa"/>
            <w:vAlign w:val="top"/>
            <w:textDirection w:val="lrTb"/>
            <w:noWrap w:val="false"/>
          </w:tcPr>
          <w:p>
            <w:pPr>
              <w:pStyle w:val="1_1934"/>
              <w:contextualSpacing w:val="0"/>
              <w:ind w:left="0" w:right="155" w:firstLine="283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000000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NewRoman" w:hAnsi="TimesNewRoman" w:eastAsia="TimesNewRoman" w:cs="TimesNewRoman"/>
                <w:b/>
                <w:bCs/>
                <w:i w:val="0"/>
                <w:caps w:val="0"/>
                <w:smallCaps w:val="0"/>
                <w:color w:val="000000"/>
                <w:spacing w:val="0"/>
                <w:position w:val="0"/>
                <w:sz w:val="24"/>
              </w:rPr>
            </w:r>
            <w:r>
              <w:rPr>
                <w:b/>
                <w:bCs/>
                <w:sz w:val="24"/>
              </w:rPr>
              <w:t xml:space="preserve">И</w:t>
            </w:r>
            <w:r>
              <w:rPr>
                <w:rStyle w:val="1_636"/>
                <w:rFonts w:ascii="Times New Roman" w:hAnsi="Times New Roman"/>
                <w:sz w:val="24"/>
              </w:rPr>
              <w:t xml:space="preserve">зготовление и поставка обложек и вкладышей служебных удостоверений, голографических печатей (голограмм) для служебных удостоверений</w:t>
            </w:r>
            <w:r>
              <w:rPr>
                <w:rStyle w:val="1_636"/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Style w:val="1_636"/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_1934"/>
              <w:contextualSpacing w:val="0"/>
              <w:ind w:left="0" w:right="155" w:firstLine="283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000000"/>
              <w:rPr>
                <w:rFonts w:ascii="TimesNewRoman" w:hAnsi="TimesNewRoman" w:eastAsia="TimesNewRoman" w:cs="TimesNewRoman"/>
                <w:b/>
                <w:bCs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Style w:val="1_636"/>
                <w:rFonts w:ascii="Times New Roman" w:hAnsi="Times New Roman"/>
                <w:sz w:val="24"/>
                <w:highlight w:val="none"/>
              </w:rPr>
              <w:t xml:space="preserve">Описание, характеристики и количество представлены в приложении к настоящему обоснованию.</w:t>
            </w:r>
            <w:r>
              <w:rPr>
                <w:rFonts w:ascii="TimesNewRoman" w:hAnsi="TimesNewRoman" w:eastAsia="TimesNewRoman" w:cs="TimesNewRoman"/>
                <w:b/>
                <w:bCs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/>
                <w:bCs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</w:tc>
      </w:tr>
      <w:tr>
        <w:tblPrEx/>
        <w:trPr>
          <w:trHeight w:val="7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sz w:val="24"/>
              </w:rPr>
            </w:pPr>
            <w:r>
              <w:rPr>
                <w:rFonts w:ascii="TimesNewRoman" w:hAnsi="TimesNewRoman" w:eastAsia="TimesNewRoman" w:cs="TimesNewRoman"/>
                <w:b/>
                <w:sz w:val="24"/>
              </w:rPr>
              <w:t xml:space="preserve">Используемый метод определения НМЦК </w:t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4" w:type="dxa"/>
            <w:vAlign w:val="top"/>
            <w:textDirection w:val="lrTb"/>
            <w:noWrap w:val="false"/>
          </w:tcPr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Метод сопоставимых рыночных цен (анализ рынка)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  <w:tr>
        <w:tblPrEx/>
        <w:trPr>
          <w:trHeight w:val="1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ind w:left="57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/>
                <w:sz w:val="24"/>
              </w:rPr>
            </w:pPr>
            <w:r>
              <w:rPr>
                <w:rFonts w:ascii="TimesNewRoman" w:hAnsi="TimesNewRoman" w:eastAsia="TimesNewRoman" w:cs="TimesNewRoman"/>
                <w:b/>
                <w:sz w:val="24"/>
              </w:rPr>
              <w:t xml:space="preserve">Расчет НМЦК (за единицу)</w:t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</w:p>
          <w:p>
            <w:pPr>
              <w:pStyle w:val="617"/>
              <w:ind w:left="57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/>
                <w:sz w:val="24"/>
              </w:rPr>
            </w:pPr>
            <w:r>
              <w:rPr>
                <w:rFonts w:ascii="TimesNewRoman" w:hAnsi="TimesNewRoman" w:eastAsia="TimesNewRoman" w:cs="TimesNewRoman"/>
                <w:b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4" w:type="dxa"/>
            <w:vAlign w:val="top"/>
            <w:textDirection w:val="lrTb"/>
            <w:noWrap w:val="false"/>
          </w:tcPr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Предложение №1- 83 015,00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 руб.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</w:p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Предложение №2 -77 500,00 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 руб.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</w:p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Предложение №3 - 78 550,00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 руб.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</w:p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Начальная (максимальная) цена контракта, согласно минимальному предложению  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- 77 500 рублей 00 копеек</w:t>
            </w:r>
            <w:r>
              <w:rPr>
                <w:rFonts w:ascii="TimesNewRoman" w:hAnsi="TimesNewRoman" w:eastAsia="TimesNewRoman" w:cs="TimesNewRoman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</w:rPr>
            </w:r>
          </w:p>
          <w:p>
            <w:pPr>
              <w:pStyle w:val="617"/>
              <w:ind w:left="57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</w:tr>
    </w:tbl>
    <w:p>
      <w:pPr>
        <w:shd w:val="nil"/>
        <w:rPr>
          <w:sz w:val="24"/>
          <w:szCs w:val="24"/>
        </w:rPr>
      </w:pPr>
      <w:r>
        <w:rPr>
          <w:sz w:val="24"/>
        </w:rPr>
        <w:br w:type="page" w:clear="all"/>
      </w:r>
      <w:r>
        <w:rPr>
          <w:sz w:val="24"/>
        </w:rPr>
      </w:r>
    </w:p>
    <w:p>
      <w:pPr>
        <w:jc w:val="right"/>
        <w:shd w:val="nil" w:color="000000"/>
        <w:rPr>
          <w:rStyle w:val="1_636"/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7"/>
          <w:sz w:val="20"/>
        </w:rPr>
      </w:r>
      <w:r>
        <w:rPr>
          <w:rStyle w:val="1_636"/>
          <w:rFonts w:ascii="Times New Roman" w:hAnsi="Times New Roman"/>
          <w:sz w:val="24"/>
          <w:szCs w:val="24"/>
        </w:rPr>
        <w:t xml:space="preserve">Приложение к обоснованию НМЦК</w:t>
      </w:r>
      <w:r>
        <w:rPr>
          <w:rFonts w:ascii="Times New Roman" w:hAnsi="Times New Roman"/>
          <w:spacing w:val="7"/>
          <w:sz w:val="20"/>
          <w:szCs w:val="20"/>
        </w:rPr>
      </w:r>
    </w:p>
    <w:p>
      <w:pPr>
        <w:pStyle w:val="617"/>
        <w:jc w:val="center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4"/>
        </w:rPr>
        <w:t xml:space="preserve">Техническое задание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17"/>
        <w:jc w:val="center"/>
        <w:spacing w:after="0"/>
        <w:rPr>
          <w:rFonts w:ascii="Times New Roman" w:hAnsi="Times New Roman"/>
          <w:b/>
          <w:sz w:val="24"/>
        </w:rPr>
      </w:pPr>
      <w:r>
        <w:rPr>
          <w:rStyle w:val="1_636"/>
          <w:rFonts w:ascii="Times New Roman" w:hAnsi="Times New Roman"/>
          <w:b/>
          <w:sz w:val="24"/>
        </w:rPr>
        <w:t xml:space="preserve">изготовление и поставку обложек и вкладышей служебных удостоверений, голографических печатей (голограмм) для служебных удостоверений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17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объекта закупки:</w:t>
      </w:r>
      <w:r>
        <w:rPr>
          <w:rFonts w:ascii="Times New Roman" w:hAnsi="Times New Roman"/>
          <w:sz w:val="24"/>
        </w:rPr>
        <w:t xml:space="preserve"> </w:t>
      </w:r>
      <w:r>
        <w:rPr>
          <w:rStyle w:val="1_636"/>
          <w:rFonts w:ascii="Times New Roman" w:hAnsi="Times New Roman"/>
          <w:sz w:val="24"/>
        </w:rPr>
        <w:t xml:space="preserve">изготовление и поставка обложек и вкладышей служебных удостоверений, голографических печатей (голограмм) для служебных удостоверений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b/>
          <w:sz w:val="24"/>
        </w:rPr>
        <w:t xml:space="preserve">Описание объекта закупки:</w:t>
      </w:r>
      <w:r>
        <w:rPr>
          <w:rStyle w:val="1_636"/>
          <w:rFonts w:ascii="Times New Roman" w:hAnsi="Times New Roman"/>
          <w:sz w:val="24"/>
        </w:rPr>
        <w:t xml:space="preserve"> изготовление и поставка обложек и вкладышей служебных </w:t>
      </w:r>
      <w:r>
        <w:rPr>
          <w:rStyle w:val="1_636"/>
          <w:rFonts w:ascii="Times New Roman" w:hAnsi="Times New Roman"/>
          <w:sz w:val="24"/>
        </w:rPr>
        <w:t xml:space="preserve">удостоверений, голографических печатей (голограмм) для служебных удостоверений (далее - Товар)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Поставляемый Товар должен б</w:t>
      </w:r>
      <w:r>
        <w:rPr>
          <w:rStyle w:val="1_636"/>
          <w:rFonts w:ascii="Times New Roman" w:hAnsi="Times New Roman"/>
          <w:sz w:val="24"/>
          <w:szCs w:val="24"/>
        </w:rPr>
        <w:t xml:space="preserve">ыть новым (товаром, который не был в употреблении, в том числе который не был восстановлен, не б</w:t>
      </w:r>
      <w:r>
        <w:rPr>
          <w:rStyle w:val="1_636"/>
          <w:rFonts w:ascii="Times New Roman" w:hAnsi="Times New Roman"/>
          <w:sz w:val="24"/>
        </w:rPr>
        <w:t xml:space="preserve">ыли восстановлены потребительские свойства) и на него должна распространяться полная гарантия производителя.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851"/>
        <w:jc w:val="both"/>
        <w:spacing w:after="0" w:line="240" w:lineRule="auto"/>
        <w:tabs>
          <w:tab w:val="left" w:pos="7088" w:leader="none"/>
        </w:tabs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Поставляемый товар изготавливается в соответствии с требованиями приказа Росимущества от 07.05.2024 «О порядке оформления и выдачи служебных удостоверений в Федеральном агентстве по упр</w:t>
      </w:r>
      <w:r>
        <w:rPr>
          <w:rStyle w:val="1_636"/>
          <w:rFonts w:ascii="Times New Roman" w:hAnsi="Times New Roman"/>
          <w:sz w:val="24"/>
        </w:rPr>
        <w:t xml:space="preserve">авлению государственным имуществом».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851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Функциональные, технические и качественные характеристики, эксплуатационные характеристики поставляемого Товара должны соответствовать следующим требованиям: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851"/>
        <w:jc w:val="both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Таблица 1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813"/>
        <w:gridCol w:w="4594"/>
        <w:gridCol w:w="709"/>
        <w:gridCol w:w="708"/>
        <w:gridCol w:w="708"/>
        <w:gridCol w:w="7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617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Функциональные, технические и качественные характеристики, эксплуатационные характеристики Товара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Кол-во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единицы Товара, руб.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Стоимость,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Обложка служебного удостоверения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происхождения: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Материал: натуральная кожа или прочный синтетический материал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Цвет: темно-красный (бордовый)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Размер: 200х65 мм. (в развернутом состоянии)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На лицевой стороне обложки удостоверения выполнена тисненая надпись золотистого цвета «Российская Федерация».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Над надписью по центру – изображение Государственного герба Российской Федерации.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Вкладыши служебных удостоверений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происхождения Товара –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Вкладыши удостоверения имеют фон из трех продольных полос белого, синего и красного цветов (имитирующего цвета Государственного Флага Российской Федерации) и изготавлива</w:t>
            </w:r>
            <w:r>
              <w:rPr>
                <w:rStyle w:val="1_636"/>
                <w:rFonts w:ascii="Times New Roman" w:hAnsi="Times New Roman"/>
                <w:sz w:val="24"/>
              </w:rPr>
              <w:t xml:space="preserve">ются на типографских бланках с соответствующими степенями защиты (водными знаками). На левом вкладыше с правой стороны находится фотография установленного размера и образца (30мм х 40мм), ниже – дата выдачи удостоверения, с левой стороны в верхнем углу – н</w:t>
            </w:r>
            <w:r>
              <w:rPr>
                <w:rStyle w:val="1_636"/>
                <w:rFonts w:ascii="Times New Roman" w:hAnsi="Times New Roman"/>
                <w:sz w:val="24"/>
              </w:rPr>
              <w:t xml:space="preserve">адпись черным цветом: «МИНИСТЕРСТВО ФИНАНСОВ РОССИЙСКОЙ ФЕДЕРАЦИИ Федеральное агентство по управлению государственным имуществом».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На правом вкладыше вверху надпись:  «УДОСТОВЕРЕНИЕ №___». Ниже надписи -  поле для написания фамилии, имени, отчества (при н</w:t>
            </w:r>
            <w:r>
              <w:rPr>
                <w:rStyle w:val="1_636"/>
                <w:rFonts w:ascii="Times New Roman" w:hAnsi="Times New Roman"/>
                <w:sz w:val="24"/>
              </w:rPr>
              <w:t xml:space="preserve">аличии), а также замещаемой должности гражданского служащего ТО Росимущества.  Внизу, в левом углу, надпись «Руководитель ТУ Росимущества в Свердловской области», в правом углу – инициалы и фамилия  руководителя территориального органа Росимущес</w:t>
            </w:r>
            <w:r>
              <w:rPr>
                <w:rStyle w:val="1_636"/>
                <w:rFonts w:ascii="Times New Roman" w:hAnsi="Times New Roman"/>
                <w:sz w:val="24"/>
              </w:rPr>
              <w:t xml:space="preserve">тва.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Вкладыш в центре имеет изображение Государственного Герба Российской Федерации.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Образец вкладыша представлен под таблицей № 1 (Рисунок 1).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Голографическая печать (голограмма)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происхождения Товара –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Голограмма представляет собой круг из серебристой голографической фольги на самоклеящейся основе диаметром 15 мм с изображением Государственного герба Российской Федерации, внутри которых должны быть проставлены порядковые номера с 151 по 190.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_636"/>
                <w:rFonts w:ascii="Times New Roman" w:hAnsi="Times New Roman"/>
                <w:sz w:val="24"/>
              </w:rPr>
              <w:t xml:space="preserve">Они должны обладать дифракционными (создающими радужный эффект) и иными специальными оптическими свойствами, в том числе позволяющими наблюдать изменение (движение) основного изо</w:t>
            </w:r>
            <w:r>
              <w:rPr>
                <w:rStyle w:val="1_636"/>
                <w:rFonts w:ascii="Times New Roman" w:hAnsi="Times New Roman"/>
                <w:sz w:val="24"/>
              </w:rPr>
              <w:t xml:space="preserve">бражения при изменении угла наблюдения, которые наблюдаются в отраженном свете визуально или инструментально.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Голограммы должны соответствовать ГОСТ Р 54109-2010 «Национальный стандарт Российской Федерации. Защитные технологии. Продукция полиграфическая защищенная. Общие технологические требования»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Образец голографической печати (голограммы) представлен под таблицей № 1 (Рисунок 2).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6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8" w:type="dxa"/>
            <w:vAlign w:val="top"/>
            <w:textDirection w:val="lrTb"/>
            <w:noWrap w:val="false"/>
          </w:tcPr>
          <w:p>
            <w:pPr>
              <w:pStyle w:val="617"/>
              <w:numPr>
                <w:ilvl w:val="0"/>
                <w:numId w:val="1"/>
              </w:numPr>
              <w:ind w:left="0" w:firstLine="0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Поставщик обязан согласовать с Заказчиком образцы товара (образцы обложек, макеты бланка (внутренней выклейки), образцы голограмм) в течение 5 (пяти) рабочих дней со дня заключения контракта.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numPr>
                <w:ilvl w:val="0"/>
                <w:numId w:val="1"/>
              </w:numPr>
              <w:ind w:left="0" w:firstLine="142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несогласования Заказчиком представленных на согласовани</w:t>
            </w:r>
            <w:r>
              <w:rPr>
                <w:rFonts w:ascii="Times New Roman" w:hAnsi="Times New Roman"/>
                <w:sz w:val="24"/>
              </w:rPr>
              <w:t xml:space="preserve">е образцов и макетов Поставщику необходимо доработать их с учетом замечаний Заказчика и в течение 2 рабочих дней с даты возвращения образцов и макетов, повторно представить их Заказчику для согласования. Разработка, изготовление и доставка образцов и макет</w:t>
            </w:r>
            <w:r>
              <w:rPr>
                <w:rFonts w:ascii="Times New Roman" w:hAnsi="Times New Roman"/>
                <w:sz w:val="24"/>
              </w:rPr>
              <w:t xml:space="preserve">ов товара Заказчику выполняется за счет Поставщика – из его материалов, его силами и средствами.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17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Заказчик в течение 1 рабочего дня с момента получения макетов согласовывает или направляет свои замечания Поставщику. Общий срок согласования макетов не должен превышать 3 рабочих дней с момента получения Заказчиком макетов от Поставщика.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617"/>
        <w:ind w:firstLine="709"/>
        <w:jc w:val="both"/>
        <w:rPr>
          <w:b/>
        </w:rPr>
      </w:pPr>
      <w:r>
        <w:rPr>
          <w:rStyle w:val="1_636"/>
          <w:rFonts w:ascii="Times New Roman" w:hAnsi="Times New Roman"/>
          <w:i/>
          <w:sz w:val="24"/>
        </w:rPr>
        <w:t xml:space="preserve">*В связи с отсутствием в позиции Каталога товаров, работ и услуг описания товара Заказчиком указаны функциональные, технические, качественные, эксплуатационные характеристики товара в соответствии с положениями </w:t>
      </w:r>
      <w:r>
        <w:rPr>
          <w:rStyle w:val="1_636"/>
          <w:rFonts w:ascii="Times New Roman" w:hAnsi="Times New Roman"/>
          <w:i/>
          <w:sz w:val="24"/>
        </w:rPr>
        <w:fldChar w:fldCharType="begin"/>
      </w:r>
      <w:r>
        <w:rPr>
          <w:rStyle w:val="1_636"/>
          <w:rFonts w:ascii="Times New Roman" w:hAnsi="Times New Roman"/>
          <w:i/>
          <w:sz w:val="24"/>
        </w:rPr>
        <w:instrText xml:space="preserve">HYPERLINK "https://www.consultant.ru/document/cons_doc_LAW_450824/d6aec91603ff628ea274b8552ce2849e06e0aa4c/#dst335"</w:instrText>
      </w:r>
      <w:r>
        <w:rPr>
          <w:rStyle w:val="1_636"/>
          <w:rFonts w:ascii="Times New Roman" w:hAnsi="Times New Roman"/>
          <w:i/>
          <w:sz w:val="24"/>
        </w:rPr>
        <w:fldChar w:fldCharType="separate"/>
      </w:r>
      <w:r>
        <w:rPr>
          <w:rStyle w:val="1_636"/>
          <w:rFonts w:ascii="Times New Roman" w:hAnsi="Times New Roman"/>
          <w:i/>
          <w:sz w:val="24"/>
        </w:rPr>
        <w:t xml:space="preserve">статьи 33</w:t>
      </w:r>
      <w:r>
        <w:rPr>
          <w:rStyle w:val="1_636"/>
          <w:rFonts w:ascii="Times New Roman" w:hAnsi="Times New Roman"/>
          <w:i/>
          <w:sz w:val="24"/>
        </w:rPr>
        <w:fldChar w:fldCharType="end"/>
      </w:r>
      <w:r>
        <w:rPr>
          <w:rStyle w:val="1_636"/>
          <w:rFonts w:ascii="Times New Roman" w:hAnsi="Times New Roman"/>
          <w:i/>
          <w:sz w:val="24"/>
        </w:rPr>
        <w:t xml:space="preserve"> Федерального закона от 05.04.2013 №44-ФЗ.</w:t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6846570</wp:posOffset>
                </wp:positionV>
                <wp:extent cx="5940425" cy="222694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867896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2226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15.20pt;mso-position-horizontal:absolute;mso-position-vertical-relative:page;margin-top:539.10pt;mso-position-vertical:absolute;width:467.75pt;height:175.3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 xml:space="preserve">Рисунок 1 – Образец вкладыша служебного удостоверения</w:t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ge">
                  <wp:posOffset>295275</wp:posOffset>
                </wp:positionV>
                <wp:extent cx="1880235" cy="168465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82915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80235" cy="1684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173.75pt;mso-position-horizontal:absolute;mso-position-vertical-relative:page;margin-top:23.25pt;mso-position-vertical:absolute;width:148.05pt;height:132.6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 xml:space="preserve">Рисунок 2 – Образец голографической печати (голограммы)</w:t>
      </w:r>
      <w:r>
        <w:rPr>
          <w:rStyle w:val="1_636"/>
          <w:rFonts w:ascii="Times New Roman" w:hAnsi="Times New Roman"/>
          <w:i/>
          <w:sz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617"/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Срок поставки Товара: </w:t>
      </w:r>
      <w:r>
        <w:rPr>
          <w:rFonts w:ascii="Times New Roman" w:hAnsi="Times New Roman"/>
          <w:b/>
          <w:bCs/>
          <w:sz w:val="24"/>
        </w:rPr>
        <w:t xml:space="preserve">не позднее 30 июля 2026 г.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617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Доставка Товара</w:t>
      </w:r>
      <w:r>
        <w:rPr>
          <w:rFonts w:ascii="Times New Roman" w:hAnsi="Times New Roman"/>
          <w:sz w:val="24"/>
        </w:rPr>
        <w:t xml:space="preserve"> подтверждается датой входящего номера, проставленного на сопро</w:t>
      </w:r>
      <w:r>
        <w:rPr>
          <w:rStyle w:val="1_636"/>
          <w:rFonts w:ascii="Times New Roman" w:hAnsi="Times New Roman"/>
          <w:sz w:val="24"/>
        </w:rPr>
        <w:t xml:space="preserve">водительном письме о направлении бланочной продукции в канцелярии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Доставка Товара производится Поставщиком собственными силами по адресу Заказчика: г. Екатеринбург, ул. Восточная 52, 2 этаж.кабинет 210.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Доставка, разгрузка Товара осуществляется силами и средствами Поставщика.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Доставка Товара производится Поставщиком в согласованны</w:t>
      </w:r>
      <w:r>
        <w:rPr>
          <w:rStyle w:val="1_636"/>
          <w:rFonts w:ascii="Times New Roman" w:hAnsi="Times New Roman"/>
          <w:sz w:val="24"/>
        </w:rPr>
        <w:t xml:space="preserve">е между Заказчиком и Поставщ</w:t>
      </w:r>
      <w:r>
        <w:rPr>
          <w:rStyle w:val="1_636"/>
          <w:rFonts w:ascii="Times New Roman" w:hAnsi="Times New Roman"/>
          <w:sz w:val="24"/>
        </w:rPr>
        <w:t xml:space="preserve">иком рабоч</w:t>
      </w:r>
      <w:r>
        <w:rPr>
          <w:rStyle w:val="1_636"/>
          <w:rFonts w:ascii="Times New Roman" w:hAnsi="Times New Roman"/>
          <w:sz w:val="24"/>
        </w:rPr>
        <w:t xml:space="preserve">ие дни Заказчика: с понедельника по четверг с 09:00 до 18:00 часов, по пятницам – с 09:00 до 16:45 часов по местному времени, на условиях контракта и настоящего Технического задания. Поставщик должен учитывать режим работы Заказчика при поставке Товара.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851"/>
        <w:jc w:val="both"/>
        <w:spacing w:after="0"/>
        <w:rPr>
          <w:rFonts w:ascii="Times New Roman" w:hAnsi="Times New Roman"/>
          <w:b/>
          <w:sz w:val="24"/>
        </w:rPr>
      </w:pPr>
      <w:r>
        <w:rPr>
          <w:rStyle w:val="1_636"/>
          <w:rFonts w:ascii="Times New Roman" w:hAnsi="Times New Roman"/>
          <w:b/>
          <w:sz w:val="24"/>
        </w:rPr>
        <w:t xml:space="preserve">Требования к упаковке Товара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17"/>
        <w:ind w:firstLine="851"/>
        <w:jc w:val="both"/>
        <w:spacing w:after="0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(при наличии) должна быть</w:t>
      </w:r>
      <w:r>
        <w:rPr>
          <w:rStyle w:val="1_636"/>
          <w:rFonts w:ascii="Times New Roman" w:hAnsi="Times New Roman"/>
          <w:sz w:val="24"/>
        </w:rPr>
        <w:t xml:space="preserve">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850"/>
        <w:jc w:val="both"/>
        <w:spacing w:after="0"/>
        <w:tabs>
          <w:tab w:val="left" w:pos="5040" w:leader="none"/>
          <w:tab w:val="left" w:pos="5400" w:leader="none"/>
        </w:tabs>
        <w:rPr>
          <w:rFonts w:ascii="Times New Roman" w:hAnsi="Times New Roman"/>
          <w:b/>
          <w:sz w:val="24"/>
        </w:rPr>
      </w:pPr>
      <w:r>
        <w:rPr>
          <w:rStyle w:val="1_636"/>
          <w:rFonts w:ascii="Times New Roman" w:hAnsi="Times New Roman"/>
          <w:b/>
          <w:sz w:val="24"/>
        </w:rPr>
        <w:t xml:space="preserve">Требования к Поставщику: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17"/>
        <w:ind w:firstLine="851"/>
        <w:jc w:val="both"/>
        <w:spacing w:after="0"/>
        <w:rPr>
          <w:rFonts w:ascii="Times New Roman" w:hAnsi="Times New Roman"/>
          <w:sz w:val="24"/>
        </w:rPr>
      </w:pPr>
      <w:r>
        <w:rPr>
          <w:rStyle w:val="1_636"/>
          <w:rFonts w:ascii="Times New Roman" w:hAnsi="Times New Roman"/>
          <w:sz w:val="24"/>
        </w:rPr>
        <w:t xml:space="preserve"> Наличие лицензи</w:t>
      </w:r>
      <w:r>
        <w:rPr>
          <w:rStyle w:val="1_636"/>
          <w:rFonts w:ascii="Times New Roman" w:hAnsi="Times New Roman"/>
          <w:sz w:val="24"/>
        </w:rPr>
        <w:t xml:space="preserve">и на осуществление деятельности по производству и реализации защищенной от подделок полиграфической продукции (основание: Постановление Правительства Российской Федерации от 05.11.2020 № 1788 «О лицензировании деятельности по производству и реализации защи</w:t>
      </w:r>
      <w:r>
        <w:rPr>
          <w:rStyle w:val="1_636"/>
          <w:rFonts w:ascii="Times New Roman" w:hAnsi="Times New Roman"/>
          <w:sz w:val="24"/>
        </w:rPr>
        <w:t xml:space="preserve">щенной от подделок полиграфической продукции», п. 6 ч. 1 ст. 12 Федерального закона от 04.05.2011 № 99-ФЗ «О лицензировании отдельных видов деятельности»).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17"/>
        <w:ind w:firstLine="709"/>
        <w:jc w:val="both"/>
      </w:pPr>
      <w:r>
        <w:rPr>
          <w:rStyle w:val="1_636"/>
          <w:rFonts w:ascii="Times New Roman" w:hAnsi="Times New Roman"/>
          <w:b/>
          <w:sz w:val="24"/>
        </w:rPr>
        <w:t xml:space="preserve">Срок действия контракта:</w:t>
      </w:r>
      <w:r>
        <w:rPr>
          <w:rStyle w:val="1_636"/>
          <w:rFonts w:ascii="Times New Roman" w:hAnsi="Times New Roman"/>
          <w:sz w:val="24"/>
        </w:rPr>
        <w:t xml:space="preserve"> с момента его подписания обеими Сторонами и действует по 31.12.2026 г. Окончание срока действия Контракта не влечет прекращения неисполненных обязательств Сторон по Контракту.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New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36" w:customStyle="1">
    <w:name w:val="Обычный1"/>
    <w:next w:val="720"/>
    <w:link w:val="711"/>
  </w:style>
  <w:style w:type="paragraph" w:styleId="1_1934" w:customStyle="1">
    <w:name w:val="Normal_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yuliya.pechenkina</cp:lastModifiedBy>
  <cp:revision>1</cp:revision>
  <dcterms:modified xsi:type="dcterms:W3CDTF">2026-05-27T07:15:48Z</dcterms:modified>
</cp:coreProperties>
</file>