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highlight w:val="none"/>
          <w:shd w:fill="auto" w:val="clear"/>
        </w:rPr>
      </w:pPr>
      <w:r>
        <w:rPr>
          <w:rFonts w:ascii="PT Serif" w:hAnsi="PT Serif"/>
          <w:sz w:val="20"/>
          <w:szCs w:val="20"/>
          <w:shd w:fill="auto" w:val="clear"/>
        </w:rPr>
        <w:t xml:space="preserve">Приложение № 5 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ascii="PT Serif" w:hAnsi="PT Serif"/>
          <w:sz w:val="20"/>
          <w:szCs w:val="20"/>
          <w:shd w:fill="auto" w:val="clear"/>
        </w:rPr>
        <w:t xml:space="preserve">к РЕГЛАМЕНТУ, утвержденного </w:t>
      </w:r>
      <w:r>
        <w:rPr>
          <w:rFonts w:cs="PT Serif" w:ascii="PT Serif" w:hAnsi="PT Serif"/>
          <w:sz w:val="20"/>
          <w:szCs w:val="20"/>
          <w:shd w:fill="auto" w:val="clear"/>
        </w:rPr>
        <w:t xml:space="preserve">приказом 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cs="PT Serif" w:ascii="PT Serif" w:hAnsi="PT Serif"/>
          <w:sz w:val="20"/>
          <w:szCs w:val="20"/>
          <w:shd w:fill="auto" w:val="clear"/>
        </w:rPr>
        <w:t>руководителя — главного эксперта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cs="PT Serif" w:ascii="PT Serif" w:hAnsi="PT Serif"/>
          <w:sz w:val="20"/>
          <w:szCs w:val="20"/>
          <w:shd w:fill="auto" w:val="clear"/>
        </w:rPr>
        <w:t>по медико-социальной экспертизе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eastAsia="Arial Unicode MS" w:cs="Times New Roman" w:ascii="PT Serif" w:hAnsi="PT Serif"/>
          <w:color w:val="000000"/>
          <w:sz w:val="20"/>
          <w:szCs w:val="20"/>
          <w:shd w:fill="auto" w:val="clear"/>
        </w:rPr>
        <w:t>от 05.06.2024 № 74-хд</w:t>
      </w:r>
    </w:p>
    <w:p>
      <w:pPr>
        <w:pStyle w:val="Normal"/>
        <w:jc w:val="right"/>
        <w:rPr>
          <w:rFonts w:ascii="PT Serif" w:hAnsi="PT Serif"/>
          <w:b/>
          <w:bCs/>
          <w:i/>
          <w:i/>
          <w:iCs/>
          <w:sz w:val="20"/>
          <w:szCs w:val="20"/>
        </w:rPr>
      </w:pPr>
      <w:r>
        <w:rPr>
          <w:rFonts w:ascii="PT Serif" w:hAnsi="PT Serif"/>
          <w:b/>
          <w:bCs/>
          <w:i/>
          <w:iCs/>
          <w:sz w:val="20"/>
          <w:szCs w:val="20"/>
        </w:rPr>
      </w:r>
    </w:p>
    <w:p>
      <w:pPr>
        <w:pStyle w:val="Normal"/>
        <w:rPr>
          <w:rFonts w:ascii="PT Serif" w:hAnsi="PT Serif"/>
          <w:b/>
          <w:bCs/>
        </w:rPr>
      </w:pPr>
      <w:r>
        <w:rPr>
          <w:rFonts w:ascii="PT Serif" w:hAnsi="PT Serif"/>
          <w:b/>
          <w:bCs/>
          <w:sz w:val="20"/>
          <w:szCs w:val="20"/>
        </w:rPr>
        <w:t>Техническое задание</w:t>
      </w:r>
    </w:p>
    <w:p>
      <w:pPr>
        <w:pStyle w:val="Normal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</w:r>
    </w:p>
    <w:tbl>
      <w:tblPr>
        <w:tblW w:w="10074" w:type="dxa"/>
        <w:jc w:val="left"/>
        <w:tblInd w:w="-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1"/>
        <w:gridCol w:w="2341"/>
        <w:gridCol w:w="7232"/>
      </w:tblGrid>
      <w:tr>
        <w:trPr>
          <w:trHeight w:val="850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Наименование и описание объекта закупки, ОКПД (КТРУ)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Style w:val="Hyperlink"/>
                <w:rFonts w:eastAsia="Calibri" w:cs="Times New Roman" w:ascii="PT Serif" w:hAnsi="PT Serif"/>
                <w:color w:val="000000"/>
                <w:kern w:val="0"/>
                <w:sz w:val="18"/>
                <w:szCs w:val="18"/>
                <w:u w:val="none"/>
                <w:shd w:fill="FFFFFF" w:val="clear"/>
                <w:lang w:eastAsia="en-US" w:bidi="ar-SA"/>
              </w:rPr>
              <w:t>Оказание услуг по проведению периодического медицинского осмотра работников ФКУ «ГБ МСЭ по Иркутской области» Минтруда России</w:t>
            </w:r>
          </w:p>
          <w:p>
            <w:pPr>
              <w:pStyle w:val="Normal"/>
              <w:spacing w:lineRule="exact" w:line="283"/>
              <w:jc w:val="both"/>
              <w:rPr>
                <w:sz w:val="16"/>
                <w:szCs w:val="16"/>
              </w:rPr>
            </w:pPr>
            <w:hyperlink r:id="rId2" w:tgtFrame="_blank">
              <w:r>
                <w:rPr>
                  <w:rStyle w:val="Hyperlink"/>
                  <w:rFonts w:eastAsia="Calibri" w:cs="PT Serif" w:ascii="PT Serif" w:hAnsi="PT Serif"/>
                  <w:color w:val="000000"/>
                  <w:kern w:val="0"/>
                  <w:sz w:val="18"/>
                  <w:szCs w:val="18"/>
                  <w:highlight w:val="yellow"/>
                  <w:u w:val="none"/>
                  <w:shd w:fill="FFFFFF" w:val="clear"/>
                  <w:lang w:eastAsia="en-US" w:bidi="ar-SA"/>
                </w:rPr>
                <w:t>86.21.10.120-00000007</w:t>
              </w:r>
            </w:hyperlink>
          </w:p>
        </w:tc>
      </w:tr>
      <w:tr>
        <w:trPr>
          <w:trHeight w:val="575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Количество/объем оказываемых услуг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sz w:val="16"/>
                <w:szCs w:val="16"/>
              </w:rPr>
            </w:pPr>
            <w:r>
              <w:rPr>
                <w:rFonts w:ascii="PT Serif" w:hAnsi="PT Serif"/>
                <w:sz w:val="18"/>
                <w:szCs w:val="18"/>
              </w:rPr>
              <w:t>Согласно приложению №1</w:t>
            </w:r>
          </w:p>
        </w:tc>
      </w:tr>
      <w:tr>
        <w:trPr>
          <w:trHeight w:val="4363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Требования к качеству оказываемых услуг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shd w:val="clear" w:color="auto" w:fill="FFFFFF"/>
              <w:ind w:firstLine="266" w:left="0"/>
              <w:jc w:val="both"/>
              <w:rPr/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При оказании услуг по проведению периодического медицинского осмотра работников Заказчика Исполнитель обязуется строго руководствоваться требованиями действующего законодательства РФ, в частности, соблюдать положения приказа Министерства здравоохранения Российской Федерации от 28 января 2021 г. № 29н «Об утверждении Порядка проведения обязательных предварительных и периодических медицинских осмотров работников, пре</w:t>
            </w:r>
            <w:hyperlink r:id="rId3">
              <w:r>
                <w:rPr>
                  <w:rStyle w:val="Style"/>
                  <w:rFonts w:eastAsia="Calibri" w:cs="Times New Roman" w:ascii="PT Serif" w:hAnsi="PT Serif"/>
                  <w:bCs/>
                  <w:color w:val="000000"/>
                  <w:kern w:val="0"/>
                  <w:sz w:val="18"/>
                  <w:szCs w:val="18"/>
                  <w:lang w:eastAsia="en-US" w:bidi="ar-SA"/>
                </w:rPr>
                <w:t xml:space="preserve">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  </w:r>
            </w:hyperlink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 xml:space="preserve"> (далее приказ № 29н).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Наличие в медицинской организации постоянно действующей врачебной комиссии по проведению периодических осмотров.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Привлечение Соисполнителей (Субисполнителя): не установлено.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Наличие у Исполнителя действующей лицензии на проведение периодических медосмотров.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Исполнитель предоставляет копии приказа (локального нормативного акта) о составе врачебной комиссии и копии сертификатов всех специалистов, включенных в указанный приказ.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>Исполнитель организовывает возможность прохождения работником Заказчика необходимых осмотров врачами-специалистами и исследований в течение одного рабочего дня, включая врача-психиатра, врача-нарколога, стоматолога. В случае отдаленного расположения отдельных специалистов, обследований, расходы на доставку автотранспортом врачей-специалистов и/или работников Заказчика несет Исполнитель.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>Исполнитель оказывает услуги согласно предоставленному Заказчиком поименному списку лиц, подлежащих прохождению периодическим медицинским осмотрам.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 xml:space="preserve">По результатам периодического медицинского осмотра, в течение 15 календарных дней после завершения оказания услуги, должны быть оформлены, </w:t>
            </w:r>
            <w:r>
              <w:rPr>
                <w:rFonts w:cs="Times New Roman" w:ascii="PT Serif" w:hAnsi="PT Serif"/>
                <w:bCs/>
                <w:color w:val="000000"/>
                <w:sz w:val="18"/>
                <w:szCs w:val="18"/>
              </w:rPr>
              <w:t xml:space="preserve">в соответствие с приказом № 29н, </w:t>
            </w:r>
            <w:r>
              <w:rPr>
                <w:rFonts w:cs="Times New Roman" w:ascii="PT Serif" w:hAnsi="PT Serif"/>
                <w:bCs/>
                <w:sz w:val="18"/>
                <w:szCs w:val="18"/>
              </w:rPr>
              <w:t xml:space="preserve">и переданы представителю заказчика в отдел кадрово - правового обеспечения по адресу </w:t>
            </w:r>
            <w:r>
              <w:rPr>
                <w:rFonts w:cs="Times New Roman" w:ascii="PT Serif" w:hAnsi="PT Serif"/>
                <w:bCs/>
                <w:sz w:val="18"/>
                <w:szCs w:val="18"/>
                <w:shd w:fill="auto" w:val="clear"/>
              </w:rPr>
              <w:t>г. Иркутск Байкальская № 206 кабинет № 308 следующие документы:</w:t>
            </w:r>
          </w:p>
          <w:p>
            <w:pPr>
              <w:pStyle w:val="1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паспорт здоровья на каждого работника (каждый паспорт должен быть запечатан в отдельный конверт, с указанием ФИО работника);</w:t>
            </w:r>
          </w:p>
          <w:p>
            <w:pPr>
              <w:pStyle w:val="1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заключительные акты установленного образца в соответствии с п.33 приказа № 29Н;</w:t>
            </w:r>
          </w:p>
          <w:p>
            <w:pPr>
              <w:pStyle w:val="1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личные медицинские книжки работников.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eastAsia="Calibri" w:cs="Times New Roman"/>
                <w:bCs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В случае утери работником паспорта здоровья медицинская организация, проводившая периодический медицинский осмотр, по заявлению работника выдает ему дубликат паспорта здоровья.</w:t>
            </w:r>
          </w:p>
        </w:tc>
      </w:tr>
      <w:tr>
        <w:trPr>
          <w:trHeight w:val="400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570" w:after="770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969" w:after="1169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Требования к объему гарантий качества оказываемых услуг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/>
                <w:color w:val="000000"/>
                <w:spacing w:val="-1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pacing w:val="-1"/>
                <w:sz w:val="18"/>
                <w:szCs w:val="18"/>
              </w:rPr>
              <w:t>Все применяемые при оказании Исполнителем услуги, материалы и оборудование, должны быть сертифицированы и разрешены к применению на территории Российской Федерации.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Услуги должны оказываться с соблюдением экологических и гигиенических норм, правил техники безопасности и индивидуальной защиты собственного персонала.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Оказываемые услуги не должны причинить вред жизни и здоровью работников Заказчика.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Ответственность за нарушение указанных норм и правил возлагается на Исполнителя.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При проведении всех манипуляций должны использоваться только одноразовые инструменты и индивидуальные средства защиты.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spacing w:before="0" w:after="0"/>
              <w:ind w:firstLine="266"/>
              <w:contextualSpacing/>
              <w:jc w:val="left"/>
              <w:rPr>
                <w:rFonts w:ascii="PT Serif" w:hAnsi="PT Serif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Исполнитель обязан: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в срок не позднее 3-х календарных дней, с даты получения от Заказчика поимённого списка лиц, подлежащих периодическому медицинскому осмотру, согласовать с Заказчиком график прохождения медосмотра с указанием даты и времени прохождения специалистов, сдачи анализов;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организовать проведение периодического медицинского осмотра согласно утвержденного и согласованного графика проведения работ. Работникам Заказчика, по уважительным причинам не прошедшим медосмотр в срок, установленный графиком, предоставить возможность его прохождения в здании медицинского учреждения Исполнителя, в любое удобное для них время (по согласованию с Исполнителем) в период действия Контракта;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обеспечить каждому работнику, проходящему медосмотр, не позднее 3 календарных дней до начала проведения медицинского осмотра, возможность получения емкостей для анализов в индивидуальной упаковке (со шпателем/без шпателя) по адресу Заказчика.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ind w:hanging="283" w:left="266"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в случае подозрения о наличии у работника профессионального заболевания при проведении периодического осмотра выдать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Гарантия качества на оказанные услуги составляет 12 (двенадцать) календарных месяцев со дня подписания Акта приема оказанных услуг Сторонами.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Ответственность за качество проведения периодических медицинских осмотров работников Заказчика возлагается на Исполнителя (медицинскую организацию).</w:t>
            </w:r>
          </w:p>
        </w:tc>
      </w:tr>
      <w:tr>
        <w:trPr>
          <w:trHeight w:val="1050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5.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86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 xml:space="preserve">Место 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оказания услуг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11"/>
              <w:numPr>
                <w:ilvl w:val="0"/>
                <w:numId w:val="0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1276" w:leader="none"/>
              </w:tabs>
              <w:spacing w:before="240" w:after="0"/>
              <w:ind w:firstLine="266" w:left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Здание медицинского учреждения Исполнителя, имеющего юридический и фактический адреса на территории г. Черемхово. Режим оказания услуги – рабочие дни (понедельник – пятница) с 08-00 до 17-00 (время Иркутское) в соответствии с утвержденными Заказчиком графиками.</w:t>
            </w:r>
          </w:p>
        </w:tc>
      </w:tr>
      <w:tr>
        <w:trPr>
          <w:trHeight w:val="684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6.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143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>Сроки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 xml:space="preserve"> оказания услуг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Heading4"/>
              <w:snapToGrid w:val="false"/>
              <w:spacing w:before="240" w:after="0"/>
              <w:ind w:firstLine="266"/>
              <w:jc w:val="both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 w:val="false"/>
                <w:color w:val="000000"/>
                <w:sz w:val="18"/>
              </w:rPr>
              <w:t>Д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ата начала оказания услуг считается день, следующий за датой заключения Контракта; окончание оказания Услуг – 30.1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1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.2026 года.</w:t>
            </w:r>
          </w:p>
        </w:tc>
      </w:tr>
      <w:tr>
        <w:trPr>
          <w:trHeight w:val="1316" w:hRule="atLeast"/>
        </w:trPr>
        <w:tc>
          <w:tcPr>
            <w:tcW w:w="5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57" w:after="257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7.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114" w:after="314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>Дополнительные требования/особые условия</w:t>
            </w:r>
          </w:p>
        </w:tc>
        <w:tc>
          <w:tcPr>
            <w:tcW w:w="7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ind w:firstLine="266"/>
              <w:contextualSpacing/>
              <w:jc w:val="both"/>
              <w:rPr>
                <w:rFonts w:ascii="PT Serif" w:hAnsi="PT Serif"/>
                <w:i/>
                <w:i/>
                <w:iCs/>
                <w:sz w:val="18"/>
                <w:szCs w:val="18"/>
              </w:rPr>
            </w:pPr>
            <w:r>
              <w:rPr>
                <w:rFonts w:cs="Times New Roman" w:ascii="PT Serif" w:hAnsi="PT Serif"/>
                <w:i/>
                <w:iCs/>
                <w:sz w:val="18"/>
                <w:szCs w:val="18"/>
              </w:rPr>
              <w:t>Участник закупки должен иметь:</w:t>
            </w:r>
          </w:p>
          <w:p>
            <w:pPr>
              <w:pStyle w:val="Normal"/>
              <w:numPr>
                <w:ilvl w:val="0"/>
                <w:numId w:val="3"/>
              </w:numPr>
              <w:ind w:firstLine="266"/>
              <w:jc w:val="both"/>
              <w:rPr>
                <w:rFonts w:ascii="PT Serif" w:hAnsi="PT Serif" w:cs="Times New Roman"/>
                <w:i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cs="Times New Roman" w:ascii="PT Serif" w:hAnsi="PT Serif"/>
                <w:i/>
                <w:iCs/>
                <w:sz w:val="18"/>
                <w:szCs w:val="18"/>
                <w:lang w:eastAsia="ar-SA"/>
              </w:rPr>
              <w:t>Копию действующей лицензии на осуществление медицинской деятельности или выписка из реестра лицензий, подтверждающая соответствие участника закупки лицензионным требованиям (осуществления медицинской деятельности) (вид деятельности: медицинские осмотры (предварительные, периодические)) (в соответствии с Федеральным законом от 04.05.2011 года № 99-ФЗ, Постановлением Правительства РФ от 16 апреля 2012 г. N 291).</w:t>
            </w:r>
          </w:p>
          <w:p>
            <w:pPr>
              <w:pStyle w:val="Normal"/>
              <w:numPr>
                <w:ilvl w:val="0"/>
                <w:numId w:val="3"/>
              </w:numPr>
              <w:ind w:firstLine="2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  <w:lang w:eastAsia="ar-SA"/>
              </w:rPr>
              <w:t>На работника, проходящего периодический осмотр, Исполнителем оформляются документы, установленные пунктом 13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      </w:r>
            <w:r>
              <w:rPr>
                <w:rStyle w:val="WW8Num3z0"/>
                <w:rFonts w:cs="Times New Roman" w:ascii="PT Serif" w:hAnsi="PT Serif"/>
                <w:bCs/>
                <w:sz w:val="18"/>
                <w:szCs w:val="18"/>
              </w:rPr>
              <w:t xml:space="preserve"> </w:t>
            </w:r>
            <w:r>
              <w:rPr>
                <w:rStyle w:val="Style22"/>
                <w:rFonts w:cs="Times New Roman" w:ascii="PT Serif" w:hAnsi="PT Serif"/>
                <w:b w:val="false"/>
                <w:sz w:val="18"/>
                <w:szCs w:val="18"/>
              </w:rPr>
              <w:t xml:space="preserve">Приложения № 1 к </w:t>
            </w:r>
            <w:r>
              <w:rPr>
                <w:rStyle w:val="Style23"/>
                <w:rFonts w:cs="Times New Roman" w:ascii="PT Serif" w:hAnsi="PT Serif"/>
                <w:b w:val="false"/>
                <w:sz w:val="18"/>
                <w:szCs w:val="18"/>
              </w:rPr>
              <w:t>приказу</w:t>
            </w:r>
            <w:r>
              <w:rPr>
                <w:rStyle w:val="Style22"/>
                <w:rFonts w:cs="Times New Roman" w:ascii="PT Serif" w:hAnsi="PT Serif"/>
                <w:b w:val="false"/>
                <w:sz w:val="18"/>
                <w:szCs w:val="18"/>
              </w:rPr>
              <w:t xml:space="preserve"> Министерства здравоохранения Российской Федерации от 28 января 2021 г. № 29н.</w:t>
            </w:r>
          </w:p>
          <w:p>
            <w:pPr>
              <w:pStyle w:val="110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x-none" w:eastAsia="ar-SA"/>
              </w:rPr>
            </w:pPr>
            <w:r>
              <w:rPr>
                <w:rStyle w:val="Style22"/>
                <w:rFonts w:cs="Times New Roman" w:ascii="PT Serif" w:hAnsi="PT Serif"/>
                <w:b w:val="false"/>
                <w:sz w:val="18"/>
                <w:szCs w:val="18"/>
              </w:rPr>
              <w:t xml:space="preserve"> </w:t>
            </w:r>
            <w:r>
              <w:rPr>
                <w:rFonts w:cs="Times New Roman" w:ascii="PT Serif" w:hAnsi="PT Serif"/>
                <w:sz w:val="18"/>
                <w:szCs w:val="18"/>
              </w:rPr>
              <w:t>медицинская карта амбулаторного больного, в которой отражаются заключения врачей-специалистов, результаты лабораторных и инструментальных исследований, заключение по результатам периодического медицинского осмотра;</w:t>
            </w:r>
          </w:p>
          <w:p>
            <w:pPr>
              <w:pStyle w:val="110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паспорт здоровья работника – в случае если он ранее не оформлялся.</w:t>
            </w:r>
          </w:p>
          <w:p>
            <w:pPr>
              <w:pStyle w:val="110"/>
              <w:widowControl w:val="false"/>
              <w:numPr>
                <w:ilvl w:val="0"/>
                <w:numId w:val="3"/>
              </w:numPr>
              <w:ind w:firstLine="266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При выявлении у работника признаков, какого-либо заболевания, врач, соответствующей специальности либо врач-терапевт обязаны направить его на дополнительную консультацию к врачам-специалистам, либо на дополнительное обследования в специализированном лечебном учреждении для уточнения диагноза. При этом, дополнительные консультации, дополнительные обследования и лечение работника Заказчика в амбулаторно-поликлинических и стационарных условиях не входят в объем медосмотра.</w:t>
            </w:r>
          </w:p>
          <w:p>
            <w:pPr>
              <w:pStyle w:val="110"/>
              <w:widowControl w:val="false"/>
              <w:numPr>
                <w:ilvl w:val="0"/>
                <w:numId w:val="3"/>
              </w:numPr>
              <w:ind w:firstLine="2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По окончании прохождения работниками периодического медицинского осмотра, медицинской организацией оформляется:</w:t>
            </w:r>
          </w:p>
          <w:p>
            <w:pPr>
              <w:pStyle w:val="110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заключение по результатам осмотра работника. Заключение составляется в двух экземплярах, один из которых по результатам проведения медицинского осмотра выдается лицу, завершившему прохождение периодического медицинского осмотра, на руки, а второй приобщается к медицинской карте амбулаторного больного;</w:t>
            </w:r>
          </w:p>
          <w:p>
            <w:pPr>
              <w:pStyle w:val="110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/>
              </w:rPr>
              <w:t>заключительный акт на всех работников Учреждения, прошедших медицинский осмотр.</w:t>
            </w:r>
          </w:p>
        </w:tc>
      </w:tr>
    </w:tbl>
    <w:p>
      <w:pPr>
        <w:pStyle w:val="Normal"/>
        <w:spacing w:before="240" w:after="0"/>
        <w:jc w:val="both"/>
        <w:rPr>
          <w:sz w:val="16"/>
          <w:szCs w:val="16"/>
        </w:rPr>
      </w:pP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    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Специалист по охране труда  </w:t>
        <w:tab/>
        <w:t xml:space="preserve"> </w:t>
      </w:r>
      <w:r>
        <w:rPr>
          <w:rFonts w:cs="Times New Roman" w:ascii="PT Serif" w:hAnsi="PT Serif"/>
          <w:color w:themeColor="background1" w:val="FFFFFF"/>
          <w:sz w:val="22"/>
          <w:szCs w:val="22"/>
          <w:u w:val="single"/>
        </w:rPr>
        <w:t xml:space="preserve">               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    </w:t>
        <w:tab/>
        <w:tab/>
        <w:tab/>
      </w:r>
      <w:r>
        <w:rPr>
          <w:rFonts w:cs="Times New Roman" w:ascii="PT Serif" w:hAnsi="PT Serif"/>
          <w:color w:themeColor="background1" w:val="FFFFFF"/>
          <w:sz w:val="22"/>
          <w:szCs w:val="22"/>
          <w:u w:val="single"/>
        </w:rPr>
        <w:tab/>
        <w:tab/>
        <w:t xml:space="preserve">   </w:t>
      </w:r>
      <w:r>
        <w:rPr>
          <w:rFonts w:cs="Times New Roman" w:ascii="PT Serif" w:hAnsi="PT Serif"/>
          <w:sz w:val="22"/>
          <w:szCs w:val="22"/>
          <w:u w:val="single"/>
        </w:rPr>
        <w:t xml:space="preserve">    Р.С. Галуненко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ab/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(Инициатор закупки)             </w:t>
        <w:tab/>
        <w:tab/>
        <w:tab/>
        <w:tab/>
        <w:t>(подпись)</w:t>
        <w:tab/>
        <w:tab/>
        <w:tab/>
        <w:t xml:space="preserve">       (Фамилия, инициалы)</w:t>
        <w:tab/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170"/>
        <w:jc w:val="right"/>
        <w:rPr>
          <w:sz w:val="16"/>
          <w:szCs w:val="16"/>
        </w:rPr>
      </w:pPr>
      <w:r>
        <w:rPr>
          <w:rFonts w:eastAsia="Calibri" w:ascii="PT Serif" w:hAnsi="PT Serif"/>
          <w:sz w:val="18"/>
          <w:szCs w:val="18"/>
          <w:lang w:eastAsia="en-US"/>
        </w:rPr>
        <w:t>Приложение № 1</w:t>
      </w:r>
    </w:p>
    <w:p>
      <w:pPr>
        <w:pStyle w:val="Normal"/>
        <w:ind w:right="737"/>
        <w:jc w:val="both"/>
        <w:rPr>
          <w:rFonts w:ascii="PT Serif" w:hAnsi="PT Serif" w:cs="Times New Roman"/>
          <w:b/>
          <w:bCs/>
          <w:color w:val="000000"/>
          <w:sz w:val="18"/>
          <w:szCs w:val="18"/>
        </w:rPr>
      </w:pPr>
      <w:r>
        <w:rPr>
          <w:rFonts w:cs="Times New Roman" w:ascii="PT Serif" w:hAnsi="PT Serif"/>
          <w:b/>
          <w:bCs/>
          <w:color w:val="000000"/>
          <w:sz w:val="18"/>
          <w:szCs w:val="18"/>
        </w:rPr>
        <w:t xml:space="preserve">             </w:t>
      </w:r>
    </w:p>
    <w:p>
      <w:pPr>
        <w:pStyle w:val="Normal"/>
        <w:ind w:right="737"/>
        <w:jc w:val="both"/>
        <w:rPr>
          <w:sz w:val="16"/>
          <w:szCs w:val="16"/>
        </w:rPr>
      </w:pPr>
      <w:r>
        <w:rPr>
          <w:rFonts w:cs="Times New Roman" w:ascii="PT Serif" w:hAnsi="PT Serif"/>
          <w:b/>
          <w:bCs/>
          <w:color w:val="000000"/>
          <w:sz w:val="18"/>
          <w:szCs w:val="18"/>
        </w:rPr>
        <w:t xml:space="preserve"> </w:t>
      </w:r>
      <w:r>
        <w:rPr>
          <w:rFonts w:cs="Times New Roman" w:ascii="PT Serif" w:hAnsi="PT Serif"/>
          <w:b/>
          <w:bCs/>
          <w:color w:val="000000"/>
          <w:sz w:val="18"/>
          <w:szCs w:val="18"/>
        </w:rPr>
        <w:tab/>
        <w:t xml:space="preserve">Периодическому медицинскому осмотру подлежит 11 человек. 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 xml:space="preserve">Из них: 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0" w:leader="none"/>
          <w:tab w:val="left" w:pos="993" w:leader="none"/>
        </w:tabs>
        <w:ind w:hanging="0" w:left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10 Женщин:</w:t>
        <w:tab/>
        <w:t>до 40 лет – 1, старше 40 лет – 9.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0" w:leader="none"/>
          <w:tab w:val="left" w:pos="993" w:leader="none"/>
        </w:tabs>
        <w:ind w:hanging="0" w:left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1 Мужчина:</w:t>
        <w:tab/>
        <w:t>до 40 лет – 0, старше 40 лет – 1.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tbl>
      <w:tblPr>
        <w:tblW w:w="10414" w:type="dxa"/>
        <w:jc w:val="left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noHBand="0" w:noVBand="1" w:firstColumn="1" w:lastRow="0" w:lastColumn="0" w:firstRow="1"/>
      </w:tblPr>
      <w:tblGrid>
        <w:gridCol w:w="699"/>
        <w:gridCol w:w="4143"/>
        <w:gridCol w:w="3469"/>
        <w:gridCol w:w="2102"/>
      </w:tblGrid>
      <w:tr>
        <w:trPr>
          <w:trHeight w:val="425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b/>
                <w:bCs/>
                <w:color w:val="000000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 xml:space="preserve">№ </w:t>
            </w: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b/>
                <w:bCs/>
                <w:color w:val="000000"/>
                <w:sz w:val="24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905" w:val="clear"/>
            <w:vAlign w:val="center"/>
          </w:tcPr>
          <w:p>
            <w:pPr>
              <w:pStyle w:val="Style39"/>
              <w:spacing w:lineRule="auto" w:line="276"/>
              <w:rPr>
                <w:b/>
                <w:bCs/>
                <w:sz w:val="24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Пункт приказа № 29 от 28.01.2021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13" w:right="57"/>
              <w:rPr>
                <w:b/>
                <w:bCs/>
                <w:color w:val="000000"/>
                <w:sz w:val="24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>Подразделение</w:t>
            </w:r>
          </w:p>
        </w:tc>
      </w:tr>
      <w:tr>
        <w:trPr>
          <w:trHeight w:val="110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i/>
                <w:i/>
                <w:iCs/>
                <w:color w:val="000000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4</w:t>
            </w:r>
          </w:p>
        </w:tc>
      </w:tr>
      <w:tr>
        <w:trPr>
          <w:trHeight w:val="418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14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22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18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77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Водитель автомобиля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Вахтер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18.1.,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51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b/>
                <w:bCs/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40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Руководитель бюро – 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338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Специалист по социальной работе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396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bookmarkStart w:id="0" w:name="_Hlk231423153"/>
            <w:r>
              <w:rPr>
                <w:rFonts w:ascii="PT Serif" w:hAnsi="PT Serif"/>
                <w:sz w:val="18"/>
                <w:szCs w:val="18"/>
              </w:rPr>
              <w:t>Прил. 1 п. 5.1 п. 27</w:t>
            </w:r>
            <w:bookmarkEnd w:id="0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  <w:tr>
        <w:trPr>
          <w:trHeight w:val="448" w:hRule="atLeast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Уборщик территории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5.1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lineRule="auto" w:line="276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0"/>
                <w:szCs w:val="20"/>
              </w:rPr>
              <w:t>Бюро №19</w:t>
            </w:r>
          </w:p>
        </w:tc>
      </w:tr>
    </w:tbl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p>
      <w:pPr>
        <w:pStyle w:val="ListParagraph"/>
        <w:tabs>
          <w:tab w:val="clear" w:pos="709"/>
          <w:tab w:val="left" w:pos="927" w:leader="none"/>
          <w:tab w:val="left" w:pos="1778" w:leader="none"/>
        </w:tabs>
        <w:ind w:lef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PT Serif" w:hAnsi="PT Serif"/>
          <w:b/>
          <w:color w:val="000000"/>
          <w:sz w:val="18"/>
          <w:szCs w:val="18"/>
        </w:rPr>
        <w:t xml:space="preserve">               </w:t>
      </w:r>
      <w:r>
        <w:rPr>
          <w:rFonts w:cs="Times New Roman" w:ascii="PT Serif" w:hAnsi="PT Serif"/>
          <w:b/>
          <w:color w:val="000000"/>
          <w:sz w:val="18"/>
          <w:szCs w:val="18"/>
        </w:rPr>
        <w:t>Виды медицинских услуг:</w:t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Обращаем внимание список услуг приведен в соответствие с потребностями Заказчика, не в строгом в соответствии с приказом Министерства здравоохранения Российской Федерации от 28.01.2021 г. № 29Н.</w:t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BodyTextIndent"/>
        <w:jc w:val="center"/>
        <w:rPr/>
      </w:pPr>
      <w:r>
        <w:rPr>
          <w:rFonts w:ascii="PT Serif" w:hAnsi="PT Serif"/>
          <w:b/>
          <w:bCs/>
          <w:sz w:val="18"/>
          <w:szCs w:val="18"/>
        </w:rPr>
        <w:t xml:space="preserve">Список работников </w:t>
      </w:r>
    </w:p>
    <w:p>
      <w:pPr>
        <w:pStyle w:val="BodyTextIndent"/>
        <w:jc w:val="center"/>
        <w:rPr/>
      </w:pPr>
      <w:r>
        <w:rPr>
          <w:rFonts w:ascii="PT Serif" w:hAnsi="PT Serif"/>
          <w:b/>
          <w:bCs/>
          <w:sz w:val="18"/>
          <w:szCs w:val="18"/>
        </w:rPr>
        <w:t>ФКУ «ГБ МСЭ по Иркутской области» Минтруда России</w:t>
      </w:r>
    </w:p>
    <w:p>
      <w:pPr>
        <w:pStyle w:val="BodyTextIndent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7"/>
        <w:gridCol w:w="6010"/>
        <w:gridCol w:w="3409"/>
      </w:tblGrid>
      <w:tr>
        <w:trPr>
          <w:trHeight w:val="34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 xml:space="preserve">№ </w:t>
            </w:r>
            <w:r>
              <w:rPr>
                <w:rFonts w:ascii="PT Serif" w:hAnsi="PT Serif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5.1. п. 27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Женщины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Врач - хирург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офтальмолога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Гинекологический мазок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12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УЗИ органов малого таза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13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/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п. 18.1. п. 27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Мужчины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офтальмолога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Вестибулометрия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Аудометрия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12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/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п. 27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Женщины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Гинекологический мазок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Узи органов малого таза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  <w:bookmarkStart w:id="1" w:name="_GoBack"/>
            <w:bookmarkEnd w:id="1"/>
          </w:p>
        </w:tc>
      </w:tr>
      <w:tr>
        <w:trPr>
          <w:trHeight w:val="34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</w:tr>
    </w:tbl>
    <w:p>
      <w:pPr>
        <w:pStyle w:val="BodyTextIndent"/>
        <w:spacing w:before="0" w:after="160"/>
        <w:jc w:val="center"/>
        <w:rPr>
          <w:rFonts w:ascii="PT Serif" w:hAnsi="PT Serif" w:eastAsia="Calibri"/>
          <w:sz w:val="18"/>
          <w:szCs w:val="18"/>
          <w:lang w:eastAsia="en-US"/>
        </w:rPr>
      </w:pPr>
      <w:r>
        <w:rPr>
          <w:rFonts w:eastAsia="Calibri" w:ascii="PT Serif" w:hAnsi="PT Serif"/>
          <w:sz w:val="18"/>
          <w:szCs w:val="18"/>
          <w:lang w:eastAsia="en-US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566" w:gutter="0" w:header="567" w:top="993" w:footer="567" w:bottom="993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swiss"/>
    <w:pitch w:val="default"/>
  </w:font>
  <w:font w:name="PT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709"/>
      </w:pPr>
      <w:rPr/>
    </w:lvl>
    <w:lvl w:ilvl="4">
      <w:start w:val="1"/>
      <w:numFmt w:val="russianLower"/>
      <w:suff w:val="nothing"/>
      <w:lvlText w:val="%5)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bullet"/>
      <w:lvlText w:val="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6">
      <w:start w:val="1"/>
      <w:numFmt w:val="lowerLetter"/>
      <w:suff w:val="nothing"/>
      <w:lvlText w:val="%7)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Title"/>
    <w:next w:val="BodyTextIndent"/>
    <w:uiPriority w:val="9"/>
    <w:qFormat/>
    <w:pPr>
      <w:spacing w:before="240" w:after="0"/>
      <w:outlineLvl w:val="0"/>
    </w:pPr>
    <w:rPr/>
  </w:style>
  <w:style w:type="paragraph" w:styleId="Heading2">
    <w:name w:val="heading 2"/>
    <w:basedOn w:val="Title"/>
    <w:next w:val="BodyText"/>
    <w:uiPriority w:val="9"/>
    <w:unhideWhenUsed/>
    <w:qFormat/>
    <w:pPr>
      <w:spacing w:before="240" w:after="0"/>
      <w:outlineLvl w:val="1"/>
    </w:pPr>
    <w:rPr/>
  </w:style>
  <w:style w:type="paragraph" w:styleId="Heading3">
    <w:name w:val="heading 3"/>
    <w:basedOn w:val="Title"/>
    <w:next w:val="BodyText"/>
    <w:uiPriority w:val="9"/>
    <w:unhideWhenUsed/>
    <w:qFormat/>
    <w:pPr>
      <w:spacing w:before="240" w:after="0"/>
      <w:outlineLvl w:val="2"/>
    </w:pPr>
    <w:rPr/>
  </w:style>
  <w:style w:type="paragraph" w:styleId="Heading4">
    <w:name w:val="heading 4"/>
    <w:basedOn w:val="Title"/>
    <w:next w:val="BodyText"/>
    <w:uiPriority w:val="9"/>
    <w:unhideWhenUsed/>
    <w:qFormat/>
    <w:pPr>
      <w:spacing w:before="240" w:after="0"/>
      <w:outlineLvl w:val="3"/>
    </w:pPr>
    <w:rPr/>
  </w:style>
  <w:style w:type="paragraph" w:styleId="Heading5">
    <w:name w:val="heading 5"/>
    <w:basedOn w:val="Title"/>
    <w:next w:val="BodyText"/>
    <w:uiPriority w:val="9"/>
    <w:semiHidden/>
    <w:unhideWhenUsed/>
    <w:qFormat/>
    <w:pPr>
      <w:spacing w:before="240" w:after="0"/>
      <w:outlineLvl w:val="4"/>
    </w:pPr>
    <w:rPr/>
  </w:style>
  <w:style w:type="paragraph" w:styleId="Heading6">
    <w:name w:val="heading 6"/>
    <w:basedOn w:val="Title"/>
    <w:next w:val="BodyText"/>
    <w:uiPriority w:val="9"/>
    <w:semiHidden/>
    <w:unhideWhenUsed/>
    <w:qFormat/>
    <w:pPr>
      <w:outlineLvl w:val="5"/>
    </w:pPr>
    <w:rPr/>
  </w:style>
  <w:style w:type="paragraph" w:styleId="Heading7">
    <w:name w:val="heading 7"/>
    <w:basedOn w:val="Title"/>
    <w:next w:val="BodyText"/>
    <w:qFormat/>
    <w:pPr>
      <w:spacing w:before="240" w:after="0"/>
      <w:outlineLvl w:val="6"/>
    </w:pPr>
    <w:rPr/>
  </w:style>
  <w:style w:type="paragraph" w:styleId="Heading8">
    <w:name w:val="heading 8"/>
    <w:basedOn w:val="Title"/>
    <w:next w:val="BodyText"/>
    <w:qFormat/>
    <w:pPr>
      <w:spacing w:before="240" w:after="0"/>
      <w:outlineLvl w:val="7"/>
    </w:pPr>
    <w:rPr/>
  </w:style>
  <w:style w:type="paragraph" w:styleId="Heading9">
    <w:name w:val="heading 9"/>
    <w:basedOn w:val="Title"/>
    <w:next w:val="BodyText"/>
    <w:qFormat/>
    <w:pPr>
      <w:spacing w:before="240" w:after="0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/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 w:customStyle="1">
    <w:name w:val="Символы названия"/>
    <w:qFormat/>
    <w:rPr/>
  </w:style>
  <w:style w:type="character" w:styleId="Style9" w:customStyle="1">
    <w:name w:val="Буквица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0" w:customStyle="1">
    <w:name w:val="Заполнитель"/>
    <w:qFormat/>
    <w:rPr>
      <w:smallCaps/>
      <w:color w:val="008080"/>
      <w:u w:val="dotted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 w:customStyle="1">
    <w:name w:val="Основной элемент указателя"/>
    <w:qFormat/>
    <w:rPr>
      <w:b/>
      <w:bCs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Фуригана"/>
    <w:qFormat/>
    <w:rPr>
      <w:sz w:val="12"/>
      <w:szCs w:val="12"/>
      <w:u w:val="none"/>
      <w:em w:val="none"/>
    </w:rPr>
  </w:style>
  <w:style w:type="character" w:styleId="Style15" w:customStyle="1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Style17" w:customStyle="1">
    <w:name w:val="Пример"/>
    <w:qFormat/>
    <w:rPr>
      <w:rFonts w:ascii="Liberation Mono" w:hAnsi="Liberation Mono" w:eastAsia="Liberation Mono" w:cs="Liberation Mono"/>
    </w:rPr>
  </w:style>
  <w:style w:type="character" w:styleId="Style18" w:customStyle="1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19" w:customStyle="1">
    <w:name w:val="Переменная"/>
    <w:qFormat/>
    <w:rPr>
      <w:i/>
      <w:iCs/>
    </w:rPr>
  </w:style>
  <w:style w:type="character" w:styleId="Style20" w:customStyle="1">
    <w:name w:val="Определение"/>
    <w:qFormat/>
    <w:rPr/>
  </w:style>
  <w:style w:type="character" w:styleId="Style21" w:customStyle="1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WW8Num7z0" w:customStyle="1">
    <w:name w:val="WW8Num7z0"/>
    <w:qFormat/>
    <w:rPr/>
  </w:style>
  <w:style w:type="character" w:styleId="WW8Num7z5" w:customStyle="1">
    <w:name w:val="WW8Num7z5"/>
    <w:qFormat/>
    <w:rPr>
      <w:rFonts w:ascii="Symbol" w:hAnsi="Symbol" w:cs="Symbol"/>
    </w:rPr>
  </w:style>
  <w:style w:type="character" w:styleId="WW8Num7z8" w:customStyle="1">
    <w:name w:val="WW8Num7z8"/>
    <w:qFormat/>
    <w:rPr>
      <w:rFonts w:ascii="PT Astra Serif" w:hAnsi="PT Astra Serif" w:cs="PT Astra Serif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Style22" w:customStyle="1">
    <w:name w:val="Цветовое выделение"/>
    <w:qFormat/>
    <w:rPr>
      <w:b/>
      <w:color w:val="26282F"/>
    </w:rPr>
  </w:style>
  <w:style w:type="character" w:styleId="Style23" w:customStyle="1">
    <w:name w:val="Гипертекстовая ссылка"/>
    <w:qFormat/>
    <w:rPr>
      <w:b/>
      <w:color w:val="008000"/>
      <w:u w:val="single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/>
    <w:rPr/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Indent"/>
    <w:uiPriority w:val="10"/>
    <w:qFormat/>
    <w:pPr>
      <w:spacing w:before="0" w:after="170"/>
    </w:pPr>
    <w:rPr>
      <w:b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Title"/>
    <w:pPr/>
    <w:rPr/>
  </w:style>
  <w:style w:type="paragraph" w:styleId="Style26" w:customStyle="1">
    <w:name w:val="Блочная цитата"/>
    <w:basedOn w:val="Normal"/>
    <w:qFormat/>
    <w:pPr/>
    <w:rPr/>
  </w:style>
  <w:style w:type="paragraph" w:styleId="Subtitle">
    <w:name w:val="Subtitle"/>
    <w:basedOn w:val="Normal"/>
    <w:next w:val="BodyTextIndent"/>
    <w:uiPriority w:val="11"/>
    <w:qFormat/>
    <w:pPr>
      <w:ind w:left="709"/>
      <w:jc w:val="both"/>
    </w:pPr>
    <w:rPr>
      <w:b/>
    </w:rPr>
  </w:style>
  <w:style w:type="paragraph" w:styleId="BodyTextIndent">
    <w:name w:val="Body Text Indent"/>
    <w:basedOn w:val="BodyText"/>
    <w:qFormat/>
    <w:pPr/>
    <w:rPr/>
  </w:style>
  <w:style w:type="paragraph" w:styleId="Style27" w:customStyle="1">
    <w:name w:val="Обратный отступ"/>
    <w:basedOn w:val="BodyText"/>
    <w:qFormat/>
    <w:pPr>
      <w:tabs>
        <w:tab w:val="clear" w:pos="709"/>
        <w:tab w:val="left" w:pos="0" w:leader="none"/>
      </w:tabs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Style28" w:customStyle="1">
    <w:name w:val="Отступы"/>
    <w:basedOn w:val="BodyText"/>
    <w:qFormat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qFormat/>
    <w:pPr/>
    <w:rPr/>
  </w:style>
  <w:style w:type="paragraph" w:styleId="10" w:customStyle="1">
    <w:name w:val="Заголовок 10"/>
    <w:basedOn w:val="Title"/>
    <w:next w:val="BodyText"/>
    <w:qFormat/>
    <w:pPr>
      <w:spacing w:before="0" w:after="0"/>
    </w:pPr>
    <w:rPr/>
  </w:style>
  <w:style w:type="paragraph" w:styleId="11" w:customStyle="1">
    <w:name w:val="Нумерованный 1 начало"/>
    <w:basedOn w:val="List"/>
    <w:next w:val="ListBullet4"/>
    <w:qFormat/>
    <w:pPr/>
    <w:rPr/>
  </w:style>
  <w:style w:type="paragraph" w:styleId="ListBullet4">
    <w:name w:val="List Bullet 4"/>
    <w:basedOn w:val="List"/>
    <w:qFormat/>
    <w:pPr>
      <w:numPr>
        <w:ilvl w:val="0"/>
        <w:numId w:val="1"/>
      </w:numPr>
      <w:ind w:hanging="0"/>
    </w:pPr>
    <w:rPr/>
  </w:style>
  <w:style w:type="paragraph" w:styleId="12" w:customStyle="1">
    <w:name w:val="Нумерованный 1 конец"/>
    <w:basedOn w:val="List"/>
    <w:next w:val="ListBullet4"/>
    <w:qFormat/>
    <w:pPr/>
    <w:rPr/>
  </w:style>
  <w:style w:type="paragraph" w:styleId="13" w:customStyle="1">
    <w:name w:val="Нумерованный 1 прод."/>
    <w:basedOn w:val="List"/>
    <w:qFormat/>
    <w:pPr/>
    <w:rPr/>
  </w:style>
  <w:style w:type="paragraph" w:styleId="2" w:customStyle="1">
    <w:name w:val="Нумерованный 2 начало"/>
    <w:basedOn w:val="List"/>
    <w:next w:val="ListNumber2"/>
    <w:qFormat/>
    <w:pPr/>
    <w:rPr/>
  </w:style>
  <w:style w:type="paragraph" w:styleId="ListNumber2">
    <w:name w:val="List Number 2"/>
    <w:basedOn w:val="List"/>
    <w:qFormat/>
    <w:pPr/>
    <w:rPr/>
  </w:style>
  <w:style w:type="paragraph" w:styleId="21" w:customStyle="1">
    <w:name w:val="Нумерованный 2 конец"/>
    <w:basedOn w:val="List"/>
    <w:next w:val="ListNumber2"/>
    <w:qFormat/>
    <w:pPr/>
    <w:rPr/>
  </w:style>
  <w:style w:type="paragraph" w:styleId="22" w:customStyle="1">
    <w:name w:val="Нумерованный 2 прод."/>
    <w:basedOn w:val="List"/>
    <w:qFormat/>
    <w:pPr/>
    <w:rPr/>
  </w:style>
  <w:style w:type="paragraph" w:styleId="3" w:customStyle="1">
    <w:name w:val="Нумерованный 3 начало"/>
    <w:basedOn w:val="List"/>
    <w:next w:val="ListNumber3"/>
    <w:qFormat/>
    <w:pPr/>
    <w:rPr/>
  </w:style>
  <w:style w:type="paragraph" w:styleId="ListNumber3">
    <w:name w:val="List Number 3"/>
    <w:basedOn w:val="List"/>
    <w:qFormat/>
    <w:pPr/>
    <w:rPr/>
  </w:style>
  <w:style w:type="paragraph" w:styleId="31" w:customStyle="1">
    <w:name w:val="Нумерованный 3 конец"/>
    <w:basedOn w:val="List"/>
    <w:next w:val="ListNumber3"/>
    <w:qFormat/>
    <w:pPr/>
    <w:rPr/>
  </w:style>
  <w:style w:type="paragraph" w:styleId="32" w:customStyle="1">
    <w:name w:val="Нумерованный 3 прод."/>
    <w:basedOn w:val="List"/>
    <w:qFormat/>
    <w:pPr/>
    <w:rPr/>
  </w:style>
  <w:style w:type="paragraph" w:styleId="4" w:customStyle="1">
    <w:name w:val="Нумерованный 4 начало"/>
    <w:basedOn w:val="List"/>
    <w:next w:val="ListNumber4"/>
    <w:qFormat/>
    <w:pPr/>
    <w:rPr/>
  </w:style>
  <w:style w:type="paragraph" w:styleId="ListNumber4">
    <w:name w:val="List Number 4"/>
    <w:basedOn w:val="List"/>
    <w:qFormat/>
    <w:pPr/>
    <w:rPr/>
  </w:style>
  <w:style w:type="paragraph" w:styleId="41" w:customStyle="1">
    <w:name w:val="Нумерованный 4 конец"/>
    <w:basedOn w:val="List"/>
    <w:next w:val="ListNumber4"/>
    <w:qFormat/>
    <w:pPr/>
    <w:rPr/>
  </w:style>
  <w:style w:type="paragraph" w:styleId="42" w:customStyle="1">
    <w:name w:val="Нумерованный 4 прод."/>
    <w:basedOn w:val="List"/>
    <w:qFormat/>
    <w:pPr/>
    <w:rPr/>
  </w:style>
  <w:style w:type="paragraph" w:styleId="5" w:customStyle="1">
    <w:name w:val="Нумерованный 5 начало"/>
    <w:basedOn w:val="List"/>
    <w:next w:val="ListNumber5"/>
    <w:qFormat/>
    <w:pPr/>
    <w:rPr/>
  </w:style>
  <w:style w:type="paragraph" w:styleId="ListNumber5">
    <w:name w:val="List Number 5"/>
    <w:basedOn w:val="List"/>
    <w:qFormat/>
    <w:pPr/>
    <w:rPr/>
  </w:style>
  <w:style w:type="paragraph" w:styleId="51" w:customStyle="1">
    <w:name w:val="Нумерованный 5 конец"/>
    <w:basedOn w:val="List"/>
    <w:next w:val="ListNumber5"/>
    <w:qFormat/>
    <w:pPr/>
    <w:rPr/>
  </w:style>
  <w:style w:type="paragraph" w:styleId="52" w:customStyle="1">
    <w:name w:val="Нумерованный 5 прод."/>
    <w:basedOn w:val="List"/>
    <w:qFormat/>
    <w:pPr/>
    <w:rPr/>
  </w:style>
  <w:style w:type="paragraph" w:styleId="14" w:customStyle="1">
    <w:name w:val="Список 1 начало"/>
    <w:basedOn w:val="List"/>
    <w:next w:val="ListBullet3"/>
    <w:qFormat/>
    <w:pPr/>
    <w:rPr/>
  </w:style>
  <w:style w:type="paragraph" w:styleId="ListBullet3">
    <w:name w:val="List Bullet 3"/>
    <w:basedOn w:val="List"/>
    <w:qFormat/>
    <w:pPr>
      <w:numPr>
        <w:ilvl w:val="0"/>
        <w:numId w:val="2"/>
      </w:numPr>
      <w:ind w:hanging="0"/>
    </w:pPr>
    <w:rPr/>
  </w:style>
  <w:style w:type="paragraph" w:styleId="15" w:customStyle="1">
    <w:name w:val="Список 1 конец"/>
    <w:basedOn w:val="List"/>
    <w:next w:val="ListBullet3"/>
    <w:qFormat/>
    <w:pPr/>
    <w:rPr/>
  </w:style>
  <w:style w:type="paragraph" w:styleId="ListContinue">
    <w:name w:val="List Continue"/>
    <w:basedOn w:val="List"/>
    <w:qFormat/>
    <w:pPr/>
    <w:rPr/>
  </w:style>
  <w:style w:type="paragraph" w:styleId="23" w:customStyle="1">
    <w:name w:val="Список 2 начало"/>
    <w:basedOn w:val="List"/>
    <w:next w:val="ListBullet3"/>
    <w:qFormat/>
    <w:pPr/>
    <w:rPr/>
  </w:style>
  <w:style w:type="paragraph" w:styleId="24" w:customStyle="1">
    <w:name w:val="Список 2 конец"/>
    <w:basedOn w:val="List"/>
    <w:next w:val="ListBullet3"/>
    <w:qFormat/>
    <w:pPr/>
    <w:rPr/>
  </w:style>
  <w:style w:type="paragraph" w:styleId="ListContinue2">
    <w:name w:val="List Continue 2"/>
    <w:basedOn w:val="List"/>
    <w:qFormat/>
    <w:pPr/>
    <w:rPr/>
  </w:style>
  <w:style w:type="paragraph" w:styleId="33" w:customStyle="1">
    <w:name w:val="Список 3 начало"/>
    <w:basedOn w:val="List"/>
    <w:next w:val="ListBullet4"/>
    <w:qFormat/>
    <w:pPr/>
    <w:rPr/>
  </w:style>
  <w:style w:type="paragraph" w:styleId="34" w:customStyle="1">
    <w:name w:val="Список 3 конец"/>
    <w:basedOn w:val="List"/>
    <w:next w:val="ListBullet4"/>
    <w:qFormat/>
    <w:pPr/>
    <w:rPr/>
  </w:style>
  <w:style w:type="paragraph" w:styleId="ListContinue3">
    <w:name w:val="List Continue 3"/>
    <w:basedOn w:val="List"/>
    <w:qFormat/>
    <w:pPr/>
    <w:rPr/>
  </w:style>
  <w:style w:type="paragraph" w:styleId="43" w:customStyle="1">
    <w:name w:val="Список 4 начало"/>
    <w:basedOn w:val="List"/>
    <w:next w:val="ListBullet5"/>
    <w:qFormat/>
    <w:pPr/>
    <w:rPr/>
  </w:style>
  <w:style w:type="paragraph" w:styleId="ListBullet5">
    <w:name w:val="List Bullet 5"/>
    <w:basedOn w:val="List"/>
    <w:qFormat/>
    <w:pPr/>
    <w:rPr/>
  </w:style>
  <w:style w:type="paragraph" w:styleId="44" w:customStyle="1">
    <w:name w:val="Список 4 конец"/>
    <w:basedOn w:val="List"/>
    <w:next w:val="ListBullet5"/>
    <w:qFormat/>
    <w:pPr/>
    <w:rPr/>
  </w:style>
  <w:style w:type="paragraph" w:styleId="ListContinue4">
    <w:name w:val="List Continue 4"/>
    <w:basedOn w:val="List"/>
    <w:qFormat/>
    <w:pPr/>
    <w:rPr/>
  </w:style>
  <w:style w:type="paragraph" w:styleId="53" w:customStyle="1">
    <w:name w:val="Список 5 начало"/>
    <w:basedOn w:val="List"/>
    <w:next w:val="ListNumber"/>
    <w:qFormat/>
    <w:pPr/>
    <w:rPr/>
  </w:style>
  <w:style w:type="paragraph" w:styleId="ListNumber">
    <w:name w:val="List Number"/>
    <w:basedOn w:val="List"/>
    <w:qFormat/>
    <w:pPr/>
    <w:rPr/>
  </w:style>
  <w:style w:type="paragraph" w:styleId="54" w:customStyle="1">
    <w:name w:val="Список 5 конец"/>
    <w:basedOn w:val="List"/>
    <w:next w:val="ListNumber"/>
    <w:qFormat/>
    <w:pPr/>
    <w:rPr/>
  </w:style>
  <w:style w:type="paragraph" w:styleId="ListContinue5">
    <w:name w:val="List Continue 5"/>
    <w:basedOn w:val="List"/>
    <w:qFormat/>
    <w:pPr/>
    <w:rPr/>
  </w:style>
  <w:style w:type="paragraph" w:styleId="Index1">
    <w:name w:val="index 1"/>
    <w:basedOn w:val="IndexHeading"/>
    <w:pPr/>
    <w:rPr/>
  </w:style>
  <w:style w:type="paragraph" w:styleId="Index2">
    <w:name w:val="index 2"/>
    <w:basedOn w:val="IndexHeading"/>
    <w:pPr/>
    <w:rPr/>
  </w:style>
  <w:style w:type="paragraph" w:styleId="Index3">
    <w:name w:val="index 3"/>
    <w:basedOn w:val="IndexHeading"/>
    <w:pPr/>
    <w:rPr/>
  </w:style>
  <w:style w:type="paragraph" w:styleId="Style29" w:customStyle="1">
    <w:name w:val="Разделитель предметного указателя"/>
    <w:basedOn w:val="IndexHeading"/>
    <w:qFormat/>
    <w:pPr/>
    <w:rPr/>
  </w:style>
  <w:style w:type="paragraph" w:styleId="TOCHeading">
    <w:name w:val="TOC Heading"/>
    <w:basedOn w:val="Title"/>
    <w:next w:val="TOC1"/>
    <w:qFormat/>
    <w:pPr/>
    <w:rPr/>
  </w:style>
  <w:style w:type="paragraph" w:styleId="TOC1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Style30" w:customStyle="1">
    <w:name w:val="Заголовок указателей пользователя"/>
    <w:basedOn w:val="Title"/>
    <w:qFormat/>
    <w:pPr/>
    <w:rPr/>
  </w:style>
  <w:style w:type="paragraph" w:styleId="16" w:customStyle="1">
    <w:name w:val="Указатель пользовател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5" w:customStyle="1">
    <w:name w:val="Указатель пользователя 2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5" w:customStyle="1">
    <w:name w:val="Указатель пользователя 3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5" w:customStyle="1">
    <w:name w:val="Указатель пользователя 4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5" w:customStyle="1">
    <w:name w:val="Указатель пользователя 5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31" w:customStyle="1">
    <w:name w:val="Заголовок списка объектов"/>
    <w:basedOn w:val="Title"/>
    <w:qFormat/>
    <w:pPr/>
    <w:rPr/>
  </w:style>
  <w:style w:type="paragraph" w:styleId="17" w:customStyle="1">
    <w:name w:val="Список объектов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32" w:customStyle="1">
    <w:name w:val="Заголовок списка таблиц"/>
    <w:basedOn w:val="Title"/>
    <w:qFormat/>
    <w:pPr/>
    <w:rPr/>
  </w:style>
  <w:style w:type="paragraph" w:styleId="18" w:customStyle="1">
    <w:name w:val="Список таблиц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Title"/>
    <w:qFormat/>
    <w:pPr/>
    <w:rPr/>
  </w:style>
  <w:style w:type="paragraph" w:styleId="19" w:customStyle="1">
    <w:name w:val="Библиографи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" w:customStyle="1">
    <w:name w:val="Указатель пользователя 6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" w:customStyle="1">
    <w:name w:val="Указатель пользователя 7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" w:customStyle="1">
    <w:name w:val="Указатель пользователя 8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" w:customStyle="1">
    <w:name w:val="Указатель пользователя 9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Style33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/>
    <w:rPr/>
  </w:style>
  <w:style w:type="paragraph" w:styleId="Style34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5" w:customStyle="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 w:customStyle="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7" w:customStyle="1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8" w:customStyle="1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9" w:customStyle="1">
    <w:name w:val="Содержимое таблицы"/>
    <w:basedOn w:val="Normal"/>
    <w:qFormat/>
    <w:pPr/>
    <w:rPr/>
  </w:style>
  <w:style w:type="paragraph" w:styleId="Style40" w:customStyle="1">
    <w:name w:val="Заголовок таблицы"/>
    <w:basedOn w:val="Style39"/>
    <w:qFormat/>
    <w:pPr/>
    <w:rPr>
      <w:b/>
    </w:rPr>
  </w:style>
  <w:style w:type="paragraph" w:styleId="Style41" w:customStyle="1">
    <w:name w:val="Иллюстрация"/>
    <w:basedOn w:val="Caption"/>
    <w:qFormat/>
    <w:pPr/>
    <w:rPr/>
  </w:style>
  <w:style w:type="paragraph" w:styleId="Style42" w:customStyle="1">
    <w:name w:val="Таблица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Style43" w:customStyle="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pPr/>
    <w:rPr/>
  </w:style>
  <w:style w:type="paragraph" w:styleId="EnvelopeReturn">
    <w:name w:val="envelope return"/>
    <w:basedOn w:val="Normal"/>
    <w:pPr/>
    <w:rPr/>
  </w:style>
  <w:style w:type="paragraph" w:styleId="EndnoteText">
    <w:name w:val="endnote text"/>
    <w:basedOn w:val="Normal"/>
    <w:pPr/>
    <w:rPr/>
  </w:style>
  <w:style w:type="paragraph" w:styleId="TableofFigures">
    <w:name w:val="table of figures"/>
    <w:basedOn w:val="Caption"/>
    <w:qFormat/>
    <w:pPr/>
    <w:rPr/>
  </w:style>
  <w:style w:type="paragraph" w:styleId="Style44" w:customStyle="1">
    <w:name w:val="Текст в заданном формате"/>
    <w:basedOn w:val="Normal"/>
    <w:qFormat/>
    <w:pPr/>
    <w:rPr/>
  </w:style>
  <w:style w:type="paragraph" w:styleId="Style45" w:customStyle="1">
    <w:name w:val="Горизонтальная линия"/>
    <w:basedOn w:val="Normal"/>
    <w:next w:val="BodyText"/>
    <w:qFormat/>
    <w:pPr>
      <w:pBdr>
        <w:bottom w:val="single" w:sz="8" w:space="0" w:color="000000"/>
      </w:pBdr>
    </w:pPr>
    <w:rPr>
      <w:sz w:val="4"/>
    </w:rPr>
  </w:style>
  <w:style w:type="paragraph" w:styleId="Style46" w:customStyle="1">
    <w:name w:val="Содержимое списка"/>
    <w:basedOn w:val="Normal"/>
    <w:qFormat/>
    <w:pPr/>
    <w:rPr/>
  </w:style>
  <w:style w:type="paragraph" w:styleId="Style47" w:customStyle="1">
    <w:name w:val="Заголовок списка"/>
    <w:basedOn w:val="Normal"/>
    <w:next w:val="Style46"/>
    <w:qFormat/>
    <w:pPr/>
    <w:rPr/>
  </w:style>
  <w:style w:type="paragraph" w:styleId="Style48" w:customStyle="1">
    <w:name w:val="Гриф_Экземпляр"/>
    <w:basedOn w:val="Normal"/>
    <w:qFormat/>
    <w:pPr/>
    <w:rPr>
      <w:sz w:val="24"/>
    </w:rPr>
  </w:style>
  <w:style w:type="paragraph" w:styleId="Style49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 w:customStyle="1">
    <w:name w:val="Заголовок списка иллюстраций"/>
    <w:basedOn w:val="Title"/>
    <w:qFormat/>
    <w:pPr>
      <w:suppressLineNumbers/>
    </w:pPr>
    <w:rPr/>
  </w:style>
  <w:style w:type="paragraph" w:styleId="111" w:customStyle="1">
    <w:name w:val="1.1. Договор"/>
    <w:basedOn w:val="Heading2"/>
    <w:qFormat/>
    <w:pPr>
      <w:numPr>
        <w:ilvl w:val="0"/>
        <w:numId w:val="4"/>
      </w:numPr>
      <w:tabs>
        <w:tab w:val="clear" w:pos="709"/>
        <w:tab w:val="left" w:pos="420" w:leader="none"/>
        <w:tab w:val="left" w:pos="476" w:leader="none"/>
        <w:tab w:val="left" w:pos="533" w:leader="none"/>
        <w:tab w:val="left" w:pos="590" w:leader="none"/>
        <w:tab w:val="left" w:pos="646" w:leader="none"/>
      </w:tabs>
      <w:suppressAutoHyphens w:val="false"/>
      <w:outlineLvl w:val="9"/>
    </w:pPr>
    <w:rPr>
      <w:rFonts w:ascii="Calibri" w:hAnsi="Calibri" w:eastAsia="Times New Roman" w:cs="Calibri"/>
      <w:bCs/>
      <w:sz w:val="24"/>
      <w:szCs w:val="2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10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numbering" w:styleId="user5" w:default="1">
    <w:name w:val="Без списка (user)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ABC" w:customStyle="1">
    <w:name w:val="Нумерованный ABC"/>
    <w:qFormat/>
  </w:style>
  <w:style w:type="numbering" w:styleId="abcuser1" w:customStyle="1">
    <w:name w:val="Нумерованный abc (user)1"/>
    <w:qFormat/>
  </w:style>
  <w:style w:type="numbering" w:styleId="IVX" w:customStyle="1">
    <w:name w:val="Нумерованный IVX"/>
    <w:qFormat/>
  </w:style>
  <w:style w:type="numbering" w:styleId="ivxuser1" w:customStyle="1">
    <w:name w:val="Нумерованный ivx (user)1"/>
    <w:qFormat/>
  </w:style>
  <w:style w:type="numbering" w:styleId="Style51" w:customStyle="1">
    <w:name w:val="Маркированный •"/>
    <w:qFormat/>
  </w:style>
  <w:style w:type="numbering" w:styleId="Style52" w:customStyle="1">
    <w:name w:val="Маркированный –"/>
    <w:qFormat/>
  </w:style>
  <w:style w:type="numbering" w:styleId="Style53" w:customStyle="1">
    <w:name w:val="Маркированный "/>
    <w:qFormat/>
  </w:style>
  <w:style w:type="numbering" w:styleId="Style54" w:customStyle="1">
    <w:name w:val="Маркированный "/>
    <w:qFormat/>
  </w:style>
  <w:style w:type="numbering" w:styleId="Style55" w:customStyle="1">
    <w:name w:val="Маркированный "/>
    <w:qFormat/>
  </w:style>
  <w:style w:type="numbering" w:styleId="112" w:customStyle="1">
    <w:name w:val="Нумерованный 1)"/>
    <w:qFormat/>
  </w:style>
  <w:style w:type="numbering" w:styleId="Style56" w:customStyle="1">
    <w:name w:val="Нумерованный а)"/>
    <w:qFormat/>
  </w:style>
  <w:style w:type="numbering" w:styleId="Style57" w:customStyle="1">
    <w:name w:val="Нумерованный для таблиц"/>
    <w:qFormat/>
  </w:style>
  <w:style w:type="numbering" w:styleId="WW8Num7" w:customStyle="1">
    <w:name w:val="WW8Num7"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ktru-description.html?itemId=79679&amp;backUrl=" TargetMode="External"/><Relationship Id="rId3" Type="http://schemas.openxmlformats.org/officeDocument/2006/relationships/hyperlink" Target="http://internet.garant.ru/document/redirect/400258713/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Application>LibreOffice/25.2.6.2$Linux_X86_64 LibreOffice_project/520$Build-2</Application>
  <AppVersion>15.0000</AppVersion>
  <Pages>6</Pages>
  <Words>1299</Words>
  <Characters>8690</Characters>
  <CharactersWithSpaces>9852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2025-03-13T15:13:00Z</dcterms:created>
  <dc:creator/>
  <dc:description/>
  <dc:language>ru-RU</dc:language>
  <cp:lastModifiedBy/>
  <dcterms:modified xsi:type="dcterms:W3CDTF">2026-08-11T16:01:08Z</dcterms:modified>
  <cp:revision>64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