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1"/>
        </w:numPr>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outlineLvl w:val="0"/>
        <w:rPr/>
      </w:pPr>
      <w:r>
        <w:rPr>
          <w:rFonts w:ascii="Times New Roman" w:hAnsi="Times New Roman"/>
          <w:b/>
          <w:sz w:val="24"/>
          <w:szCs w:val="24"/>
        </w:rPr>
        <w:t>Проект договора на приобретение неисключительного права на использование программного продукта</w:t>
      </w:r>
    </w:p>
    <w:p>
      <w:pPr>
        <w:pStyle w:val="BodyText2"/>
        <w:widowControl/>
        <w:overflowPunct w:val="true"/>
        <w:spacing w:lineRule="auto" w:line="240"/>
        <w:ind w:left="0" w:right="0" w:hanging="0"/>
        <w:jc w:val="center"/>
        <w:rPr>
          <w:rFonts w:ascii="Times New Roman" w:hAnsi="Times New Roman"/>
          <w:sz w:val="24"/>
          <w:szCs w:val="24"/>
        </w:rPr>
      </w:pPr>
      <w:r>
        <w:rPr>
          <w:rFonts w:ascii="Times New Roman" w:hAnsi="Times New Roman"/>
          <w:sz w:val="24"/>
          <w:szCs w:val="24"/>
        </w:rPr>
      </w:r>
    </w:p>
    <w:p>
      <w:pPr>
        <w:pStyle w:val="Normal"/>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0"/>
        <w:jc w:val="both"/>
        <w:rPr/>
      </w:pPr>
      <w:r>
        <w:rPr>
          <w:rFonts w:eastAsia="ヒラギノ角ゴ Pro W3"/>
          <w:color w:val="000000"/>
          <w:sz w:val="24"/>
          <w:szCs w:val="24"/>
          <w:lang w:eastAsia="ru-RU"/>
        </w:rPr>
        <w:t xml:space="preserve">г. </w:t>
      </w:r>
      <w:r>
        <w:rPr>
          <w:rFonts w:eastAsia="ヒラギノ角ゴ Pro W3"/>
          <w:bCs/>
          <w:color w:val="000000"/>
          <w:sz w:val="24"/>
          <w:szCs w:val="24"/>
          <w:lang w:eastAsia="ru-RU"/>
        </w:rPr>
        <w:t>Астрахань</w:t>
      </w:r>
      <w:r>
        <w:rPr>
          <w:rFonts w:eastAsia="ヒラギノ角ゴ Pro W3"/>
          <w:color w:val="000000"/>
          <w:sz w:val="24"/>
          <w:szCs w:val="24"/>
          <w:lang w:eastAsia="ru-RU"/>
        </w:rPr>
        <w:tab/>
        <w:tab/>
        <w:tab/>
        <w:tab/>
        <w:tab/>
        <w:t xml:space="preserve">                                   </w:t>
        <w:tab/>
        <w:t xml:space="preserve">              «    » _________ 2026 г.</w:t>
      </w:r>
    </w:p>
    <w:p>
      <w:pPr>
        <w:pStyle w:val="Normal"/>
        <w:spacing w:lineRule="auto" w:line="240" w:before="0" w:after="0"/>
        <w:ind w:left="0" w:right="0" w:firstLine="709"/>
        <w:jc w:val="both"/>
        <w:rPr>
          <w:rFonts w:eastAsia="ヒラギノ角ゴ Pro W3"/>
          <w:color w:val="000000"/>
          <w:lang w:val="ru-RU" w:eastAsia="ru-RU"/>
        </w:rPr>
      </w:pPr>
      <w:r>
        <w:rPr>
          <w:rFonts w:eastAsia="ヒラギノ角ゴ Pro W3"/>
          <w:color w:val="000000"/>
          <w:lang w:val="ru-RU" w:eastAsia="ru-RU"/>
        </w:rPr>
      </w:r>
    </w:p>
    <w:p>
      <w:pPr>
        <w:pStyle w:val="Normal"/>
        <w:spacing w:lineRule="auto" w:line="240" w:before="0" w:after="0"/>
        <w:jc w:val="both"/>
        <w:rPr/>
      </w:pPr>
      <w:r>
        <w:rPr>
          <w:b/>
          <w:bCs/>
          <w:sz w:val="24"/>
          <w:szCs w:val="24"/>
          <w:shd w:fill="auto" w:val="clear"/>
          <w:lang w:val="ru-RU"/>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w:t>
      </w:r>
      <w:r>
        <w:rPr>
          <w:b/>
          <w:shd w:fill="auto" w:val="clear"/>
          <w:lang w:val="ru-RU"/>
        </w:rPr>
        <w:t>,</w:t>
      </w:r>
      <w:r>
        <w:rPr>
          <w:lang w:val="ru-RU"/>
        </w:rPr>
        <w:t xml:space="preserve"> </w:t>
      </w:r>
      <w:r>
        <w:rPr>
          <w:rFonts w:eastAsia="ヒラギノ角ゴ Pro W3"/>
          <w:color w:val="000000"/>
          <w:lang w:val="ru-RU" w:eastAsia="ru-RU"/>
        </w:rPr>
        <w:t>именуемое в дальнейшем «Сублицензиат», в лице ____________________________________________________, действующей на основании _________________________________</w:t>
      </w:r>
      <w:r>
        <w:rPr>
          <w:color w:val="000000"/>
          <w:lang w:val="ru-RU" w:eastAsia="ru-RU"/>
        </w:rPr>
        <w:t>, с одной стороны</w:t>
      </w:r>
      <w:r>
        <w:rPr>
          <w:color w:val="000000"/>
          <w:lang w:val="ru-RU"/>
        </w:rPr>
        <w:t xml:space="preserve">, и </w:t>
      </w:r>
      <w:r>
        <w:rPr>
          <w:b/>
          <w:color w:val="000000"/>
          <w:lang w:val="ru-RU" w:eastAsia="ru-RU"/>
        </w:rPr>
        <w:t>_______________________________</w:t>
      </w:r>
      <w:r>
        <w:rPr>
          <w:color w:val="000000"/>
          <w:lang w:val="ru-RU" w:eastAsia="ru-RU"/>
        </w:rPr>
        <w:t>, именуемое в дальнейшем «Сублицензиар», в лице _____________________________</w:t>
      </w:r>
      <w:r>
        <w:rPr>
          <w:lang w:val="ru-RU"/>
        </w:rPr>
        <w:t xml:space="preserve">, с другой стороны, </w:t>
      </w:r>
      <w:r>
        <w:rPr>
          <w:shd w:fill="auto" w:val="clear"/>
          <w:lang w:val="ru-RU"/>
        </w:rPr>
        <w:t xml:space="preserve"> а </w:t>
      </w:r>
      <w:r>
        <w:rPr>
          <w:sz w:val="24"/>
          <w:szCs w:val="24"/>
          <w:shd w:fill="auto" w:val="clear"/>
          <w:lang w:val="ru-RU"/>
        </w:rPr>
        <w:t xml:space="preserve">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w:t>
      </w:r>
      <w:bookmarkStart w:id="0" w:name="_GoBack1"/>
      <w:r>
        <w:rPr>
          <w:sz w:val="24"/>
          <w:szCs w:val="24"/>
          <w:shd w:fill="auto" w:val="clear"/>
          <w:lang w:val="ru-RU"/>
        </w:rPr>
        <w:t>госуд</w:t>
      </w:r>
      <w:bookmarkEnd w:id="0"/>
      <w:r>
        <w:rPr>
          <w:sz w:val="24"/>
          <w:szCs w:val="24"/>
          <w:shd w:fill="auto" w:val="clear"/>
          <w:lang w:val="ru-RU"/>
        </w:rPr>
        <w:t>арственных и муниципальных нужд», на основании итогового протокола подведения закупочной сессии от ______ № _______, заключили настоящий договор о нижеследующем</w:t>
      </w:r>
    </w:p>
    <w:p>
      <w:pPr>
        <w:pStyle w:val="Normal"/>
        <w:spacing w:lineRule="auto" w:line="240" w:before="0" w:after="0"/>
        <w:ind w:left="0" w:right="0" w:firstLine="709"/>
        <w:jc w:val="both"/>
        <w:rPr>
          <w:lang w:val="ru-RU"/>
        </w:rPr>
      </w:pPr>
      <w:r>
        <w:rPr>
          <w:lang w:val="ru-RU"/>
        </w:rPr>
      </w:r>
    </w:p>
    <w:p>
      <w:pPr>
        <w:pStyle w:val="11"/>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pPr>
      <w:r>
        <w:rPr>
          <w:szCs w:val="24"/>
        </w:rPr>
        <w:t>1. Предмет договора</w:t>
      </w:r>
    </w:p>
    <w:p>
      <w:pPr>
        <w:pStyle w:val="11"/>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pPr>
      <w:r>
        <w:rPr/>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1.1. Настоящий контракт заключен путем осуществления закупки в соответствии с пунктом 4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xml:space="preserve">1.2. В целях обеспечения государственных нужд Сублицензиар за вознаграждение предоставляет Сублицензиату на условиях простой (неисключительной) лицензии право использования программного продукта, указанного </w:t>
      </w:r>
      <w:r>
        <w:rPr>
          <w:shd w:fill="FFFFFF" w:val="clear"/>
        </w:rPr>
        <w:t>в Спецификации</w:t>
      </w:r>
      <w:r>
        <w:rPr/>
        <w:t>, в предусмотренных настоящим контрактом пределах.</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1.3. Под программным продуктом понимается экземпляр лицензионного программного обеспечения для электронно-вычислительных машин и/или баз данных, выраженный в материальном носителе либо в электронной версии, а также документация и иные принадлежности, которые необходимы для использования программного продукта, неисключительное право использования на который предоставляется Субл</w:t>
      </w:r>
      <w:r>
        <w:rPr>
          <w:shd w:fill="auto" w:val="clear"/>
        </w:rPr>
        <w:t>ицензиату</w:t>
      </w:r>
      <w:r>
        <w:rPr/>
        <w:t xml:space="preserve"> с определенным настоящим контрактом объемом правомочий в отношении его использования.</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1.4. Сублицензиар одновременно с предоставлением права на использование программного продукта передает Сублицензиату лицензионное соглашение, материальные носители/электронную версию, PIN-коды программной лицензии/ключ аппаратной защиты для USB-порта, документацию и иные принадлежности, необходимые для эффективного использования программного продукта.</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highlight w:val="none"/>
          <w:shd w:fill="auto" w:val="clear"/>
        </w:rPr>
      </w:pPr>
      <w:r>
        <w:rPr>
          <w:shd w:fill="auto" w:val="clear"/>
        </w:rPr>
        <w:t xml:space="preserve">1.5. Программный продукт и его компоненты являются интеллектуальной собственностью </w:t>
      </w:r>
      <w:r>
        <w:rPr>
          <w:shd w:fill="auto" w:val="clear"/>
        </w:rPr>
        <w:t>Лицензиара</w:t>
      </w:r>
      <w:r>
        <w:rPr>
          <w:shd w:fill="auto" w:val="clear"/>
        </w:rPr>
        <w:t xml:space="preserve"> на основании свидетельства о государственной регистрации № _________, выданного ________ Роспатентом.</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xml:space="preserve">1.6. Территория, на которой допускается использование программного обеспечения: </w:t>
      </w:r>
      <w:r>
        <w:rPr>
          <w:shd w:fill="auto" w:val="clear"/>
        </w:rPr>
        <w:t>Российская Федерация.</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1.7. Простая (неисключительная) лицензия на программный продукт предоставляется на срок: бессрочно.</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2. Условия предоставления права на использование программного продукта</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2.1. Право использования программного продукта предусматривает возможность осуществлять любые действия, связанные с функционированием программного продукта в соответствии с его назначением, за исключением следующих действий:</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модификация программного продукта, в том числе вскрытия защиты программного продукта, при этом параметризация программного продукта и наращивание его функциональных возможностей за счет встроенных средств не являются модификацией программного продукта;</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передача любым способом полученного права на использование программного продукта и документации третьим лицам;</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изготовление копий программного продукта, за исключением необходимого количества резервных копий, используемых исключительно в архивных целях, и тестовых копий;</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разработка производного программного обеспечения с использованием, как всего программного продукта, так и его модулей. Ограничение на разработку производного программного обеспечения не распространяется на право Лицензиата разрабатывать новые отчетные формы и/или использовать информацию из файлов данных, созданных с помощью программного продукта, во внешних по отношению к нему системах;</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pPr>
      <w:r>
        <w:rPr/>
        <w:t>- упоминание программного продукта в публикациях и выступлениях без ссылки на Лицензиара.</w:t>
      </w:r>
    </w:p>
    <w:p>
      <w:pPr>
        <w:pStyle w:val="ListParagraph"/>
        <w:widowControl/>
        <w:tabs>
          <w:tab w:val="clear" w:pos="720"/>
          <w:tab w:val="left" w:pos="426" w:leader="none"/>
        </w:tabs>
        <w:suppressAutoHyphens w:val="true"/>
        <w:overflowPunct w:val="true"/>
        <w:bidi w:val="0"/>
        <w:spacing w:lineRule="auto" w:line="240" w:before="0" w:after="0"/>
        <w:ind w:left="0" w:right="0" w:firstLine="680"/>
        <w:contextualSpacing/>
        <w:jc w:val="both"/>
        <w:rPr/>
      </w:pPr>
      <w:r>
        <w:rPr>
          <w:bCs/>
        </w:rPr>
        <w:t>2.2. Испол</w:t>
      </w:r>
      <w:r>
        <w:rPr>
          <w:rFonts w:eastAsia="Times New Roman" w:cs="Times New Roman"/>
          <w:bCs/>
          <w:color w:val="auto"/>
          <w:kern w:val="0"/>
          <w:sz w:val="24"/>
          <w:szCs w:val="24"/>
          <w:lang w:val="en-US" w:eastAsia="en-US" w:bidi="ar-SA"/>
        </w:rPr>
        <w:t>ьзование программного обеспечения, включенных в единый реестр российских программ для ЭВМ, НДС не облагается и определяется Спецификацией (Приложение №1), являющейся неотъемлемой частью настоящего Договора.</w:t>
      </w:r>
    </w:p>
    <w:p>
      <w:pPr>
        <w:pStyle w:val="11"/>
        <w:widowControl/>
        <w:tabs>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37"/>
        <w:jc w:val="both"/>
        <w:rPr>
          <w:rFonts w:ascii="Times New Roman" w:hAnsi="Times New Roman" w:eastAsia="Times New Roman" w:cs="Times New Roman"/>
          <w:bCs/>
          <w:color w:val="auto"/>
          <w:kern w:val="0"/>
          <w:sz w:val="24"/>
          <w:szCs w:val="24"/>
          <w:lang w:val="en-US" w:eastAsia="en-US" w:bidi="ar-SA"/>
        </w:rPr>
      </w:pPr>
      <w:r>
        <w:rPr>
          <w:rFonts w:eastAsia="Times New Roman" w:cs="Times New Roman"/>
          <w:bCs/>
          <w:color w:val="auto"/>
          <w:kern w:val="0"/>
          <w:sz w:val="24"/>
          <w:szCs w:val="24"/>
          <w:lang w:val="en-US" w:eastAsia="en-US" w:bidi="ar-SA"/>
        </w:rPr>
        <w:t>2.3. Сублицензиар передает Сублицензиату дистрибутив с программным продуктом и документацию  в течение 30 (тридцать) дней с даты заключения договора.</w:t>
      </w:r>
    </w:p>
    <w:p>
      <w:pPr>
        <w:pStyle w:val="Normal"/>
        <w:widowControl/>
        <w:suppressAutoHyphens w:val="true"/>
        <w:bidi w:val="0"/>
        <w:spacing w:lineRule="auto" w:line="276" w:before="0" w:after="0"/>
        <w:ind w:left="0" w:right="0" w:firstLine="737"/>
        <w:jc w:val="left"/>
        <w:rPr>
          <w:rFonts w:ascii="Times New Roman" w:hAnsi="Times New Roman" w:eastAsia="Times New Roman" w:cs="Times New Roman"/>
          <w:bCs/>
          <w:color w:val="auto"/>
          <w:kern w:val="0"/>
          <w:sz w:val="24"/>
          <w:szCs w:val="24"/>
          <w:lang w:val="en-US" w:eastAsia="en-US" w:bidi="ar-SA"/>
        </w:rPr>
      </w:pPr>
      <w:r>
        <w:rPr>
          <w:rFonts w:eastAsia="Times New Roman" w:cs="Times New Roman"/>
          <w:bCs/>
          <w:color w:val="auto"/>
          <w:kern w:val="0"/>
          <w:sz w:val="24"/>
          <w:szCs w:val="24"/>
          <w:lang w:val="en-US" w:eastAsia="en-US" w:bidi="ar-SA"/>
        </w:rPr>
        <w:t>Поставка программного продукта осуществляется путем его доставки Сублицензиату по адресу: Астраханская область, г. Астрахань, ул. Тамбовская, 3.</w:t>
      </w:r>
    </w:p>
    <w:p>
      <w:pPr>
        <w:pStyle w:val="Normal"/>
        <w:widowControl/>
        <w:suppressAutoHyphens w:val="true"/>
        <w:bidi w:val="0"/>
        <w:spacing w:lineRule="auto" w:line="276" w:before="0" w:after="0"/>
        <w:ind w:left="0" w:right="0" w:firstLine="680"/>
        <w:jc w:val="both"/>
        <w:rPr/>
      </w:pPr>
      <w:r>
        <w:rPr>
          <w:rFonts w:eastAsia="Times New Roman" w:cs="Times New Roman"/>
          <w:bCs/>
          <w:color w:val="auto"/>
          <w:kern w:val="0"/>
          <w:sz w:val="24"/>
          <w:szCs w:val="24"/>
          <w:lang w:val="en-US" w:eastAsia="en-US" w:bidi="ar-SA"/>
        </w:rPr>
        <w:t xml:space="preserve">Поставка  осуществляется в рабочие дни: с понедельника по четверг с 09.30 ч. до 17.30 ч., в пятницу с 09.30 ч. до 16.30 ч.,  обеденный перерыв с 13.00 ч. до 13.45 ч. (время местное). Сублицензиар не менее чем за 1 (один) рабочий день до осуществления поставки уведомляет Сублицензиата о времени и дате поставки. Уведомление может быть направлено по электронной почте </w:t>
      </w:r>
      <w:hyperlink r:id="rId2">
        <w:r>
          <w:rPr>
            <w:rFonts w:eastAsia="Times New Roman" w:cs="Times New Roman"/>
            <w:bCs/>
            <w:color w:val="auto"/>
            <w:kern w:val="0"/>
            <w:sz w:val="24"/>
            <w:szCs w:val="24"/>
            <w:lang w:val="en-US" w:eastAsia="en-US" w:bidi="ar-SA"/>
          </w:rPr>
          <w:t>info@mail.30.mchs.gov.ru</w:t>
        </w:r>
      </w:hyperlink>
      <w:r>
        <w:rPr>
          <w:rStyle w:val="Docy"/>
          <w:rFonts w:eastAsia="Times New Roman" w:cs="Times New Roman"/>
          <w:bCs/>
          <w:color w:val="auto"/>
          <w:kern w:val="0"/>
          <w:sz w:val="24"/>
          <w:szCs w:val="24"/>
          <w:lang w:val="en-US" w:eastAsia="en-US" w:bidi="ar-SA"/>
        </w:rPr>
        <w:t>.</w:t>
      </w:r>
    </w:p>
    <w:p>
      <w:pPr>
        <w:pStyle w:val="11"/>
        <w:widowControl/>
        <w:tabs>
          <w:tab w:val="left" w:pos="720" w:leader="none"/>
          <w:tab w:val="left" w:pos="12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709"/>
        <w:jc w:val="both"/>
        <w:rPr>
          <w:rFonts w:ascii="Times New Roman" w:hAnsi="Times New Roman" w:eastAsia="Times New Roman" w:cs="Times New Roman"/>
          <w:bCs/>
          <w:color w:val="auto"/>
          <w:kern w:val="0"/>
          <w:sz w:val="24"/>
          <w:szCs w:val="24"/>
          <w:lang w:val="en-US" w:eastAsia="en-US" w:bidi="ar-SA"/>
        </w:rPr>
      </w:pPr>
      <w:r>
        <w:rPr>
          <w:rFonts w:eastAsia="Times New Roman" w:cs="Times New Roman"/>
          <w:bCs/>
          <w:color w:val="auto"/>
          <w:kern w:val="0"/>
          <w:sz w:val="24"/>
          <w:szCs w:val="24"/>
          <w:lang w:val="en-US" w:eastAsia="en-US" w:bidi="ar-SA"/>
        </w:rPr>
        <w:t>2.4.</w:t>
        <w:tab/>
        <w:t xml:space="preserve">По факту передачи неисключительных прав выписывается акт приёма-передачи неисключительных прав. </w:t>
      </w:r>
    </w:p>
    <w:p>
      <w:pPr>
        <w:pStyle w:val="Normal"/>
        <w:tabs>
          <w:tab w:val="left" w:pos="720" w:leader="none"/>
          <w:tab w:val="left" w:pos="12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0" w:right="0" w:firstLine="709"/>
        <w:rPr/>
      </w:pPr>
      <w:r>
        <w:rPr>
          <w:rFonts w:eastAsia="Times New Roman" w:cs="Times New Roman"/>
          <w:bCs/>
          <w:color w:val="auto"/>
          <w:kern w:val="0"/>
          <w:sz w:val="24"/>
          <w:szCs w:val="24"/>
          <w:lang w:val="en-US" w:eastAsia="en-US" w:bidi="ar-SA"/>
        </w:rPr>
        <w:t>В случае не подписания Сублицензиатом документов о приемке</w:t>
        <w:br/>
        <w:t xml:space="preserve">и не представления Сублицензиару в письменном виде мотивированного отказа </w:t>
        <w:br/>
        <w:t>от подписания вышеуказанных документов в течение 5 (пяти) рабочих дней с момента отправки, обязательства Сублицензиара счи</w:t>
      </w:r>
      <w:r>
        <w:rPr>
          <w:szCs w:val="24"/>
        </w:rPr>
        <w:t>таются переданным в полном объёме и в срок.</w:t>
      </w:r>
    </w:p>
    <w:p>
      <w:pPr>
        <w:pStyle w:val="ListParagraph"/>
        <w:widowControl/>
        <w:tabs>
          <w:tab w:val="clear" w:pos="720"/>
          <w:tab w:val="left" w:pos="426" w:leader="none"/>
        </w:tabs>
        <w:suppressAutoHyphens w:val="true"/>
        <w:bidi w:val="0"/>
        <w:spacing w:lineRule="auto" w:line="276" w:before="0" w:after="0"/>
        <w:ind w:left="0" w:right="0" w:firstLine="680"/>
        <w:contextualSpacing/>
        <w:jc w:val="left"/>
        <w:rPr/>
      </w:pPr>
      <w:r>
        <w:rPr/>
        <w:t>2.5. Программный продукт должен соответствовать всем стандартам, Гостам. Сублицензиар гарантирует качество Программного продукта.</w:t>
      </w:r>
    </w:p>
    <w:p>
      <w:pPr>
        <w:pStyle w:val="14"/>
        <w:widowControl/>
        <w:suppressAutoHyphens w:val="true"/>
        <w:bidi w:val="0"/>
        <w:spacing w:lineRule="atLeast" w:line="100" w:before="0" w:after="0"/>
        <w:ind w:left="0" w:right="0" w:firstLine="680"/>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2.6. Сублицензиат производит приёмку Программного продукта по количеству, согласно действующему законодательству,  установленным порядком изменениями в части не противоречащей законодательству о размещении заказов.</w:t>
      </w:r>
    </w:p>
    <w:p>
      <w:pPr>
        <w:pStyle w:val="14"/>
        <w:widowControl/>
        <w:suppressAutoHyphens w:val="true"/>
        <w:bidi w:val="0"/>
        <w:spacing w:lineRule="atLeast" w:line="100" w:before="0" w:after="0"/>
        <w:ind w:left="0" w:right="0" w:firstLine="680"/>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2.7. Одновременно с передачей Программного продукта Сублицензиар должен вручить комплект документов на него, накладную, сертификат соответствия, качественные удостоверения изготовителя и тп.</w:t>
      </w:r>
    </w:p>
    <w:p>
      <w:pPr>
        <w:pStyle w:val="14"/>
        <w:widowControl/>
        <w:suppressAutoHyphens w:val="true"/>
        <w:bidi w:val="0"/>
        <w:spacing w:lineRule="atLeast" w:line="100" w:before="0" w:after="0"/>
        <w:ind w:left="0" w:right="0" w:firstLine="624"/>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2.8. Сублицензиар предоставляет Сублицензиату подтверждающие документы (накладную, Акт, УПД и т.п.) в 2-х экземплярах в течение 2-х рабочих дней с момента Поставки. По итогам проверки и отсутствия претензий к количеству и качеству Сублицензиат подписывает документы об исполнении не позднее 3-х рабочих дней с даты получения.</w:t>
      </w:r>
    </w:p>
    <w:p>
      <w:pPr>
        <w:pStyle w:val="14"/>
        <w:widowControl/>
        <w:suppressAutoHyphens w:val="true"/>
        <w:bidi w:val="0"/>
        <w:spacing w:lineRule="atLeast" w:line="100" w:before="0" w:after="0"/>
        <w:ind w:left="0" w:right="0" w:firstLine="624"/>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2.9. По итогам подписания документов о приемке Сублицензиат в течение 5-ти рабочих дней с даты их подписания оформляет Акт приемки (ф.0510452) по форме, установленной Приказом Минфина России от 15.04.2021г. №61н «Об утверждении унифицированных форм электронных документов бухгалтерского учета, применяемых при ведении бухгалтерского учёта, бухгалтерского учёта государственных (муниципальных) учреждений и Методических указаний по их формированию и применению» (далее Акт приемки (ф.0510452)</w:t>
      </w:r>
    </w:p>
    <w:p>
      <w:pPr>
        <w:pStyle w:val="14"/>
        <w:widowControl/>
        <w:suppressAutoHyphens w:val="true"/>
        <w:bidi w:val="0"/>
        <w:spacing w:lineRule="atLeast" w:line="100" w:before="0" w:after="0"/>
        <w:ind w:left="0" w:right="0" w:firstLine="624"/>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2.10. Акт приёмки (ф.0510452) утверждается без подписи Сублицензиара, и в его адрес в целях подтверждения возникновения у принимающей стороны обязанности оплатить товары, работы, услуги направляется скан-копия Акта приёмки (ф.0510452) (если иное не установлено условиями Договора или иным документом).</w:t>
      </w:r>
    </w:p>
    <w:p>
      <w:pPr>
        <w:pStyle w:val="14"/>
        <w:widowControl/>
        <w:suppressAutoHyphens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2.11. При отсутствии претензий, расхождений, а также несоответствия сопроводительным документам Сублицензиара, Сублицензиат вправе направить электронный Акт приёмки (ф.0510452) (бумажную копию электронного Акта приёмки (ф.0510452), подписанный и утвержденный Сублицензиатом в одностороннем порядке по электронному адресу исполнителя в целях его уведомления о результатах приёмки.</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2.12. В случае выявления количественного и (или) качественного расхождения, а также несоответствия поставленного Программный продукта, оказанных услуг сопроводительным документам Сублицензиара, документы о приемке не подписываются Сублицензиатом, сведения о расхождениях фиксируются в Акте приёмки (ф.0510452), который направляется Сублицензиару для подписания в срок, указанный в настоящем Договоре. Вместе с Актом приёмки (ф.0510452) Сублицензиатом в адрес Сублицензиара направляется претензия.</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center"/>
        <w:rPr>
          <w:rFonts w:ascii="Times New Roman" w:hAnsi="Times New Roman" w:eastAsia="ヒラギノ角ゴ Pro W3" w:cs="Times New Roman"/>
          <w:b w:val="false"/>
          <w:b w:val="false"/>
          <w:bCs w:val="false"/>
          <w:color w:val="000000"/>
          <w:kern w:val="0"/>
          <w:sz w:val="24"/>
          <w:szCs w:val="24"/>
          <w:lang w:val="ru-RU" w:eastAsia="ru-RU" w:bidi="ar-SA"/>
        </w:rPr>
      </w:pPr>
      <w:r>
        <w:rPr>
          <w:rFonts w:eastAsia="ヒラギノ角ゴ Pro W3" w:cs="Times New Roman" w:ascii="Times New Roman" w:hAnsi="Times New Roman"/>
          <w:b w:val="false"/>
          <w:bCs w:val="false"/>
          <w:color w:val="000000"/>
          <w:kern w:val="0"/>
          <w:sz w:val="24"/>
          <w:szCs w:val="24"/>
          <w:lang w:val="ru-RU" w:eastAsia="ru-RU" w:bidi="ar-SA"/>
        </w:rPr>
        <w:t>3. Гарантия</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3.1. Программный продукт предназначен исключительно для выполнения тех функций, которые предусмотрены настоящим контрактом и документацией, представленной Сублицензиаром.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3.2. При обнаружении Сублицензиатом несоответствия функциональных возможностей программного продукта возможностям, оговоренным в документации, Сублицензиар обязуется устранить эти несоответствия не позднее 1 (один) рабочего дня.</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Данная гарантия действует, начиная с даты передачи программного продукта, на протяжении всего срока предоставления права на использование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3.3. Гарантия, указанная в пункте 3.2 настоящего контракта, не распространяется в случаях:</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 установки программного продукта в условиях, не соответствующих техническим требованиям, изложенным в Спецификации к настоящему контракту;</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 несанкционированного Правообладателем использования Сублицензиатом без согласия Сублицензиара программного продукта совместно с другими видами системных программных средств, не указанных в Спецификации к настоящему контракту;</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 использования программного продукта третьими лицами с согласия Сублицензиара.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3.4. Условия гарантии, указанной в пункте 3.2 настоящего контракта, не предусматривают внесение каких-либо изменений и дополнений в функциональные возможности программного продукта, оговоренные в документации, и связанных как с изменением текущего законодательства Российской Федерации, так и с пожеланиями Сублицензиата.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 Права и обязанности сторон</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 Сублицензиар обязуется:</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4.1.1. Передать Сублицензиату право на использование программного продукта в порядке и на условиях, установленных настоящим контрактом.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4.1.2. Обеспечить активацию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4.1.3. Оказывать Сублицензиату консультационную помощь по программному продукту, в том числе помощь в индивидуальной настройке программного продукта на основании индивидуальной информации Сублицензиата.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4.1.4. Информировать Сублицензиата о появлении новых версий программного продукта и о возможности их использования в рамках предоставленного неисключительного права на использование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4.1.5. Воздерживаться от каких-либо действий, способных затруднить осуществление Сублицензиатом предоставленного ему права использования программного продукта в установленных настоящим контрактом пределах.</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4.2. Сублицензиар вправе:</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4.2.1. Требовать выплаты вознаграждения за предоставленное право на использование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4.3. Сублицензиат обязуется:</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4.3.1. Обеспечить техническую возможность для размещения и надлежащего функционирования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4.3.2. Использовать программный продукт только в пределах тех прав и теми способами, которые предусмотрены настоящим контрактом.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4.3.3. Не допускать действий, нарушающих исключительное право Сублицензиара на программный продукт.</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4.3.4. Выплатить Сублицензиару вознаграждение за предоставленное право на использование программного продукта в порядке и сроки, установленные настоящим контрактом.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4.4. Сублицензиат вправе:</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4.4.1. С письменного согласия Сублицензиара по сублицензионному договору предоставить право использования программного продукта третьему лицу в пределах тех прав и тех способов использования, которые предусмотрены настоящим контрактом для него самого.</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4.4.2. Обращаться к Сублицензиару за помощью в индивидуальной настройке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4.4.3. Запрашивать у Сублицензиара справочную информацию по вопросам использования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4.4.4. Сообщать Сублицензиару об ошибках в работе программного продукта.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4.5. Сублицензиат не вправе:</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4.5.1. Вносить изменения и дополнения в программный продукт, кроме обновления программного продукта через дистрибутивы или файлы обновления, предоставляемые Сублицензиаром.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4.5.2. Предоставлять программный продукт в прокат, в аренду, во временное пользование третьим лицам.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4.5.3. Использовать программный продукт способами, не определенными настоящим контрактом.</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t>5. Цена контракта и порядок расчетов</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11"/>
        <w:widowControl/>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567"/>
        <w:jc w:val="both"/>
        <w:rPr/>
      </w:pPr>
      <w:r>
        <w:rPr>
          <w:szCs w:val="24"/>
        </w:rPr>
        <w:t>5.1. Цена настоящего Договора составляет: _______</w:t>
      </w:r>
      <w:r>
        <w:rPr>
          <w:b/>
          <w:color w:val="auto"/>
          <w:szCs w:val="24"/>
        </w:rPr>
        <w:t xml:space="preserve"> (___________)</w:t>
      </w:r>
      <w:r>
        <w:rPr>
          <w:color w:val="auto"/>
          <w:szCs w:val="24"/>
        </w:rPr>
        <w:t>, в том числе НДС (___%)/без НДС.</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auto"/>
          <w:kern w:val="0"/>
          <w:sz w:val="24"/>
          <w:szCs w:val="24"/>
          <w:lang w:val="ru-RU" w:eastAsia="ru-RU" w:bidi="ar-SA"/>
        </w:rPr>
        <w:t>5.2. Сумма, подлежащая уплате Сублицензиатом Сублицензиару,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pPr>
        <w:pStyle w:val="ListParagraph"/>
        <w:tabs>
          <w:tab w:val="clear" w:pos="720"/>
          <w:tab w:val="left" w:pos="426" w:leader="none"/>
        </w:tabs>
        <w:spacing w:lineRule="auto" w:line="240" w:before="0" w:after="0"/>
        <w:ind w:left="0" w:right="0" w:hanging="0"/>
        <w:contextualSpacing/>
        <w:jc w:val="both"/>
        <w:rPr>
          <w:szCs w:val="24"/>
        </w:rPr>
      </w:pPr>
      <w:r>
        <w:rPr>
          <w:szCs w:val="24"/>
        </w:rPr>
        <w:t xml:space="preserve">          </w:t>
      </w:r>
      <w:r>
        <w:rPr>
          <w:rFonts w:eastAsia="Courier New" w:cs="Times New Roman"/>
          <w:sz w:val="24"/>
          <w:szCs w:val="24"/>
          <w:lang w:val="ru-RU" w:eastAsia="ru-RU" w:bidi="ar-SA"/>
        </w:rPr>
        <w:t xml:space="preserve"> </w:t>
      </w:r>
      <w:r>
        <w:rPr>
          <w:rFonts w:eastAsia="Courier New" w:cs="Times New Roman"/>
          <w:sz w:val="24"/>
          <w:szCs w:val="24"/>
          <w:lang w:val="ru-RU" w:eastAsia="ru-RU" w:bidi="ar-SA"/>
        </w:rPr>
        <w:t>5.3. Источник финансирования:</w:t>
      </w:r>
    </w:p>
    <w:p>
      <w:pPr>
        <w:pStyle w:val="ConsNormal"/>
        <w:bidi w:val="0"/>
        <w:ind w:left="0" w:right="0" w:firstLine="540"/>
        <w:rPr>
          <w:rFonts w:ascii="Times New Roman" w:hAnsi="Times New Roman" w:eastAsia="Courier New" w:cs="Times New Roman"/>
          <w:sz w:val="24"/>
          <w:szCs w:val="24"/>
          <w:lang w:val="ru-RU" w:eastAsia="ru-RU" w:bidi="ar-SA"/>
        </w:rPr>
      </w:pPr>
      <w:r>
        <w:rPr>
          <w:rFonts w:eastAsia="Courier New" w:cs="Times New Roman" w:ascii="Times New Roman" w:hAnsi="Times New Roman"/>
          <w:sz w:val="24"/>
          <w:szCs w:val="24"/>
          <w:lang w:val="ru-RU" w:eastAsia="ru-RU" w:bidi="ar-SA"/>
        </w:rPr>
        <w:t>Федеральный бюджет, ЛБО - 2026 года.</w:t>
      </w:r>
    </w:p>
    <w:p>
      <w:pPr>
        <w:pStyle w:val="11"/>
        <w:widowControl/>
        <w:tabs>
          <w:tab w:val="left" w:pos="720" w:leader="none"/>
          <w:tab w:val="left" w:pos="12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624"/>
        <w:jc w:val="both"/>
        <w:rPr>
          <w:rFonts w:ascii="Times New Roman" w:hAnsi="Times New Roman" w:eastAsia="Courier New" w:cs="Times New Roman"/>
          <w:sz w:val="24"/>
          <w:szCs w:val="24"/>
          <w:lang w:val="ru-RU" w:eastAsia="ru-RU" w:bidi="ar-SA"/>
        </w:rPr>
      </w:pPr>
      <w:r>
        <w:rPr>
          <w:rFonts w:eastAsia="Courier New" w:cs="Times New Roman"/>
          <w:sz w:val="24"/>
          <w:szCs w:val="24"/>
          <w:lang w:val="ru-RU" w:eastAsia="ru-RU" w:bidi="ar-SA"/>
        </w:rPr>
        <w:t xml:space="preserve">5.4. Сублицензиат осуществляет в безналичном порядке перечисление денежных средств на расчетный счет Сублицензиару в рублях РФ в течение 10 (десяти) рабочих дней со дня подписания </w:t>
      </w:r>
      <w:r>
        <w:rPr>
          <w:rFonts w:eastAsia="Courier New" w:cs="Times New Roman"/>
          <w:sz w:val="24"/>
          <w:szCs w:val="24"/>
          <w:shd w:fill="auto" w:val="clear"/>
          <w:lang w:val="ru-RU" w:eastAsia="ru-RU" w:bidi="ar-SA"/>
        </w:rPr>
        <w:t>документа о приемке (акта о приемке оказанных услуг, акта приема-передачи услуг, счета/счета-фактуры либо УПД (при наличии)).</w:t>
      </w:r>
    </w:p>
    <w:p>
      <w:pPr>
        <w:pStyle w:val="ConsNormal"/>
        <w:bidi w:val="0"/>
        <w:ind w:left="0" w:right="0" w:firstLine="540"/>
        <w:rPr>
          <w:highlight w:val="none"/>
          <w:shd w:fill="FFFF00" w:val="clear"/>
        </w:rPr>
      </w:pPr>
      <w:r>
        <w:rPr>
          <w:shd w:fill="FFFF00" w:val="clear"/>
        </w:rPr>
      </w:r>
    </w:p>
    <w:p>
      <w:pPr>
        <w:pStyle w:val="Normal"/>
        <w:bidi w:val="0"/>
        <w:spacing w:before="0" w:after="200"/>
        <w:ind w:left="0" w:right="0" w:firstLine="540"/>
        <w:contextualSpacing/>
        <w:jc w:val="both"/>
        <w:rPr>
          <w:rFonts w:ascii="Times New Roman" w:hAnsi="Times New Roman" w:eastAsia="Courier New" w:cs="Times New Roman"/>
          <w:sz w:val="24"/>
          <w:szCs w:val="24"/>
          <w:lang w:val="ru-RU" w:eastAsia="ru-RU" w:bidi="ar-SA"/>
        </w:rPr>
      </w:pPr>
      <w:r>
        <w:rPr>
          <w:rFonts w:eastAsia="Courier New" w:cs="Times New Roman"/>
          <w:sz w:val="24"/>
          <w:szCs w:val="24"/>
          <w:lang w:val="ru-RU" w:eastAsia="ru-RU" w:bidi="ar-SA"/>
        </w:rPr>
        <w:t xml:space="preserve">5.5. На всех платежных документах и актах, обязательно должны быть указаны наименование Сублицензиата, номер и дата контракта, даты оформления и подписания документов, наименование услуги. </w:t>
      </w:r>
    </w:p>
    <w:p>
      <w:pPr>
        <w:pStyle w:val="Normal"/>
        <w:widowControl w:val="false"/>
        <w:suppressAutoHyphens w:val="true"/>
        <w:overflowPunct w:val="true"/>
        <w:bidi w:val="0"/>
        <w:spacing w:lineRule="auto" w:line="276" w:before="0" w:after="0"/>
        <w:ind w:left="0" w:right="0" w:firstLine="567"/>
        <w:contextualSpacing/>
        <w:jc w:val="both"/>
        <w:rPr>
          <w:rFonts w:ascii="Times New Roman" w:hAnsi="Times New Roman" w:eastAsia="Courier New" w:cs="Times New Roman"/>
          <w:sz w:val="24"/>
          <w:szCs w:val="24"/>
          <w:lang w:val="ru-RU" w:eastAsia="ru-RU" w:bidi="ar-SA"/>
        </w:rPr>
      </w:pPr>
      <w:r>
        <w:rPr>
          <w:rFonts w:eastAsia="Courier New" w:cs="Times New Roman"/>
          <w:kern w:val="2"/>
          <w:sz w:val="24"/>
          <w:szCs w:val="24"/>
          <w:lang w:val="ru-RU" w:eastAsia="ru-RU" w:bidi="ar-SA"/>
        </w:rPr>
        <w:t>5.6. В случае неисполнения либо ненадлежащего исполнения обязательств, предусмотренных контрактом, оплата по контракту может быть осуществлена Сублицензиатом/Лицензиатом путем выплаты Сублицензиара суммы, уменьшенной на сумму неустоек (пени, штраф) либо удержать сумму неустоек (пени, штраф) из обеспечения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Courier New" w:cs="Times New Roman"/>
          <w:color w:val="000000"/>
          <w:kern w:val="2"/>
          <w:sz w:val="24"/>
          <w:szCs w:val="24"/>
          <w:lang w:val="ru-RU" w:eastAsia="ru-RU" w:bidi="ar-SA"/>
        </w:rPr>
        <w:t xml:space="preserve">5.7. </w:t>
      </w:r>
      <w:r>
        <w:rPr>
          <w:rFonts w:eastAsia="Courier New" w:cs="Times New Roman"/>
          <w:color w:val="000000"/>
          <w:kern w:val="0"/>
          <w:sz w:val="24"/>
          <w:szCs w:val="24"/>
          <w:lang w:val="ru-RU" w:eastAsia="ru-RU" w:bidi="ar-SA"/>
        </w:rPr>
        <w:t>Днем оплаты считается день списания денежных средств со счета Сублицензиата.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6. Изменение, расторжение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Courier New" w:cs="Times New Roman"/>
          <w:sz w:val="24"/>
          <w:szCs w:val="24"/>
          <w:lang w:val="ru-RU" w:eastAsia="ru-RU" w:bidi="ar-SA"/>
        </w:rPr>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w:t>
      </w:r>
      <w:r>
        <w:rPr>
          <w:rFonts w:eastAsia="ヒラギノ角ゴ Pro W3" w:cs="Times New Roman"/>
          <w:color w:val="000000"/>
          <w:kern w:val="0"/>
          <w:sz w:val="24"/>
          <w:szCs w:val="24"/>
          <w:shd w:fill="auto" w:val="clear"/>
          <w:lang w:val="ru-RU" w:eastAsia="ru-RU" w:bidi="ar-SA"/>
        </w:rPr>
        <w:t>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shd w:fill="auto" w:val="clear"/>
          <w:lang w:val="ru-RU" w:eastAsia="ru-RU" w:bidi="ar-SA"/>
        </w:rPr>
        <w:t xml:space="preserve">6.3. Расторжение настоящего договора </w:t>
      </w:r>
      <w:r>
        <w:rPr>
          <w:rFonts w:eastAsia="ヒラギノ角ゴ Pro W3" w:cs="Times New Roman"/>
          <w:color w:val="000000"/>
          <w:kern w:val="0"/>
          <w:sz w:val="24"/>
          <w:szCs w:val="24"/>
          <w:lang w:val="ru-RU" w:eastAsia="ru-RU" w:bidi="ar-SA"/>
        </w:rPr>
        <w:t>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6.4. Сублицензиат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6.5. Сублицензиат вправе провести экспертизу переданного продукта с привлечением экспертов, экспертных организаций до принятия решения об одностороннем отказе от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6.6. Если Сублицензиатом проведена экспертиза переданного продукта с привлечением экспертов, экспертных организаций, решение об одностороннем отказе от исполнения контракта может быть принято Сублицензиатом только при условии, что по результатам экспертизы переданного продукта в заключении эксперта, экспертной организации будут подтверждены нарушения условий контракта, послужившие основанием для одностороннего отказа Сублицензиата от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6.7. Решение Сублицензиата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Сублицензиатом Сублицензиара об одностороннем отказе от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6.8. Сублицензиат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Сублицензиара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Сублицензиату компенсированы затраты на проведение экспертизы. Данное правило не применяется в случае повторного нарушения Сублицензиаром условий контракта, которые в соответствии с гражданским законодательством являются основанием для одностороннего отказа Сублицензиата от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6.9. Сублицензиат обязан принять решение об одностороннем отказе от исполнения контракта в случаях, установленных частью 15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6.10. Сублицензиар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6.11. Решение Сублицензиара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Сублицензиата об одностороннем отказе от исполнения контракта.</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6.12. Сублицензиар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Сублицензиата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ListParagraph"/>
        <w:widowControl/>
        <w:tabs>
          <w:tab w:val="clear" w:pos="720"/>
          <w:tab w:val="left" w:pos="426" w:leader="none"/>
        </w:tabs>
        <w:suppressAutoHyphens w:val="true"/>
        <w:overflowPunct w:val="true"/>
        <w:bidi w:val="0"/>
        <w:spacing w:lineRule="auto" w:line="240" w:before="0" w:after="0"/>
        <w:ind w:left="0" w:right="0" w:firstLine="624"/>
        <w:contextualSpacing/>
        <w:jc w:val="both"/>
        <w:rPr>
          <w:rFonts w:ascii="Times New Roman" w:hAnsi="Times New Roman" w:eastAsia="Courier New" w:cs="Times New Roman"/>
          <w:sz w:val="24"/>
          <w:szCs w:val="24"/>
          <w:lang w:val="ru-RU" w:eastAsia="ru-RU" w:bidi="ar-SA"/>
        </w:rPr>
      </w:pPr>
      <w:r>
        <w:rPr>
          <w:rFonts w:eastAsia="ヒラギノ角ゴ Pro W3" w:cs="Times New Roman"/>
          <w:color w:val="000000"/>
          <w:kern w:val="0"/>
          <w:sz w:val="24"/>
          <w:szCs w:val="24"/>
          <w:lang w:val="ru-RU" w:eastAsia="ru-RU" w:bidi="ar-SA"/>
        </w:rPr>
        <w:t>6.13.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4"/>
        <w:widowControl/>
        <w:tabs>
          <w:tab w:val="clear" w:pos="708"/>
          <w:tab w:val="left" w:pos="720" w:leader="none"/>
          <w:tab w:val="left" w:pos="1276"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tLeast" w:line="10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ascii="Times New Roman" w:hAnsi="Times New Roman"/>
          <w:color w:val="000000"/>
          <w:kern w:val="0"/>
          <w:sz w:val="24"/>
          <w:szCs w:val="24"/>
          <w:lang w:val="ru-RU" w:eastAsia="ru-RU" w:bidi="ar-SA"/>
        </w:rPr>
      </w:r>
    </w:p>
    <w:p>
      <w:pPr>
        <w:pStyle w:val="Normal"/>
        <w:widowControl w:val="false"/>
        <w:bidi w:val="0"/>
        <w:spacing w:before="0" w:after="0"/>
        <w:ind w:left="0" w:right="0" w:firstLine="567"/>
        <w:contextualSpacing/>
        <w:jc w:val="center"/>
        <w:rPr/>
      </w:pPr>
      <w:r>
        <w:rPr/>
        <w:t>7. Ответственность сторон</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7.2. В случае просрочки исполнения Сублицензиатом обязательств, предусмотренных настоящим контрактом, а также в иных случаях неисполнения или ненадлежащего исполнения Сублицензиатом обязательств, предусмотренных контрактом, Сублицензиар вправе потребовать уплаты неустоек (штрафов, пеней).</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7.3. За ненадлежащее исполнение Сублицензиатом обязательств, предусмотренных настоящим контрактом, за исключением просрочки исполнения обязательств, Лицензиат уплачивает Сублицензиару штраф в размере, определяемом в порядке, установленном постановлением Правительства РФ от 30 августа 2017 г. N 1042.</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7.4. В случае просрочки исполнения Сублицензиаром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Сублицензиаром обязательств, предусмотренных контрактом, Сублицензиат направляет Сублицензиару требование об уплате неустоек (штрафов, пеней).</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7.5. Пеня начисляется за каждый день просрочки исполнения Сублицензиаром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Сублицензиаром, за исключением случаев, если законодательством Российской Федерации установлен иной порядок начисления пени.</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7.6. За неисполнение или ненадлежащее исполнение Сублицензиаром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Сублицензиар уплачивает Сублицензиату штраф в размере, определяемом в порядке, установленном постановлением Правительства РФ от 30 августа 2017 г. № 1042, за исключением случаев, если законодательством Российской Федерации установлен иной порядок начисления штрафов.</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Normal"/>
        <w:widowControl w:val="false"/>
        <w:bidi w:val="0"/>
        <w:spacing w:before="0" w:after="0"/>
        <w:ind w:left="0" w:right="0" w:firstLine="567"/>
        <w:contextualSpacing/>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8. Порядок разрешения споров</w:t>
      </w:r>
    </w:p>
    <w:p>
      <w:pPr>
        <w:pStyle w:val="Normal"/>
        <w:widowControl w:val="false"/>
        <w:bidi w:val="0"/>
        <w:spacing w:before="0" w:after="0"/>
        <w:ind w:left="0" w:right="0" w:firstLine="567"/>
        <w:contextualSpacing/>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8.1.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8.2.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pPr>
        <w:pStyle w:val="ConsNormal"/>
        <w:bidi w:val="0"/>
        <w:ind w:left="0" w:right="0" w:firstLine="540"/>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widowControl/>
        <w:suppressAutoHyphens w:val="true"/>
        <w:overflowPunct w:val="true"/>
        <w:bidi w:val="0"/>
        <w:spacing w:lineRule="auto" w:line="276" w:before="0" w:after="0"/>
        <w:ind w:left="0" w:right="0" w:firstLine="567"/>
        <w:jc w:val="both"/>
        <w:rPr/>
      </w:pPr>
      <w:r>
        <w:rPr>
          <w:sz w:val="24"/>
          <w:szCs w:val="24"/>
        </w:rPr>
        <w:t xml:space="preserve">8.3. Изменение и дополнение договора возможно по соглашению Сторон в случаях и порядке, предусмотренных </w:t>
      </w:r>
      <w:hyperlink r:id="rId3">
        <w:r>
          <w:rPr>
            <w:sz w:val="24"/>
            <w:szCs w:val="24"/>
          </w:rPr>
          <w:t xml:space="preserve"> ст. 95</w:t>
        </w:r>
      </w:hyperlink>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8.4.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Normal"/>
        <w:spacing w:before="0" w:after="0"/>
        <w:jc w:val="center"/>
        <w:rPr/>
      </w:pPr>
      <w:r>
        <w:rPr>
          <w:b/>
          <w:sz w:val="24"/>
          <w:szCs w:val="24"/>
        </w:rPr>
        <w:t>9. Срок действия договора</w:t>
      </w:r>
    </w:p>
    <w:p>
      <w:pPr>
        <w:pStyle w:val="Normal"/>
        <w:widowControl w:val="false"/>
        <w:tabs>
          <w:tab w:val="left" w:pos="720" w:leader="none"/>
          <w:tab w:val="left" w:pos="5940" w:leader="none"/>
          <w:tab w:val="left" w:pos="6372" w:leader="none"/>
          <w:tab w:val="left" w:pos="7080" w:leader="none"/>
          <w:tab w:val="left" w:pos="7788" w:leader="none"/>
          <w:tab w:val="left" w:pos="8496" w:leader="none"/>
          <w:tab w:val="left" w:pos="9204" w:leader="none"/>
        </w:tabs>
        <w:suppressAutoHyphens w:val="true"/>
        <w:overflowPunct w:val="true"/>
        <w:bidi w:val="0"/>
        <w:spacing w:lineRule="auto" w:line="240" w:before="0" w:after="0"/>
        <w:ind w:left="0" w:right="0" w:firstLine="567"/>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 xml:space="preserve">9.1. Срок действия договора устанавливается со дня его заключения </w:t>
      </w:r>
      <w:r>
        <w:rPr>
          <w:rFonts w:eastAsia="ヒラギノ角ゴ Pro W3" w:cs="Times New Roman"/>
          <w:color w:val="111111"/>
          <w:kern w:val="0"/>
          <w:sz w:val="24"/>
          <w:szCs w:val="24"/>
          <w:lang w:val="ru-RU" w:eastAsia="ru-RU" w:bidi="ar-SA"/>
        </w:rPr>
        <w:t>по 30.12.2026г.</w:t>
      </w:r>
      <w:r>
        <w:rPr>
          <w:rFonts w:eastAsia="ヒラギノ角ゴ Pro W3" w:cs="Times New Roman"/>
          <w:color w:val="FF0000"/>
          <w:kern w:val="0"/>
          <w:sz w:val="24"/>
          <w:szCs w:val="24"/>
          <w:lang w:val="ru-RU" w:eastAsia="ru-RU" w:bidi="ar-SA"/>
        </w:rPr>
        <w:t xml:space="preserve"> </w:t>
      </w:r>
      <w:r>
        <w:rPr>
          <w:rFonts w:eastAsia="ヒラギノ角ゴ Pro W3" w:cs="Times New Roman"/>
          <w:color w:val="000000"/>
          <w:kern w:val="0"/>
          <w:sz w:val="24"/>
          <w:szCs w:val="24"/>
          <w:lang w:val="ru-RU" w:eastAsia="ru-RU" w:bidi="ar-SA"/>
        </w:rPr>
        <w:t>(включительно), а в части оплаты – до полного исполнения сторонами финансовых обязательств по договору.</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Normal"/>
        <w:widowControl w:val="false"/>
        <w:bidi w:val="0"/>
        <w:spacing w:before="0" w:after="0"/>
        <w:ind w:left="0" w:right="0" w:firstLine="567"/>
        <w:contextualSpacing/>
        <w:jc w:val="center"/>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 Заключительные положения</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10.1. Настоящий контракт составлен в двух экземплярах, имеющих одинаковую юридическую силу, по одному экземпляру для каждой из Сторон.</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10.2. Контракт вступает в силу с момента его подписания и действует до полного исполнения Сторонами своих обязательств по настоящему контракту.</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10.3.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 xml:space="preserve">Юридически значимые сообщения подлежат передаче путем направления уведомления по электронной почте: </w:t>
      </w:r>
      <w:hyperlink r:id="rId4">
        <w:r>
          <w:rPr>
            <w:rFonts w:eastAsia="Times New Roman" w:cs="Times New Roman"/>
            <w:bCs/>
            <w:color w:val="auto"/>
            <w:kern w:val="0"/>
            <w:sz w:val="24"/>
            <w:szCs w:val="24"/>
            <w:lang w:val="en-US" w:eastAsia="en-US" w:bidi="ar-SA"/>
          </w:rPr>
          <w:t>info@mail.30.mchs.gov.ru</w:t>
        </w:r>
      </w:hyperlink>
      <w:r>
        <w:rPr>
          <w:rStyle w:val="Docy"/>
          <w:rFonts w:eastAsia="Times New Roman" w:cs="Times New Roman"/>
          <w:bCs/>
          <w:color w:val="auto"/>
          <w:kern w:val="0"/>
          <w:sz w:val="24"/>
          <w:szCs w:val="24"/>
          <w:lang w:val="en-US" w:eastAsia="en-US" w:bidi="ar-SA"/>
        </w:rPr>
        <w:t>.</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pPr>
        <w:pStyle w:val="Normal"/>
        <w:widowControl w:val="false"/>
        <w:bidi w:val="0"/>
        <w:spacing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10.4. Во всем остальном, что не предусмотрено настоящим контрактом, Стороны руководствуются законодательством Российской Федерации.</w:t>
      </w:r>
    </w:p>
    <w:p>
      <w:pPr>
        <w:pStyle w:val="ListParagraph"/>
        <w:widowControl/>
        <w:tabs>
          <w:tab w:val="clear" w:pos="720"/>
          <w:tab w:val="left" w:pos="426" w:leader="none"/>
        </w:tabs>
        <w:suppressAutoHyphens w:val="true"/>
        <w:overflowPunct w:val="true"/>
        <w:bidi w:val="0"/>
        <w:spacing w:lineRule="auto" w:line="240"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10.5. Неотъемлемыми частями настоящего договора являются:</w:t>
      </w:r>
    </w:p>
    <w:p>
      <w:pPr>
        <w:pStyle w:val="ListParagraph"/>
        <w:widowControl/>
        <w:tabs>
          <w:tab w:val="clear" w:pos="720"/>
          <w:tab w:val="left" w:pos="426" w:leader="none"/>
        </w:tabs>
        <w:suppressAutoHyphens w:val="true"/>
        <w:overflowPunct w:val="true"/>
        <w:bidi w:val="0"/>
        <w:spacing w:lineRule="auto" w:line="240" w:before="0" w:after="0"/>
        <w:ind w:left="0" w:right="0" w:firstLine="567"/>
        <w:contextualSpacing/>
        <w:jc w:val="both"/>
        <w:rPr>
          <w:rFonts w:ascii="Times New Roman" w:hAnsi="Times New Roman" w:eastAsia="ヒラギノ角ゴ Pro W3" w:cs="Times New Roman"/>
          <w:color w:val="000000"/>
          <w:kern w:val="0"/>
          <w:sz w:val="24"/>
          <w:szCs w:val="24"/>
          <w:lang w:val="ru-RU" w:eastAsia="ru-RU" w:bidi="ar-SA"/>
        </w:rPr>
      </w:pPr>
      <w:r>
        <w:rPr>
          <w:rFonts w:eastAsia="ヒラギノ角ゴ Pro W3" w:cs="Times New Roman"/>
          <w:color w:val="000000"/>
          <w:kern w:val="0"/>
          <w:sz w:val="24"/>
          <w:szCs w:val="24"/>
          <w:lang w:val="ru-RU" w:eastAsia="ru-RU" w:bidi="ar-SA"/>
        </w:rPr>
        <w:t>10.5.1. Приложение № 1 Спецификация поставляемого товара.</w:t>
      </w:r>
    </w:p>
    <w:p>
      <w:pPr>
        <w:pStyle w:val="ListParagraph"/>
        <w:widowControl/>
        <w:tabs>
          <w:tab w:val="clear" w:pos="720"/>
          <w:tab w:val="left" w:pos="426" w:leader="none"/>
        </w:tabs>
        <w:suppressAutoHyphens w:val="true"/>
        <w:overflowPunct w:val="true"/>
        <w:bidi w:val="0"/>
        <w:spacing w:lineRule="auto" w:line="240" w:before="0" w:after="0"/>
        <w:ind w:left="0" w:right="0" w:firstLine="567"/>
        <w:contextualSpacing/>
        <w:jc w:val="both"/>
        <w:rPr/>
      </w:pPr>
      <w:r>
        <w:rPr>
          <w:rFonts w:eastAsia="ヒラギノ角ゴ Pro W3" w:cs="Times New Roman"/>
          <w:color w:val="000000"/>
          <w:kern w:val="0"/>
          <w:sz w:val="24"/>
          <w:szCs w:val="24"/>
          <w:lang w:val="ru-RU" w:eastAsia="ru-RU" w:bidi="ar-SA"/>
        </w:rPr>
        <w:t>10.5.2. Приложение № 2 «Описание объекта закупки».</w:t>
      </w:r>
    </w:p>
    <w:p>
      <w:pPr>
        <w:pStyle w:val="Normal"/>
        <w:tabs>
          <w:tab w:val="left" w:pos="720" w:leader="none"/>
          <w:tab w:val="left" w:pos="5940" w:leader="none"/>
          <w:tab w:val="left" w:pos="6372" w:leader="none"/>
          <w:tab w:val="left" w:pos="7080" w:leader="none"/>
          <w:tab w:val="left" w:pos="7788" w:leader="none"/>
          <w:tab w:val="left" w:pos="8496" w:leader="none"/>
          <w:tab w:val="left" w:pos="9204" w:leader="none"/>
        </w:tabs>
        <w:spacing w:lineRule="auto" w:line="240" w:before="0" w:after="0"/>
        <w:ind w:left="0" w:right="0" w:firstLine="284"/>
        <w:jc w:val="both"/>
        <w:rPr>
          <w:rFonts w:ascii="Times New Roman" w:hAnsi="Times New Roman" w:eastAsia="Times New Roman"/>
          <w:color w:val="000000"/>
          <w:sz w:val="24"/>
          <w:szCs w:val="24"/>
          <w:lang w:eastAsia="ru-RU"/>
        </w:rPr>
      </w:pPr>
      <w:r>
        <w:rPr>
          <w:rFonts w:eastAsia="Times New Roman"/>
          <w:color w:val="000000"/>
          <w:sz w:val="24"/>
          <w:szCs w:val="24"/>
          <w:lang w:eastAsia="ru-RU"/>
        </w:rPr>
      </w:r>
    </w:p>
    <w:p>
      <w:pPr>
        <w:pStyle w:val="Normal"/>
        <w:tabs>
          <w:tab w:val="left" w:pos="720" w:leader="none"/>
          <w:tab w:val="left" w:pos="5940" w:leader="none"/>
          <w:tab w:val="left" w:pos="6372" w:leader="none"/>
          <w:tab w:val="left" w:pos="7080" w:leader="none"/>
          <w:tab w:val="left" w:pos="7788" w:leader="none"/>
          <w:tab w:val="left" w:pos="8496" w:leader="none"/>
          <w:tab w:val="left" w:pos="9204" w:leader="none"/>
        </w:tabs>
        <w:spacing w:lineRule="auto" w:line="240" w:before="0" w:after="0"/>
        <w:ind w:left="0" w:right="0" w:firstLine="284"/>
        <w:jc w:val="center"/>
        <w:rPr/>
      </w:pPr>
      <w:r>
        <w:rPr>
          <w:b/>
          <w:bCs/>
          <w:szCs w:val="24"/>
        </w:rPr>
        <w:t>11. Юридические адреса, банковские реквизиты</w:t>
      </w:r>
    </w:p>
    <w:p>
      <w:pPr>
        <w:pStyle w:val="Normal"/>
        <w:rPr>
          <w:rFonts w:ascii="Times New Roman" w:hAnsi="Times New Roman" w:eastAsia="ヒラギノ角ゴ Pro W3" w:cs="Times New Roman"/>
          <w:sz w:val="24"/>
          <w:szCs w:val="24"/>
          <w:lang w:eastAsia="ru-RU"/>
        </w:rPr>
      </w:pPr>
      <w:r>
        <w:rPr>
          <w:rFonts w:eastAsia="ヒラギノ角ゴ Pro W3" w:cs="Times New Roman"/>
          <w:sz w:val="24"/>
          <w:szCs w:val="24"/>
          <w:lang w:eastAsia="ru-RU"/>
        </w:rPr>
      </w:r>
    </w:p>
    <w:tbl>
      <w:tblPr>
        <w:tblW w:w="10038" w:type="dxa"/>
        <w:jc w:val="left"/>
        <w:tblInd w:w="45" w:type="dxa"/>
        <w:tblLayout w:type="fixed"/>
        <w:tblCellMar>
          <w:top w:w="55" w:type="dxa"/>
          <w:left w:w="108" w:type="dxa"/>
          <w:bottom w:w="55" w:type="dxa"/>
          <w:right w:w="108" w:type="dxa"/>
        </w:tblCellMar>
      </w:tblPr>
      <w:tblGrid>
        <w:gridCol w:w="5437"/>
        <w:gridCol w:w="4600"/>
      </w:tblGrid>
      <w:tr>
        <w:trPr/>
        <w:tc>
          <w:tcPr>
            <w:tcW w:w="5437" w:type="dxa"/>
            <w:tcBorders/>
          </w:tcPr>
          <w:p>
            <w:pPr>
              <w:pStyle w:val="NoSpacing"/>
              <w:widowControl w:val="false"/>
              <w:suppressAutoHyphens w:val="true"/>
              <w:spacing w:before="0" w:after="0"/>
              <w:jc w:val="left"/>
              <w:rPr>
                <w:rFonts w:ascii="Times New Roman" w:hAnsi="Times New Roman" w:eastAsia="Calibri"/>
                <w:kern w:val="0"/>
                <w:sz w:val="24"/>
                <w:szCs w:val="24"/>
                <w:lang w:val="ru-RU" w:eastAsia="en-US" w:bidi="ar-SA"/>
              </w:rPr>
            </w:pPr>
            <w:r>
              <w:rPr>
                <w:rFonts w:eastAsia="Calibri" w:ascii="Times New Roman" w:hAnsi="Times New Roman"/>
                <w:kern w:val="0"/>
                <w:sz w:val="24"/>
                <w:szCs w:val="24"/>
                <w:lang w:val="ru-RU" w:eastAsia="en-US" w:bidi="ar-SA"/>
              </w:rPr>
              <w:t>Сублицензиат</w:t>
            </w:r>
          </w:p>
        </w:tc>
        <w:tc>
          <w:tcPr>
            <w:tcW w:w="4600" w:type="dxa"/>
            <w:tcBorders/>
          </w:tcPr>
          <w:p>
            <w:pPr>
              <w:pStyle w:val="NoSpacing"/>
              <w:widowControl w:val="false"/>
              <w:suppressAutoHyphens w:val="true"/>
              <w:spacing w:before="0" w:after="0"/>
              <w:jc w:val="left"/>
              <w:rPr>
                <w:rFonts w:ascii="Times New Roman" w:hAnsi="Times New Roman" w:eastAsia="Calibri"/>
                <w:kern w:val="0"/>
                <w:sz w:val="24"/>
                <w:szCs w:val="24"/>
                <w:lang w:val="ru-RU" w:eastAsia="en-US" w:bidi="ar-SA"/>
              </w:rPr>
            </w:pPr>
            <w:r>
              <w:rPr>
                <w:rFonts w:eastAsia="Calibri" w:ascii="Times New Roman" w:hAnsi="Times New Roman"/>
                <w:kern w:val="0"/>
                <w:sz w:val="24"/>
                <w:szCs w:val="24"/>
                <w:lang w:val="ru-RU" w:eastAsia="en-US" w:bidi="ar-SA"/>
              </w:rPr>
              <w:t>Сублицензиар</w:t>
            </w:r>
          </w:p>
        </w:tc>
      </w:tr>
      <w:tr>
        <w:trPr/>
        <w:tc>
          <w:tcPr>
            <w:tcW w:w="5437" w:type="dxa"/>
            <w:tcBorders/>
          </w:tcPr>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Юридический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Почтовый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Тел. (8512) 44-12-06; факс 44-12-39</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ОГРН 104 3000 714 041</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ИНН 30 150 671 55, КПП 30 150 1001</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Банковские реквизиты:</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л/сч 032 517 839 20</w:t>
            </w:r>
          </w:p>
          <w:p>
            <w:pPr>
              <w:pStyle w:val="Normal"/>
              <w:widowControl w:val="false"/>
              <w:suppressAutoHyphens w:val="true"/>
              <w:spacing w:lineRule="auto" w:line="240" w:before="0" w:after="0"/>
              <w:jc w:val="left"/>
              <w:rPr/>
            </w:pPr>
            <w:r>
              <w:rPr>
                <w:rFonts w:eastAsia="Calibri"/>
                <w:kern w:val="0"/>
                <w:sz w:val="24"/>
                <w:szCs w:val="24"/>
                <w:u w:val="single"/>
                <w:lang w:val="ru-RU" w:eastAsia="en-US" w:bidi="ar-SA"/>
              </w:rPr>
              <w:t>номер казначейского счета:</w:t>
            </w:r>
            <w:r>
              <w:rPr>
                <w:rFonts w:eastAsia="Calibri"/>
                <w:kern w:val="0"/>
                <w:sz w:val="24"/>
                <w:szCs w:val="24"/>
                <w:lang w:val="ru-RU" w:eastAsia="en-US" w:bidi="ar-SA"/>
              </w:rPr>
              <w:t xml:space="preserve"> 032 116 430 000 000 132 35</w:t>
            </w:r>
          </w:p>
          <w:p>
            <w:pPr>
              <w:pStyle w:val="Normal"/>
              <w:widowControl w:val="false"/>
              <w:suppressAutoHyphens w:val="true"/>
              <w:spacing w:lineRule="auto" w:line="240" w:before="0" w:after="0"/>
              <w:jc w:val="left"/>
              <w:rPr/>
            </w:pPr>
            <w:r>
              <w:rPr>
                <w:rFonts w:eastAsia="Calibri"/>
                <w:kern w:val="0"/>
                <w:sz w:val="24"/>
                <w:szCs w:val="24"/>
                <w:u w:val="single"/>
                <w:lang w:val="ru-RU" w:eastAsia="en-US" w:bidi="ar-SA"/>
              </w:rPr>
              <w:t>номер банковского счета, входящего в состав ЕКС</w:t>
            </w:r>
            <w:r>
              <w:rPr>
                <w:rFonts w:eastAsia="Calibri"/>
                <w:kern w:val="0"/>
                <w:sz w:val="24"/>
                <w:szCs w:val="24"/>
                <w:lang w:val="ru-RU" w:eastAsia="en-US" w:bidi="ar-SA"/>
              </w:rPr>
              <w:t>: 401 028 107 453 700 000 24</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БИК: 012 202 102</w:t>
            </w:r>
          </w:p>
          <w:p>
            <w:pPr>
              <w:pStyle w:val="Normal"/>
              <w:widowControl w:val="false"/>
              <w:suppressAutoHyphens w:val="true"/>
              <w:spacing w:lineRule="auto" w:line="240" w:before="0" w:after="0"/>
              <w:jc w:val="left"/>
              <w:rPr>
                <w:rFonts w:ascii="Times New Roman" w:hAnsi="Times New Roman" w:eastAsia="Calibri"/>
                <w:kern w:val="0"/>
                <w:sz w:val="24"/>
                <w:szCs w:val="24"/>
                <w:lang w:val="ru-RU" w:eastAsia="en-US" w:bidi="ar-SA"/>
              </w:rPr>
            </w:pPr>
            <w:r>
              <w:rPr>
                <w:rFonts w:eastAsia="Calibri"/>
                <w:kern w:val="0"/>
                <w:sz w:val="24"/>
                <w:szCs w:val="24"/>
                <w:lang w:val="ru-RU" w:eastAsia="en-US" w:bidi="ar-SA"/>
              </w:rPr>
              <w:t>Наименование Банка: ОКЦ № 1 ВВГУ Банка России//УФК по Нижегородской области, г. Нижний Новгород.</w:t>
            </w:r>
          </w:p>
          <w:p>
            <w:pPr>
              <w:pStyle w:val="Normal"/>
              <w:widowControl w:val="false"/>
              <w:suppressAutoHyphens w:val="true"/>
              <w:spacing w:lineRule="auto" w:line="240" w:before="0" w:after="0"/>
              <w:jc w:val="left"/>
              <w:rPr/>
            </w:pPr>
            <w:r>
              <w:rPr>
                <w:rFonts w:eastAsia="Calibri"/>
                <w:kern w:val="0"/>
                <w:sz w:val="24"/>
                <w:szCs w:val="24"/>
                <w:lang w:val="ru-RU" w:eastAsia="en-US" w:bidi="ar-SA"/>
              </w:rPr>
              <w:t>е</w:t>
            </w:r>
            <w:r>
              <w:rPr>
                <w:rFonts w:eastAsia="Calibri"/>
                <w:kern w:val="0"/>
                <w:sz w:val="24"/>
                <w:szCs w:val="24"/>
                <w:lang w:val="en-US" w:eastAsia="en-US" w:bidi="ar-SA"/>
              </w:rPr>
              <w:t>-mail: info@mail.30.mchs.gov.ru</w:t>
            </w:r>
          </w:p>
        </w:tc>
        <w:tc>
          <w:tcPr>
            <w:tcW w:w="4600" w:type="dxa"/>
            <w:tcBorders/>
          </w:tcPr>
          <w:p>
            <w:pPr>
              <w:pStyle w:val="Normal"/>
              <w:widowControl w:val="false"/>
              <w:suppressAutoHyphens w:val="true"/>
              <w:spacing w:before="0" w:after="0"/>
              <w:jc w:val="left"/>
              <w:rPr>
                <w:rFonts w:ascii="Times New Roman" w:hAnsi="Times New Roman"/>
                <w:b w:val="false"/>
                <w:b w:val="false"/>
                <w:i w:val="false"/>
                <w:i w:val="false"/>
                <w:iCs w:val="false"/>
                <w:color w:val="auto"/>
                <w:sz w:val="24"/>
                <w:szCs w:val="24"/>
                <w:lang w:val="en-US"/>
              </w:rPr>
            </w:pPr>
            <w:r>
              <w:rPr>
                <w:b w:val="false"/>
                <w:i w:val="false"/>
                <w:iCs w:val="false"/>
                <w:color w:val="auto"/>
                <w:sz w:val="24"/>
                <w:szCs w:val="24"/>
                <w:lang w:val="en-US"/>
              </w:rPr>
            </w:r>
          </w:p>
        </w:tc>
      </w:tr>
      <w:tr>
        <w:trPr/>
        <w:tc>
          <w:tcPr>
            <w:tcW w:w="5437" w:type="dxa"/>
            <w:tcBorders/>
          </w:tcPr>
          <w:p>
            <w:pPr>
              <w:pStyle w:val="NoSpacing"/>
              <w:widowControl w:val="false"/>
              <w:suppressAutoHyphens w:val="true"/>
              <w:spacing w:before="0" w:after="0"/>
              <w:jc w:val="left"/>
              <w:rPr>
                <w:rFonts w:ascii="Times New Roman" w:hAnsi="Times New Roman"/>
              </w:rPr>
            </w:pPr>
            <w:r>
              <w:rPr>
                <w:rFonts w:ascii="Times New Roman" w:hAnsi="Times New Roman"/>
              </w:rPr>
            </w:r>
          </w:p>
          <w:p>
            <w:pPr>
              <w:pStyle w:val="NoSpacing"/>
              <w:widowControl w:val="false"/>
              <w:suppressAutoHyphens w:val="true"/>
              <w:spacing w:before="0" w:after="0"/>
              <w:jc w:val="left"/>
              <w:rPr>
                <w:rFonts w:ascii="Times New Roman" w:hAnsi="Times New Roman"/>
              </w:rPr>
            </w:pPr>
            <w:r>
              <w:rPr>
                <w:rFonts w:ascii="Times New Roman" w:hAnsi="Times New Roman"/>
              </w:rPr>
            </w:r>
          </w:p>
          <w:p>
            <w:pPr>
              <w:pStyle w:val="NoSpacing"/>
              <w:widowControl w:val="false"/>
              <w:suppressAutoHyphens w:val="true"/>
              <w:spacing w:before="0" w:after="0"/>
              <w:jc w:val="left"/>
              <w:rPr>
                <w:rFonts w:ascii="Times New Roman" w:hAnsi="Times New Roman"/>
              </w:rPr>
            </w:pPr>
            <w:r>
              <w:rPr>
                <w:rFonts w:ascii="Times New Roman" w:hAnsi="Times New Roman"/>
              </w:rPr>
            </w:r>
          </w:p>
          <w:p>
            <w:pPr>
              <w:pStyle w:val="NoSpacing"/>
              <w:widowControl w:val="false"/>
              <w:suppressAutoHyphens w:val="true"/>
              <w:spacing w:before="0" w:after="0"/>
              <w:jc w:val="left"/>
              <w:rPr>
                <w:rFonts w:ascii="Times New Roman" w:hAnsi="Times New Roman" w:eastAsia="Calibri"/>
                <w:kern w:val="0"/>
                <w:sz w:val="24"/>
                <w:szCs w:val="24"/>
                <w:lang w:val="ru-RU" w:eastAsia="en-US" w:bidi="ar-SA"/>
              </w:rPr>
            </w:pPr>
            <w:r>
              <w:rPr>
                <w:rFonts w:eastAsia="Calibri" w:ascii="Times New Roman" w:hAnsi="Times New Roman"/>
                <w:kern w:val="0"/>
                <w:sz w:val="24"/>
                <w:szCs w:val="24"/>
                <w:lang w:val="ru-RU" w:eastAsia="en-US" w:bidi="ar-SA"/>
              </w:rPr>
              <w:t>______________________ /                               /</w:t>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sz w:val="24"/>
                <w:szCs w:val="24"/>
              </w:rPr>
            </w:r>
          </w:p>
        </w:tc>
        <w:tc>
          <w:tcPr>
            <w:tcW w:w="4600" w:type="dxa"/>
            <w:tcBorders/>
          </w:tcPr>
          <w:p>
            <w:pPr>
              <w:pStyle w:val="NoSpacing"/>
              <w:widowControl w:val="false"/>
              <w:suppressAutoHyphens w:val="true"/>
              <w:spacing w:before="0" w:after="0"/>
              <w:jc w:val="left"/>
              <w:rPr>
                <w:rFonts w:eastAsia="Calibri"/>
                <w:kern w:val="0"/>
                <w:lang w:val="ru-RU" w:eastAsia="en-US" w:bidi="ar-SA"/>
              </w:rPr>
            </w:pPr>
            <w:r>
              <w:rPr>
                <w:rFonts w:eastAsia="Calibri"/>
                <w:kern w:val="0"/>
                <w:lang w:val="ru-RU" w:eastAsia="en-US" w:bidi="ar-SA"/>
              </w:rPr>
            </w:r>
          </w:p>
          <w:p>
            <w:pPr>
              <w:pStyle w:val="NoSpacing"/>
              <w:widowControl w:val="false"/>
              <w:suppressAutoHyphens w:val="true"/>
              <w:spacing w:before="0" w:after="0"/>
              <w:jc w:val="left"/>
              <w:rPr>
                <w:rFonts w:eastAsia="Calibri"/>
                <w:kern w:val="0"/>
                <w:lang w:val="ru-RU" w:eastAsia="en-US" w:bidi="ar-SA"/>
              </w:rPr>
            </w:pPr>
            <w:r>
              <w:rPr>
                <w:rFonts w:eastAsia="Calibri"/>
                <w:kern w:val="0"/>
                <w:lang w:val="ru-RU" w:eastAsia="en-US" w:bidi="ar-SA"/>
              </w:rPr>
            </w:r>
          </w:p>
          <w:p>
            <w:pPr>
              <w:pStyle w:val="NoSpacing"/>
              <w:widowControl w:val="false"/>
              <w:suppressAutoHyphens w:val="true"/>
              <w:spacing w:before="0" w:after="0"/>
              <w:jc w:val="left"/>
              <w:rPr>
                <w:rFonts w:ascii="Times New Roman" w:hAnsi="Times New Roman" w:eastAsia="Calibri"/>
                <w:kern w:val="0"/>
                <w:sz w:val="24"/>
                <w:szCs w:val="24"/>
                <w:lang w:val="ru-RU" w:eastAsia="en-US" w:bidi="ar-SA"/>
              </w:rPr>
            </w:pPr>
            <w:r>
              <w:rPr>
                <w:rFonts w:eastAsia="Calibri" w:ascii="Times New Roman" w:hAnsi="Times New Roman"/>
                <w:kern w:val="0"/>
                <w:sz w:val="24"/>
                <w:szCs w:val="24"/>
                <w:lang w:val="ru-RU" w:eastAsia="en-US" w:bidi="ar-SA"/>
              </w:rPr>
              <w:t>_____________________ /                       /</w:t>
            </w:r>
          </w:p>
        </w:tc>
      </w:tr>
    </w:tbl>
    <w:p>
      <w:pPr>
        <w:pStyle w:val="11"/>
        <w:spacing w:before="0" w:after="0"/>
        <w:ind w:left="7513" w:right="0" w:hanging="425"/>
        <w:rPr>
          <w:color w:val="auto"/>
          <w:szCs w:val="24"/>
        </w:rPr>
      </w:pPr>
      <w:r>
        <w:br w:type="page"/>
      </w:r>
      <w:r>
        <w:rPr>
          <w:color w:val="auto"/>
          <w:szCs w:val="24"/>
        </w:rPr>
        <w:t xml:space="preserve"> </w:t>
      </w:r>
      <w:r>
        <w:rPr>
          <w:color w:val="auto"/>
          <w:szCs w:val="24"/>
        </w:rPr>
        <w:t>Приложение № 1</w:t>
      </w:r>
    </w:p>
    <w:p>
      <w:pPr>
        <w:pStyle w:val="11"/>
        <w:tabs>
          <w:tab w:val="left" w:pos="-31680" w:leader="none"/>
          <w:tab w:val="left" w:pos="-31552" w:leader="none"/>
          <w:tab w:val="left" w:pos="-30844" w:leader="none"/>
          <w:tab w:val="left" w:pos="-30136" w:leader="none"/>
          <w:tab w:val="left" w:pos="-29428" w:leader="none"/>
          <w:tab w:val="left" w:pos="-28720" w:leader="none"/>
          <w:tab w:val="left" w:pos="-28012" w:leader="none"/>
          <w:tab w:val="left" w:pos="-27304" w:leader="none"/>
          <w:tab w:val="left" w:pos="-26596" w:leader="none"/>
          <w:tab w:val="left" w:pos="-25888" w:leader="none"/>
          <w:tab w:val="left" w:pos="-25180" w:leader="none"/>
          <w:tab w:val="left" w:pos="-24472" w:leader="none"/>
          <w:tab w:val="left" w:pos="-23764" w:leader="none"/>
          <w:tab w:val="left" w:pos="-23056" w:leader="none"/>
          <w:tab w:val="left" w:pos="-22348" w:leader="none"/>
          <w:tab w:val="left" w:pos="-21640" w:leader="none"/>
          <w:tab w:val="left" w:pos="-20932" w:leader="none"/>
          <w:tab w:val="left" w:pos="-20224" w:leader="none"/>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540"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 w:val="left" w:pos="29028" w:leader="none"/>
          <w:tab w:val="left" w:pos="29736" w:leader="none"/>
          <w:tab w:val="left" w:pos="30444" w:leader="none"/>
          <w:tab w:val="left" w:pos="31152" w:leader="none"/>
          <w:tab w:val="left" w:pos="31680" w:leader="none"/>
        </w:tabs>
        <w:spacing w:lineRule="auto" w:line="216" w:before="0" w:after="0"/>
        <w:ind w:left="7513" w:right="193" w:hanging="1417"/>
        <w:jc w:val="right"/>
        <w:rPr>
          <w:color w:val="auto"/>
          <w:szCs w:val="24"/>
        </w:rPr>
      </w:pPr>
      <w:r>
        <w:rPr>
          <w:color w:val="auto"/>
          <w:szCs w:val="24"/>
        </w:rPr>
        <w:t>к Договору № ____________</w:t>
      </w:r>
    </w:p>
    <w:p>
      <w:pPr>
        <w:pStyle w:val="11"/>
        <w:tabs>
          <w:tab w:val="left" w:pos="-31680" w:leader="none"/>
          <w:tab w:val="left" w:pos="-31552" w:leader="none"/>
          <w:tab w:val="left" w:pos="-30844" w:leader="none"/>
          <w:tab w:val="left" w:pos="-30136" w:leader="none"/>
          <w:tab w:val="left" w:pos="-29428" w:leader="none"/>
          <w:tab w:val="left" w:pos="-28720" w:leader="none"/>
          <w:tab w:val="left" w:pos="-28012" w:leader="none"/>
          <w:tab w:val="left" w:pos="-27304" w:leader="none"/>
          <w:tab w:val="left" w:pos="-26596" w:leader="none"/>
          <w:tab w:val="left" w:pos="-25888" w:leader="none"/>
          <w:tab w:val="left" w:pos="-25180" w:leader="none"/>
          <w:tab w:val="left" w:pos="-24472" w:leader="none"/>
          <w:tab w:val="left" w:pos="-23764" w:leader="none"/>
          <w:tab w:val="left" w:pos="-23056" w:leader="none"/>
          <w:tab w:val="left" w:pos="-22348" w:leader="none"/>
          <w:tab w:val="left" w:pos="-21640" w:leader="none"/>
          <w:tab w:val="left" w:pos="-20932" w:leader="none"/>
          <w:tab w:val="left" w:pos="-20224" w:leader="none"/>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5954" w:leader="none"/>
          <w:tab w:val="left" w:pos="7080" w:leader="none"/>
          <w:tab w:val="left" w:pos="7788" w:leader="none"/>
          <w:tab w:val="left" w:pos="8496" w:leader="none"/>
          <w:tab w:val="left" w:pos="9204" w:leader="none"/>
          <w:tab w:val="left" w:pos="9540"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 w:val="left" w:pos="29028" w:leader="none"/>
          <w:tab w:val="left" w:pos="29736" w:leader="none"/>
          <w:tab w:val="left" w:pos="30444" w:leader="none"/>
          <w:tab w:val="left" w:pos="31152" w:leader="none"/>
          <w:tab w:val="left" w:pos="31680" w:leader="none"/>
        </w:tabs>
        <w:spacing w:lineRule="auto" w:line="216" w:before="0" w:after="0"/>
        <w:ind w:left="0" w:right="193" w:hanging="0"/>
        <w:jc w:val="right"/>
        <w:rPr>
          <w:color w:val="auto"/>
          <w:szCs w:val="24"/>
        </w:rPr>
      </w:pPr>
      <w:r>
        <w:rPr>
          <w:color w:val="auto"/>
          <w:szCs w:val="24"/>
        </w:rPr>
        <w:tab/>
        <w:tab/>
        <w:tab/>
        <w:tab/>
        <w:tab/>
        <w:tab/>
        <w:tab/>
        <w:t>от «     » ________ 2026 г.</w:t>
      </w:r>
    </w:p>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szCs w:val="24"/>
        </w:rPr>
      </w:pPr>
      <w:r>
        <w:rPr>
          <w:szCs w:val="24"/>
        </w:rPr>
      </w:r>
    </w:p>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szCs w:val="24"/>
        </w:rPr>
      </w:pPr>
      <w:r>
        <w:rPr>
          <w:szCs w:val="24"/>
        </w:rPr>
      </w:r>
    </w:p>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szCs w:val="24"/>
        </w:rPr>
      </w:pPr>
      <w:r>
        <w:rPr>
          <w:szCs w:val="24"/>
        </w:rPr>
        <w:t>Спецификация на поставку продукции</w:t>
      </w:r>
    </w:p>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szCs w:val="24"/>
        </w:rPr>
      </w:pPr>
      <w:r>
        <w:rPr>
          <w:szCs w:val="24"/>
        </w:rPr>
      </w:r>
    </w:p>
    <w:tbl>
      <w:tblPr>
        <w:tblW w:w="9767" w:type="dxa"/>
        <w:jc w:val="left"/>
        <w:tblInd w:w="-118" w:type="dxa"/>
        <w:tblLayout w:type="fixed"/>
        <w:tblCellMar>
          <w:top w:w="0" w:type="dxa"/>
          <w:left w:w="108" w:type="dxa"/>
          <w:bottom w:w="0" w:type="dxa"/>
          <w:right w:w="108" w:type="dxa"/>
        </w:tblCellMar>
      </w:tblPr>
      <w:tblGrid>
        <w:gridCol w:w="709"/>
        <w:gridCol w:w="5369"/>
        <w:gridCol w:w="1420"/>
        <w:gridCol w:w="709"/>
        <w:gridCol w:w="1560"/>
      </w:tblGrid>
      <w:tr>
        <w:trPr>
          <w:trHeight w:val="2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w:t>
            </w:r>
          </w:p>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п/п</w:t>
            </w:r>
          </w:p>
        </w:tc>
        <w:tc>
          <w:tcPr>
            <w:tcW w:w="5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Наименование работ/услуг</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Цена за ед., руб.</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Кол-во</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eastAsia="Times New Roman"/>
                <w:b/>
                <w:b/>
                <w:bCs/>
                <w:color w:val="000000"/>
                <w:sz w:val="24"/>
                <w:szCs w:val="24"/>
                <w:lang w:eastAsia="ru-RU"/>
              </w:rPr>
            </w:pPr>
            <w:r>
              <w:rPr>
                <w:rFonts w:eastAsia="Times New Roman"/>
                <w:b/>
                <w:bCs/>
                <w:color w:val="000000"/>
                <w:sz w:val="24"/>
                <w:szCs w:val="24"/>
                <w:lang w:eastAsia="ru-RU"/>
              </w:rPr>
              <w:t>Сумма</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b/>
                <w:b/>
                <w:color w:val="000000"/>
                <w:sz w:val="24"/>
                <w:szCs w:val="24"/>
                <w:lang w:eastAsia="ru-RU"/>
              </w:rPr>
            </w:pPr>
            <w:r>
              <w:rPr>
                <w:rFonts w:eastAsia="Times New Roman"/>
                <w:b/>
                <w:color w:val="000000"/>
                <w:sz w:val="24"/>
                <w:szCs w:val="24"/>
                <w:lang w:eastAsia="ru-RU"/>
              </w:rPr>
              <w:t>1.</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b/>
                <w:b/>
                <w:sz w:val="24"/>
                <w:szCs w:val="24"/>
                <w:lang w:eastAsia="ru-RU"/>
              </w:rPr>
            </w:pPr>
            <w:r>
              <w:rPr>
                <w:rFonts w:eastAsia="Times New Roman"/>
                <w:b/>
                <w:sz w:val="24"/>
                <w:szCs w:val="24"/>
                <w:lang w:eastAsia="ru-RU"/>
              </w:rPr>
              <w:t>Оказание услуги по оснащению операционной системой</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color w:val="000000"/>
                <w:sz w:val="24"/>
                <w:szCs w:val="24"/>
                <w:lang w:eastAsia="ru-RU"/>
              </w:rPr>
            </w:pPr>
            <w:r>
              <w:rPr>
                <w:rFonts w:eastAsia="Times New Roman"/>
                <w:color w:val="000000"/>
                <w:sz w:val="24"/>
                <w:szCs w:val="24"/>
                <w:lang w:eastAsia="ru-RU"/>
              </w:rPr>
              <w:t>1.1.</w:t>
            </w:r>
          </w:p>
        </w:tc>
        <w:tc>
          <w:tcPr>
            <w:tcW w:w="5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bidi w:val="0"/>
              <w:spacing w:lineRule="auto" w:line="240" w:before="0" w:after="0"/>
              <w:jc w:val="left"/>
              <w:rPr>
                <w:rFonts w:eastAsia="Times New Roman"/>
                <w:color w:val="000000"/>
                <w:sz w:val="24"/>
                <w:szCs w:val="24"/>
                <w:lang w:eastAsia="ru-RU"/>
              </w:rPr>
            </w:pPr>
            <w:r>
              <w:rPr>
                <w:rFonts w:eastAsia="Times New Roman"/>
                <w:color w:val="000000"/>
                <w:sz w:val="24"/>
                <w:szCs w:val="24"/>
                <w:lang w:eastAsia="ru-RU"/>
              </w:rPr>
              <w:t>Лицензион-ная операцион-ная система специально-го назначе-ния</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color w:val="000000"/>
                <w:sz w:val="24"/>
                <w:szCs w:val="24"/>
              </w:rPr>
            </w:pPr>
            <w:r>
              <w:rPr>
                <w:rFonts w:eastAsia="Times New Roman"/>
                <w:color w:val="000000"/>
                <w:sz w:val="24"/>
                <w:szCs w:val="24"/>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4"/>
                <w:szCs w:val="24"/>
              </w:rPr>
            </w:pPr>
            <w:r>
              <w:rPr>
                <w:color w:val="000000"/>
                <w:sz w:val="24"/>
                <w:szCs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sz w:val="24"/>
                <w:szCs w:val="24"/>
              </w:rPr>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rPr>
            </w:pPr>
            <w:r>
              <w:rPr>
                <w:rFonts w:eastAsia="Times New Roman"/>
                <w:color w:val="000000"/>
                <w:sz w:val="24"/>
                <w:szCs w:val="24"/>
                <w:lang w:eastAsia="ru-RU"/>
              </w:rPr>
            </w:r>
          </w:p>
        </w:tc>
        <w:tc>
          <w:tcPr>
            <w:tcW w:w="5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Fonts w:eastAsia="Times New Roman"/>
                <w:b/>
                <w:color w:val="000000"/>
                <w:sz w:val="24"/>
                <w:szCs w:val="24"/>
                <w:lang w:eastAsia="ru-RU"/>
              </w:rPr>
              <w:t>Итого с НДС/без НДС:</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rPr>
            </w:pPr>
            <w:r>
              <w:rPr>
                <w:rFonts w:eastAsia="Times New Roman"/>
                <w:color w:val="000000"/>
                <w:sz w:val="24"/>
                <w:szCs w:val="24"/>
                <w:lang w:eastAsia="ru-RU"/>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rPr>
            </w:pPr>
            <w:r>
              <w:rPr>
                <w:rFonts w:eastAsia="Times New Roman"/>
                <w:color w:val="000000"/>
                <w:sz w:val="24"/>
                <w:szCs w:val="24"/>
                <w:lang w:eastAsia="ru-RU"/>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b/>
                <w:b/>
                <w:color w:val="000000"/>
                <w:sz w:val="24"/>
                <w:szCs w:val="24"/>
              </w:rPr>
            </w:pPr>
            <w:r>
              <w:rPr>
                <w:b/>
                <w:color w:val="000000"/>
                <w:sz w:val="24"/>
                <w:szCs w:val="24"/>
              </w:rPr>
            </w:r>
          </w:p>
        </w:tc>
      </w:tr>
    </w:tbl>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both"/>
        <w:rPr>
          <w:szCs w:val="24"/>
        </w:rPr>
      </w:pPr>
      <w:r>
        <w:rPr>
          <w:szCs w:val="24"/>
        </w:rPr>
      </w:r>
    </w:p>
    <w:p>
      <w:pPr>
        <w:pStyle w:val="11"/>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rPr>
      </w:pPr>
      <w:r>
        <w:rPr>
          <w:szCs w:val="24"/>
        </w:rPr>
      </w:r>
    </w:p>
    <w:tbl>
      <w:tblPr>
        <w:tblW w:w="9180" w:type="dxa"/>
        <w:jc w:val="center"/>
        <w:tblInd w:w="0" w:type="dxa"/>
        <w:tblLayout w:type="fixed"/>
        <w:tblCellMar>
          <w:top w:w="0" w:type="dxa"/>
          <w:left w:w="108" w:type="dxa"/>
          <w:bottom w:w="0" w:type="dxa"/>
          <w:right w:w="108" w:type="dxa"/>
        </w:tblCellMar>
      </w:tblPr>
      <w:tblGrid>
        <w:gridCol w:w="4820"/>
        <w:gridCol w:w="4359"/>
      </w:tblGrid>
      <w:tr>
        <w:trPr>
          <w:trHeight w:val="61" w:hRule="atLeast"/>
        </w:trPr>
        <w:tc>
          <w:tcPr>
            <w:tcW w:w="4820" w:type="dxa"/>
            <w:tcBorders/>
          </w:tcPr>
          <w:p>
            <w:pPr>
              <w:pStyle w:val="Normal"/>
              <w:widowControl w:val="false"/>
              <w:spacing w:lineRule="auto" w:line="240" w:before="0" w:after="0"/>
              <w:jc w:val="both"/>
              <w:rPr>
                <w:rFonts w:eastAsia="Times New Roman" w:cs="Times New Roman"/>
                <w:color w:val="000000"/>
                <w:sz w:val="24"/>
                <w:szCs w:val="24"/>
                <w:lang w:eastAsia="ar-SA"/>
              </w:rPr>
            </w:pPr>
            <w:r>
              <w:rPr>
                <w:rFonts w:eastAsia="Times New Roman" w:cs="Times New Roman"/>
                <w:color w:val="000000"/>
                <w:sz w:val="24"/>
                <w:szCs w:val="24"/>
                <w:lang w:eastAsia="ar-SA"/>
              </w:rPr>
              <w:t>_________________</w:t>
            </w:r>
          </w:p>
        </w:tc>
        <w:tc>
          <w:tcPr>
            <w:tcW w:w="4359" w:type="dxa"/>
            <w:tcBorders/>
          </w:tcPr>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t>______________</w:t>
            </w:r>
          </w:p>
        </w:tc>
      </w:tr>
      <w:tr>
        <w:trPr>
          <w:trHeight w:val="61" w:hRule="atLeast"/>
        </w:trPr>
        <w:tc>
          <w:tcPr>
            <w:tcW w:w="4820" w:type="dxa"/>
            <w:tcBorders/>
          </w:tcPr>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rFonts w:eastAsia="Calibri"/>
                <w:szCs w:val="24"/>
              </w:rPr>
            </w:pPr>
            <w:r>
              <w:rPr>
                <w:rFonts w:eastAsia="Calibri"/>
                <w:szCs w:val="24"/>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rFonts w:eastAsia="Calibri"/>
                <w:szCs w:val="24"/>
              </w:rPr>
            </w:pPr>
            <w:r>
              <w:rPr>
                <w:rFonts w:eastAsia="Calibri"/>
                <w:szCs w:val="24"/>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rFonts w:eastAsia="Calibri"/>
                <w:szCs w:val="24"/>
              </w:rPr>
              <w:t xml:space="preserve">_________________ </w:t>
            </w:r>
            <w:r>
              <w:rPr>
                <w:color w:val="000000"/>
                <w:szCs w:val="24"/>
                <w:shd w:fill="FFFFFF" w:val="clear"/>
              </w:rPr>
              <w:t>_____________</w:t>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rFonts w:eastAsia="Calibri"/>
                <w:szCs w:val="24"/>
              </w:rPr>
            </w:pPr>
            <w:r>
              <w:rPr>
                <w:rFonts w:eastAsia="Calibri"/>
                <w:szCs w:val="24"/>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rFonts w:eastAsia="Calibri"/>
                <w:szCs w:val="24"/>
              </w:rPr>
            </w:pPr>
            <w:r>
              <w:rPr>
                <w:rFonts w:eastAsia="Calibri"/>
                <w:szCs w:val="24"/>
              </w:rPr>
              <w:t>«___» _________ 2026 г.</w:t>
            </w:r>
          </w:p>
          <w:p>
            <w:pPr>
              <w:pStyle w:val="Normal"/>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0"/>
              <w:jc w:val="both"/>
              <w:rPr>
                <w:rFonts w:eastAsia="Calibri" w:cs="Times New Roman"/>
                <w:sz w:val="24"/>
                <w:szCs w:val="24"/>
              </w:rPr>
            </w:pPr>
            <w:r>
              <w:rPr>
                <w:rFonts w:eastAsia="Calibri" w:cs="Times New Roman"/>
                <w:sz w:val="24"/>
                <w:szCs w:val="24"/>
              </w:rPr>
              <w:t>М.П.</w:t>
            </w:r>
          </w:p>
        </w:tc>
        <w:tc>
          <w:tcPr>
            <w:tcW w:w="4359" w:type="dxa"/>
            <w:tcBorders/>
          </w:tcPr>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t>________________</w:t>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t>«__» ________ 2026 г.</w:t>
            </w:r>
          </w:p>
          <w:p>
            <w:pPr>
              <w:pStyle w:val="11"/>
              <w:widowControl w:val="false"/>
              <w:tabs>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Cs w:val="24"/>
                <w:lang w:eastAsia="en-US"/>
              </w:rPr>
            </w:pPr>
            <w:r>
              <w:rPr>
                <w:szCs w:val="24"/>
                <w:lang w:eastAsia="en-US"/>
              </w:rPr>
              <w:t xml:space="preserve">   </w:t>
            </w:r>
            <w:r>
              <w:rPr>
                <w:szCs w:val="24"/>
                <w:lang w:eastAsia="en-US"/>
              </w:rPr>
              <w:t>М.П.</w:t>
            </w:r>
          </w:p>
        </w:tc>
      </w:tr>
    </w:tbl>
    <w:p>
      <w:pPr>
        <w:sectPr>
          <w:type w:val="nextPage"/>
          <w:pgSz w:w="11906" w:h="16838"/>
          <w:pgMar w:left="1134" w:right="1134" w:gutter="0" w:header="0" w:top="1134" w:footer="0" w:bottom="1134"/>
          <w:pgNumType w:fmt="decimal"/>
          <w:formProt w:val="false"/>
          <w:textDirection w:val="lrTb"/>
          <w:docGrid w:type="default" w:linePitch="360" w:charSpace="0"/>
        </w:sectPr>
      </w:pPr>
      <w:r>
        <w:br w:type="page"/>
      </w:r>
    </w:p>
    <w:p>
      <w:pPr>
        <w:pStyle w:val="11"/>
        <w:spacing w:before="0" w:after="0"/>
        <w:ind w:left="7513" w:right="0" w:hanging="425"/>
        <w:jc w:val="right"/>
        <w:rPr>
          <w:color w:val="auto"/>
          <w:szCs w:val="24"/>
        </w:rPr>
      </w:pPr>
      <w:r>
        <w:rPr>
          <w:color w:val="auto"/>
          <w:szCs w:val="24"/>
        </w:rPr>
        <w:t xml:space="preserve"> </w:t>
      </w:r>
      <w:r>
        <w:rPr>
          <w:color w:val="auto"/>
          <w:szCs w:val="24"/>
        </w:rPr>
        <w:t>Приложение № 1</w:t>
      </w:r>
    </w:p>
    <w:p>
      <w:pPr>
        <w:pStyle w:val="11"/>
        <w:tabs>
          <w:tab w:val="left" w:pos="-31680" w:leader="none"/>
          <w:tab w:val="left" w:pos="-31552" w:leader="none"/>
          <w:tab w:val="left" w:pos="-30844" w:leader="none"/>
          <w:tab w:val="left" w:pos="-30136" w:leader="none"/>
          <w:tab w:val="left" w:pos="-29428" w:leader="none"/>
          <w:tab w:val="left" w:pos="-28720" w:leader="none"/>
          <w:tab w:val="left" w:pos="-28012" w:leader="none"/>
          <w:tab w:val="left" w:pos="-27304" w:leader="none"/>
          <w:tab w:val="left" w:pos="-26596" w:leader="none"/>
          <w:tab w:val="left" w:pos="-25888" w:leader="none"/>
          <w:tab w:val="left" w:pos="-25180" w:leader="none"/>
          <w:tab w:val="left" w:pos="-24472" w:leader="none"/>
          <w:tab w:val="left" w:pos="-23764" w:leader="none"/>
          <w:tab w:val="left" w:pos="-23056" w:leader="none"/>
          <w:tab w:val="left" w:pos="-22348" w:leader="none"/>
          <w:tab w:val="left" w:pos="-21640" w:leader="none"/>
          <w:tab w:val="left" w:pos="-20932" w:leader="none"/>
          <w:tab w:val="left" w:pos="-20224" w:leader="none"/>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540"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 w:val="left" w:pos="29028" w:leader="none"/>
          <w:tab w:val="left" w:pos="29736" w:leader="none"/>
          <w:tab w:val="left" w:pos="30444" w:leader="none"/>
          <w:tab w:val="left" w:pos="31152" w:leader="none"/>
          <w:tab w:val="left" w:pos="31680" w:leader="none"/>
        </w:tabs>
        <w:spacing w:lineRule="auto" w:line="216" w:before="0" w:after="0"/>
        <w:ind w:left="7513" w:right="193" w:hanging="1417"/>
        <w:jc w:val="right"/>
        <w:rPr>
          <w:color w:val="auto"/>
          <w:szCs w:val="24"/>
        </w:rPr>
      </w:pPr>
      <w:r>
        <w:rPr>
          <w:color w:val="auto"/>
          <w:szCs w:val="24"/>
        </w:rPr>
        <w:t>к Договору № ____________</w:t>
      </w:r>
    </w:p>
    <w:p>
      <w:pPr>
        <w:pStyle w:val="11"/>
        <w:tabs>
          <w:tab w:val="left" w:pos="-31680" w:leader="none"/>
          <w:tab w:val="left" w:pos="-31552" w:leader="none"/>
          <w:tab w:val="left" w:pos="-30844" w:leader="none"/>
          <w:tab w:val="left" w:pos="-30136" w:leader="none"/>
          <w:tab w:val="left" w:pos="-29428" w:leader="none"/>
          <w:tab w:val="left" w:pos="-28720" w:leader="none"/>
          <w:tab w:val="left" w:pos="-28012" w:leader="none"/>
          <w:tab w:val="left" w:pos="-27304" w:leader="none"/>
          <w:tab w:val="left" w:pos="-26596" w:leader="none"/>
          <w:tab w:val="left" w:pos="-25888" w:leader="none"/>
          <w:tab w:val="left" w:pos="-25180" w:leader="none"/>
          <w:tab w:val="left" w:pos="-24472" w:leader="none"/>
          <w:tab w:val="left" w:pos="-23764" w:leader="none"/>
          <w:tab w:val="left" w:pos="-23056" w:leader="none"/>
          <w:tab w:val="left" w:pos="-22348" w:leader="none"/>
          <w:tab w:val="left" w:pos="-21640" w:leader="none"/>
          <w:tab w:val="left" w:pos="-20932" w:leader="none"/>
          <w:tab w:val="left" w:pos="-20224" w:leader="none"/>
          <w:tab w:val="left" w:pos="720" w:leader="none"/>
          <w:tab w:val="left" w:pos="1416" w:leader="none"/>
          <w:tab w:val="left" w:pos="2124" w:leader="none"/>
          <w:tab w:val="left" w:pos="2832" w:leader="none"/>
          <w:tab w:val="left" w:pos="3540" w:leader="none"/>
          <w:tab w:val="left" w:pos="4248" w:leader="none"/>
          <w:tab w:val="left" w:pos="4956" w:leader="none"/>
          <w:tab w:val="left" w:pos="5664" w:leader="none"/>
          <w:tab w:val="left" w:pos="5954" w:leader="none"/>
          <w:tab w:val="left" w:pos="7080" w:leader="none"/>
          <w:tab w:val="left" w:pos="7788" w:leader="none"/>
          <w:tab w:val="left" w:pos="8496" w:leader="none"/>
          <w:tab w:val="left" w:pos="9204" w:leader="none"/>
          <w:tab w:val="left" w:pos="9540"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 w:val="left" w:pos="29028" w:leader="none"/>
          <w:tab w:val="left" w:pos="29736" w:leader="none"/>
          <w:tab w:val="left" w:pos="30444" w:leader="none"/>
          <w:tab w:val="left" w:pos="31152" w:leader="none"/>
          <w:tab w:val="left" w:pos="31680" w:leader="none"/>
        </w:tabs>
        <w:spacing w:lineRule="auto" w:line="216" w:before="0" w:after="0"/>
        <w:ind w:left="0" w:right="193" w:hanging="0"/>
        <w:jc w:val="right"/>
        <w:rPr>
          <w:color w:val="auto"/>
          <w:szCs w:val="24"/>
        </w:rPr>
      </w:pPr>
      <w:r>
        <w:rPr>
          <w:color w:val="auto"/>
          <w:szCs w:val="24"/>
        </w:rPr>
        <w:tab/>
        <w:tab/>
        <w:tab/>
        <w:tab/>
        <w:tab/>
        <w:tab/>
        <w:tab/>
        <w:t>от «     » ________ 2026 г.</w:t>
      </w:r>
    </w:p>
    <w:tbl>
      <w:tblPr>
        <w:tblW w:w="14520" w:type="dxa"/>
        <w:jc w:val="left"/>
        <w:tblInd w:w="33" w:type="dxa"/>
        <w:tblLayout w:type="fixed"/>
        <w:tblCellMar>
          <w:top w:w="0" w:type="dxa"/>
          <w:left w:w="108" w:type="dxa"/>
          <w:bottom w:w="0" w:type="dxa"/>
          <w:right w:w="108" w:type="dxa"/>
        </w:tblCellMar>
      </w:tblPr>
      <w:tblGrid>
        <w:gridCol w:w="450"/>
        <w:gridCol w:w="1530"/>
        <w:gridCol w:w="1381"/>
        <w:gridCol w:w="1564"/>
        <w:gridCol w:w="1658"/>
        <w:gridCol w:w="1411"/>
        <w:gridCol w:w="3184"/>
        <w:gridCol w:w="3340"/>
      </w:tblGrid>
      <w:tr>
        <w:trPr>
          <w:trHeight w:val="510" w:hRule="atLeast"/>
        </w:trPr>
        <w:tc>
          <w:tcPr>
            <w:tcW w:w="14518" w:type="dxa"/>
            <w:gridSpan w:val="8"/>
            <w:tcBorders>
              <w:bottom w:val="single" w:sz="4" w:space="0" w:color="000000"/>
            </w:tcBorders>
            <w:vAlign w:val="center"/>
          </w:tcPr>
          <w:p>
            <w:pPr>
              <w:pStyle w:val="Normal"/>
              <w:widowControl w:val="false"/>
              <w:bidi w:val="0"/>
              <w:spacing w:lineRule="auto" w:line="240" w:before="0" w:after="0"/>
              <w:jc w:val="center"/>
              <w:rPr>
                <w:rFonts w:ascii="Times New Roman" w:hAnsi="Times New Roman" w:cs="Times New Roman"/>
                <w:b/>
                <w:b/>
                <w:sz w:val="28"/>
                <w:szCs w:val="28"/>
              </w:rPr>
            </w:pPr>
            <w:r>
              <w:rPr>
                <w:rFonts w:cs="Times New Roman"/>
                <w:b/>
                <w:sz w:val="28"/>
                <w:szCs w:val="28"/>
              </w:rPr>
              <w:t>Описание объекта закупки</w:t>
            </w:r>
          </w:p>
          <w:p>
            <w:pPr>
              <w:pStyle w:val="Normal"/>
              <w:widowControl w:val="false"/>
              <w:bidi w:val="0"/>
              <w:spacing w:lineRule="auto" w:line="240" w:before="0" w:after="0"/>
              <w:jc w:val="center"/>
              <w:rPr>
                <w:rFonts w:ascii="Times New Roman" w:hAnsi="Times New Roman" w:cs="Times New Roman"/>
                <w:b/>
                <w:b/>
                <w:sz w:val="28"/>
                <w:szCs w:val="28"/>
              </w:rPr>
            </w:pPr>
            <w:r>
              <w:rPr>
                <w:rFonts w:cs="Times New Roman"/>
                <w:b/>
                <w:sz w:val="28"/>
                <w:szCs w:val="28"/>
              </w:rPr>
            </w:r>
          </w:p>
          <w:p>
            <w:pPr>
              <w:pStyle w:val="Normal"/>
              <w:widowControl w:val="false"/>
              <w:bidi w:val="0"/>
              <w:spacing w:lineRule="auto" w:line="240" w:before="0" w:after="0"/>
              <w:jc w:val="center"/>
              <w:rPr/>
            </w:pPr>
            <w:r>
              <w:rPr>
                <w:rFonts w:eastAsia="Times New Roman" w:cs="Times New Roman"/>
                <w:b/>
                <w:bCs/>
                <w:i w:val="false"/>
                <w:caps w:val="false"/>
                <w:smallCaps w:val="false"/>
                <w:color w:val="000000"/>
                <w:spacing w:val="0"/>
                <w:kern w:val="0"/>
                <w:sz w:val="28"/>
                <w:szCs w:val="28"/>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w:t>
            </w:r>
            <w:r>
              <w:rPr>
                <w:rFonts w:eastAsia="Times New Roman" w:cs="Times New Roman"/>
                <w:b/>
                <w:bCs/>
                <w:i w:val="false"/>
                <w:caps w:val="false"/>
                <w:smallCaps w:val="false"/>
                <w:color w:val="000000"/>
                <w:spacing w:val="0"/>
                <w:kern w:val="0"/>
                <w:sz w:val="28"/>
                <w:szCs w:val="28"/>
                <w:shd w:fill="FFFFFF" w:val="clear"/>
                <w:lang w:val="ru-RU" w:eastAsia="ru-RU" w:bidi="ar-SA"/>
              </w:rPr>
              <w:t xml:space="preserve">В </w:t>
            </w:r>
            <w:r>
              <w:rPr>
                <w:rFonts w:eastAsia="Times New Roman" w:cs="Times New Roman"/>
                <w:b/>
                <w:bCs/>
                <w:i w:val="false"/>
                <w:caps w:val="false"/>
                <w:smallCaps w:val="false"/>
                <w:color w:val="000000"/>
                <w:spacing w:val="0"/>
                <w:kern w:val="0"/>
                <w:sz w:val="28"/>
                <w:szCs w:val="28"/>
                <w:lang w:val="ru-RU" w:eastAsia="ru-RU" w:bidi="ar-SA"/>
              </w:rPr>
              <w:t xml:space="preserve">случае отсутствия соответствующих позиций в КТРУ описание объекта закупки осуществляется </w:t>
            </w:r>
            <w:r>
              <w:rPr>
                <w:rFonts w:eastAsia="Times New Roman" w:cs="Times New Roman"/>
                <w:b/>
                <w:bCs/>
                <w:color w:val="000000"/>
                <w:kern w:val="0"/>
                <w:sz w:val="28"/>
                <w:szCs w:val="28"/>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r>
          </w:p>
        </w:tc>
      </w:tr>
      <w:tr>
        <w:trPr>
          <w:trHeight w:val="315"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1</w:t>
            </w:r>
          </w:p>
        </w:tc>
        <w:tc>
          <w:tcPr>
            <w:tcW w:w="1406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Наименование объекта закупки</w:t>
            </w:r>
          </w:p>
        </w:tc>
      </w:tr>
      <w:tr>
        <w:trPr>
          <w:trHeight w:val="480" w:hRule="atLeast"/>
        </w:trPr>
        <w:tc>
          <w:tcPr>
            <w:tcW w:w="14518"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ind w:left="-107" w:right="-46" w:hanging="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Поставка лицензионной операционной системы для средств защиты информации взамен устаревшей для нужд Главного управления МЧС России по Астраханской области</w:t>
            </w:r>
          </w:p>
        </w:tc>
      </w:tr>
      <w:tr>
        <w:trPr>
          <w:trHeight w:val="611"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2</w:t>
            </w:r>
          </w:p>
        </w:tc>
        <w:tc>
          <w:tcPr>
            <w:tcW w:w="1406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268"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Cs/>
                <w:color w:val="000000"/>
                <w:sz w:val="28"/>
                <w:szCs w:val="28"/>
                <w:lang w:eastAsia="ru-RU"/>
              </w:rPr>
            </w:pPr>
            <w:r>
              <w:rPr>
                <w:rFonts w:eastAsia="Times New Roman" w:cs="Times New Roman"/>
                <w:bCs/>
                <w:color w:val="000000"/>
                <w:sz w:val="28"/>
                <w:szCs w:val="28"/>
                <w:lang w:eastAsia="ru-RU"/>
              </w:rPr>
              <w:t>2.1</w:t>
            </w:r>
          </w:p>
        </w:tc>
        <w:tc>
          <w:tcPr>
            <w:tcW w:w="1406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Cs/>
                <w:color w:val="000000"/>
                <w:sz w:val="28"/>
                <w:szCs w:val="28"/>
                <w:lang w:eastAsia="ru-RU"/>
              </w:rPr>
            </w:pPr>
            <w:r>
              <w:rPr>
                <w:rFonts w:eastAsia="Times New Roman" w:cs="Times New Roman"/>
                <w:bCs/>
                <w:color w:val="000000"/>
                <w:sz w:val="28"/>
                <w:szCs w:val="28"/>
                <w:lang w:eastAsia="ru-RU"/>
              </w:rPr>
              <w:t>При закупке работ, услуг</w:t>
            </w:r>
          </w:p>
        </w:tc>
      </w:tr>
      <w:tr>
        <w:trPr>
          <w:trHeight w:val="555" w:hRule="atLeast"/>
        </w:trPr>
        <w:tc>
          <w:tcPr>
            <w:tcW w:w="14518"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200"/>
              <w:ind w:left="0" w:right="0" w:firstLine="709"/>
              <w:jc w:val="center"/>
              <w:rPr>
                <w:rFonts w:ascii="PT Astra Serif" w:hAnsi="PT Astra Serif" w:eastAsia="Times New Roman" w:cs="PT Astra Serif"/>
                <w:b/>
                <w:b/>
                <w:bCs/>
                <w:sz w:val="28"/>
                <w:szCs w:val="28"/>
                <w:lang w:eastAsia="ru-RU"/>
              </w:rPr>
            </w:pPr>
            <w:r>
              <w:rPr>
                <w:rFonts w:eastAsia="Times New Roman" w:cs="PT Astra Serif" w:ascii="PT Astra Serif" w:hAnsi="PT Astra Serif"/>
                <w:b/>
                <w:bCs/>
                <w:sz w:val="28"/>
                <w:szCs w:val="28"/>
                <w:lang w:eastAsia="ru-RU"/>
              </w:rPr>
              <w:t>-</w:t>
            </w:r>
          </w:p>
        </w:tc>
      </w:tr>
      <w:tr>
        <w:trPr>
          <w:trHeight w:val="566"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Cs/>
                <w:color w:val="000000"/>
                <w:sz w:val="28"/>
                <w:szCs w:val="28"/>
                <w:lang w:eastAsia="ru-RU"/>
              </w:rPr>
            </w:pPr>
            <w:r>
              <w:rPr>
                <w:rFonts w:eastAsia="Times New Roman" w:cs="Times New Roman"/>
                <w:bCs/>
                <w:color w:val="000000"/>
                <w:sz w:val="28"/>
                <w:szCs w:val="28"/>
                <w:lang w:eastAsia="ru-RU"/>
              </w:rPr>
              <w:t>2.2</w:t>
            </w:r>
          </w:p>
        </w:tc>
        <w:tc>
          <w:tcPr>
            <w:tcW w:w="1406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Cs/>
                <w:color w:val="000000"/>
                <w:sz w:val="28"/>
                <w:szCs w:val="28"/>
                <w:lang w:eastAsia="ru-RU"/>
              </w:rPr>
            </w:pPr>
            <w:r>
              <w:rPr>
                <w:rFonts w:eastAsia="Times New Roman" w:cs="Times New Roman"/>
                <w:bCs/>
                <w:color w:val="000000"/>
                <w:sz w:val="28"/>
                <w:szCs w:val="28"/>
                <w:lang w:eastAsia="ru-RU"/>
              </w:rPr>
              <w:t>При закупке товара (в том числе поставляемого Заказчику при выполнении закупаемых работ, оказании закупаемых услуг)</w:t>
            </w:r>
          </w:p>
        </w:tc>
      </w:tr>
      <w:tr>
        <w:trPr>
          <w:trHeight w:val="1390"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jc w:val="center"/>
              <w:rPr/>
            </w:pPr>
            <w:r>
              <w:rPr>
                <w:rFonts w:cs="Times New Roman"/>
                <w:color w:val="000000"/>
                <w:sz w:val="28"/>
                <w:szCs w:val="28"/>
              </w:rPr>
              <w:t>№</w:t>
            </w:r>
            <w:r>
              <w:rPr>
                <w:rFonts w:eastAsia="Times New Roman" w:cs="Times New Roman"/>
                <w:color w:val="000000"/>
                <w:sz w:val="28"/>
                <w:szCs w:val="28"/>
              </w:rPr>
              <w:t xml:space="preserve"> </w:t>
            </w:r>
            <w:r>
              <w:rPr>
                <w:rFonts w:cs="Times New Roman"/>
                <w:color w:val="000000"/>
                <w:sz w:val="28"/>
                <w:szCs w:val="28"/>
              </w:rPr>
              <w:t>п</w:t>
            </w:r>
            <w:r>
              <w:rPr>
                <w:rFonts w:cs="Times New Roman"/>
                <w:color w:val="000000"/>
                <w:sz w:val="28"/>
                <w:szCs w:val="28"/>
                <w:lang w:val="en-US"/>
              </w:rPr>
              <w:t>/</w:t>
            </w:r>
            <w:r>
              <w:rPr>
                <w:rFonts w:cs="Times New Roman"/>
                <w:color w:val="000000"/>
                <w:sz w:val="28"/>
                <w:szCs w:val="28"/>
              </w:rPr>
              <w:t>п</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7" w:right="-46" w:hanging="0"/>
              <w:jc w:val="center"/>
              <w:rPr>
                <w:rFonts w:ascii="Times New Roman" w:hAnsi="Times New Roman" w:cs="Times New Roman"/>
                <w:color w:val="000000"/>
                <w:sz w:val="28"/>
                <w:szCs w:val="28"/>
              </w:rPr>
            </w:pPr>
            <w:r>
              <w:rPr>
                <w:rFonts w:cs="Times New Roman"/>
                <w:color w:val="000000"/>
                <w:sz w:val="28"/>
                <w:szCs w:val="28"/>
              </w:rPr>
              <w:t>Наимено-вание товара</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98" w:hanging="0"/>
              <w:jc w:val="center"/>
              <w:rPr>
                <w:rFonts w:ascii="Times New Roman" w:hAnsi="Times New Roman" w:cs="Times New Roman"/>
                <w:color w:val="000000"/>
                <w:sz w:val="28"/>
                <w:szCs w:val="28"/>
              </w:rPr>
            </w:pPr>
            <w:r>
              <w:rPr>
                <w:rFonts w:cs="Times New Roman"/>
                <w:color w:val="000000"/>
                <w:sz w:val="28"/>
                <w:szCs w:val="28"/>
              </w:rPr>
              <w:t>Номер позиции Каталога товаров, работ, услуг</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color w:val="000000"/>
                <w:sz w:val="28"/>
                <w:szCs w:val="28"/>
              </w:rPr>
            </w:pPr>
            <w:r>
              <w:rPr>
                <w:rFonts w:cs="Times New Roman"/>
                <w:color w:val="000000"/>
                <w:sz w:val="28"/>
                <w:szCs w:val="28"/>
              </w:rPr>
              <w:t>Наимено-вание характерис-тики товара</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8"/>
                <w:szCs w:val="28"/>
              </w:rPr>
            </w:pPr>
            <w:r>
              <w:rPr>
                <w:rFonts w:cs="Times New Roman"/>
                <w:b w:val="false"/>
                <w:bCs w:val="false"/>
                <w:i w:val="false"/>
                <w:caps w:val="false"/>
                <w:smallCaps w:val="false"/>
                <w:color w:val="000000"/>
                <w:spacing w:val="0"/>
                <w:sz w:val="28"/>
                <w:szCs w:val="28"/>
              </w:rPr>
              <w:t>Значение характеристики</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8"/>
                <w:szCs w:val="28"/>
              </w:rPr>
            </w:pPr>
            <w:r>
              <w:rPr>
                <w:rFonts w:cs="Times New Roman"/>
                <w:b w:val="false"/>
                <w:bCs w:val="false"/>
                <w:i w:val="false"/>
                <w:caps w:val="false"/>
                <w:smallCaps w:val="false"/>
                <w:color w:val="000000"/>
                <w:spacing w:val="0"/>
                <w:sz w:val="28"/>
                <w:szCs w:val="28"/>
              </w:rPr>
              <w:t>Единица измерения характеристики</w:t>
            </w:r>
          </w:p>
        </w:tc>
        <w:tc>
          <w:tcPr>
            <w:tcW w:w="3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8"/>
                <w:szCs w:val="28"/>
              </w:rPr>
            </w:pPr>
            <w:r>
              <w:rPr>
                <w:rFonts w:cs="Times New Roman"/>
                <w:b w:val="false"/>
                <w:bCs w:val="false"/>
                <w:i w:val="false"/>
                <w:caps w:val="false"/>
                <w:smallCaps w:val="false"/>
                <w:color w:val="000000"/>
                <w:spacing w:val="0"/>
                <w:sz w:val="28"/>
                <w:szCs w:val="28"/>
              </w:rPr>
              <w:t xml:space="preserve">Инструкция </w:t>
            </w:r>
          </w:p>
          <w:p>
            <w:pPr>
              <w:pStyle w:val="Normal"/>
              <w:widowControl w:val="false"/>
              <w:bidi w:val="0"/>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8"/>
                <w:szCs w:val="28"/>
              </w:rPr>
            </w:pPr>
            <w:r>
              <w:rPr>
                <w:rFonts w:cs="Times New Roman"/>
                <w:b w:val="false"/>
                <w:bCs w:val="false"/>
                <w:i w:val="false"/>
                <w:caps w:val="false"/>
                <w:smallCaps w:val="false"/>
                <w:color w:val="000000"/>
                <w:spacing w:val="0"/>
                <w:sz w:val="28"/>
                <w:szCs w:val="28"/>
              </w:rPr>
              <w:t>по заполнению характеристики в заявке</w:t>
            </w:r>
          </w:p>
        </w:tc>
        <w:tc>
          <w:tcPr>
            <w:tcW w:w="33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8"/>
                <w:szCs w:val="28"/>
              </w:rPr>
            </w:pPr>
            <w:r>
              <w:rPr>
                <w:rFonts w:cs="Times New Roman"/>
                <w:b w:val="false"/>
                <w:bCs w:val="false"/>
                <w:i w:val="false"/>
                <w:caps w:val="false"/>
                <w:smallCaps w:val="false"/>
                <w:color w:val="000000"/>
                <w:spacing w:val="0"/>
                <w:sz w:val="28"/>
                <w:szCs w:val="28"/>
              </w:rPr>
              <w:t>Обоснование включения дополнительной информации в сведения о товаре, работе, услуге</w:t>
            </w:r>
          </w:p>
        </w:tc>
      </w:tr>
      <w:tr>
        <w:trPr>
          <w:trHeight w:val="1390" w:hRule="atLeast"/>
        </w:trPr>
        <w:tc>
          <w:tcPr>
            <w:tcW w:w="450" w:type="dxa"/>
            <w:vMerge w:val="restart"/>
            <w:tcBorders>
              <w:left w:val="single" w:sz="4" w:space="0" w:color="000000"/>
              <w:bottom w:val="single" w:sz="4" w:space="0" w:color="000000"/>
              <w:right w:val="single" w:sz="4" w:space="0" w:color="000000"/>
            </w:tcBorders>
            <w:vAlign w:val="center"/>
          </w:tcPr>
          <w:p>
            <w:pPr>
              <w:pStyle w:val="Normal"/>
              <w:widowControl w:val="false"/>
              <w:bidi w:val="0"/>
              <w:spacing w:before="0" w:after="160"/>
              <w:jc w:val="center"/>
              <w:rPr>
                <w:rFonts w:ascii="Times New Roman" w:hAnsi="Times New Roman" w:cs="Times New Roman"/>
                <w:color w:val="000000"/>
                <w:sz w:val="24"/>
                <w:szCs w:val="24"/>
              </w:rPr>
            </w:pPr>
            <w:r>
              <w:rPr>
                <w:rFonts w:cs="Times New Roman"/>
                <w:color w:val="000000"/>
                <w:sz w:val="24"/>
                <w:szCs w:val="24"/>
              </w:rPr>
              <w:t>1</w:t>
            </w:r>
          </w:p>
        </w:tc>
        <w:tc>
          <w:tcPr>
            <w:tcW w:w="1530" w:type="dxa"/>
            <w:vMerge w:val="restart"/>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color w:val="000000"/>
                <w:sz w:val="24"/>
                <w:szCs w:val="24"/>
              </w:rPr>
            </w:pPr>
            <w:r>
              <w:rPr>
                <w:color w:val="000000"/>
                <w:sz w:val="24"/>
                <w:szCs w:val="24"/>
              </w:rPr>
              <w:t>Лицензион-ная операцион-ная система специально-го назначе-ния</w:t>
            </w:r>
          </w:p>
        </w:tc>
        <w:tc>
          <w:tcPr>
            <w:tcW w:w="1381" w:type="dxa"/>
            <w:vMerge w:val="restart"/>
            <w:tcBorders>
              <w:left w:val="single" w:sz="4" w:space="0" w:color="000000"/>
              <w:bottom w:val="single" w:sz="4" w:space="0" w:color="000000"/>
              <w:right w:val="single" w:sz="4" w:space="0" w:color="000000"/>
            </w:tcBorders>
            <w:vAlign w:val="center"/>
          </w:tcPr>
          <w:p>
            <w:pPr>
              <w:pStyle w:val="Normal"/>
              <w:widowControl w:val="false"/>
              <w:bidi w:val="0"/>
              <w:spacing w:before="0" w:after="200"/>
              <w:rPr>
                <w:b w:val="false"/>
                <w:b w:val="false"/>
                <w:i w:val="false"/>
                <w:i w:val="false"/>
                <w:strike w:val="false"/>
                <w:dstrike w:val="false"/>
                <w:outline w:val="false"/>
                <w:shadow w:val="false"/>
                <w:sz w:val="24"/>
                <w:szCs w:val="24"/>
                <w:u w:val="none"/>
                <w:em w:val="none"/>
              </w:rPr>
            </w:pPr>
            <w:r>
              <w:rPr>
                <w:b w:val="false"/>
                <w:i w:val="false"/>
                <w:strike w:val="false"/>
                <w:dstrike w:val="false"/>
                <w:outline w:val="false"/>
                <w:shadow w:val="false"/>
                <w:sz w:val="24"/>
                <w:szCs w:val="24"/>
                <w:u w:val="none"/>
                <w:em w:val="none"/>
              </w:rPr>
              <w:t>58.29.11.000</w:t>
            </w:r>
          </w:p>
        </w:tc>
        <w:tc>
          <w:tcPr>
            <w:tcW w:w="1564" w:type="dxa"/>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pPr>
            <w:r>
              <w:rPr>
                <w:rStyle w:val="Strong"/>
                <w:b w:val="false"/>
                <w:bCs w:val="false"/>
                <w:sz w:val="24"/>
                <w:szCs w:val="24"/>
              </w:rPr>
              <w:t>Верифицированный дистрибу-тив</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наличие</w:t>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184"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Значение характеристики не может изменяться участником закупки </w:t>
            </w:r>
          </w:p>
        </w:tc>
        <w:tc>
          <w:tcPr>
            <w:tcW w:w="3340"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755" w:hRule="atLeast"/>
        </w:trPr>
        <w:tc>
          <w:tcPr>
            <w:tcW w:w="45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3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38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64" w:type="dxa"/>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pPr>
            <w:r>
              <w:rPr>
                <w:rStyle w:val="Strong"/>
                <w:b w:val="false"/>
                <w:bCs w:val="false"/>
                <w:sz w:val="24"/>
                <w:szCs w:val="24"/>
              </w:rPr>
              <w:t>Лицензия</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бессрочная</w:t>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184"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Значение характеристики не может изменяться участником закупки </w:t>
            </w:r>
          </w:p>
        </w:tc>
        <w:tc>
          <w:tcPr>
            <w:tcW w:w="3340"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1390" w:hRule="atLeast"/>
        </w:trPr>
        <w:tc>
          <w:tcPr>
            <w:tcW w:w="45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3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38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64" w:type="dxa"/>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pPr>
            <w:r>
              <w:rPr>
                <w:rStyle w:val="Strong"/>
                <w:b w:val="false"/>
                <w:bCs w:val="false"/>
                <w:sz w:val="24"/>
                <w:szCs w:val="24"/>
              </w:rPr>
              <w:t>Службы контроля учетных записей и дискрецион-ного контроля доступом</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наличие</w:t>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184"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Значение характеристики не может изменяться участником закупки </w:t>
            </w:r>
          </w:p>
        </w:tc>
        <w:tc>
          <w:tcPr>
            <w:tcW w:w="3340"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893" w:hRule="atLeast"/>
        </w:trPr>
        <w:tc>
          <w:tcPr>
            <w:tcW w:w="45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3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38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64" w:type="dxa"/>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pPr>
            <w:r>
              <w:rPr>
                <w:rStyle w:val="Strong"/>
                <w:b w:val="false"/>
                <w:bCs w:val="false"/>
                <w:sz w:val="24"/>
                <w:szCs w:val="24"/>
              </w:rPr>
              <w:t>Уровень защищен-ности</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максимальный</w:t>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184"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Значение характеристики не может изменяться участником закупки </w:t>
            </w:r>
          </w:p>
        </w:tc>
        <w:tc>
          <w:tcPr>
            <w:tcW w:w="3340"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855" w:hRule="atLeast"/>
        </w:trPr>
        <w:tc>
          <w:tcPr>
            <w:tcW w:w="45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3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38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76" w:before="0" w:after="200"/>
              <w:jc w:val="left"/>
              <w:rPr/>
            </w:pPr>
            <w:r>
              <w:rPr/>
            </w:r>
          </w:p>
        </w:tc>
        <w:tc>
          <w:tcPr>
            <w:tcW w:w="1564" w:type="dxa"/>
            <w:tcBorders>
              <w:left w:val="single" w:sz="4" w:space="0" w:color="000000"/>
              <w:bottom w:val="single" w:sz="4" w:space="0" w:color="000000"/>
              <w:right w:val="single" w:sz="4" w:space="0" w:color="000000"/>
            </w:tcBorders>
            <w:vAlign w:val="center"/>
          </w:tcPr>
          <w:p>
            <w:pPr>
              <w:pStyle w:val="Normal"/>
              <w:widowControl w:val="false"/>
              <w:bidi w:val="0"/>
              <w:spacing w:before="0" w:after="200"/>
              <w:jc w:val="left"/>
              <w:rPr>
                <w:sz w:val="24"/>
                <w:szCs w:val="24"/>
              </w:rPr>
            </w:pPr>
            <w:r>
              <w:rPr>
                <w:sz w:val="24"/>
                <w:szCs w:val="24"/>
              </w:rPr>
              <w:t xml:space="preserve">Сертификат </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spacing w:before="0" w:after="160"/>
              <w:ind w:left="-108" w:right="-103"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Наличие сертификата ФСТЭК России </w:t>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2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c>
          <w:tcPr>
            <w:tcW w:w="3184"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211"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t xml:space="preserve">Значение характеристики не может изменяться участником закупки </w:t>
            </w:r>
          </w:p>
        </w:tc>
        <w:tc>
          <w:tcPr>
            <w:tcW w:w="3340" w:type="dxa"/>
            <w:tcBorders>
              <w:left w:val="single" w:sz="4" w:space="0" w:color="000000"/>
              <w:bottom w:val="single" w:sz="4" w:space="0" w:color="000000"/>
              <w:right w:val="single" w:sz="4" w:space="0" w:color="000000"/>
            </w:tcBorders>
            <w:vAlign w:val="center"/>
          </w:tcPr>
          <w:p>
            <w:pPr>
              <w:pStyle w:val="Normal"/>
              <w:widowControl w:val="false"/>
              <w:bidi w:val="0"/>
              <w:snapToGrid w:val="false"/>
              <w:spacing w:before="0" w:after="160"/>
              <w:ind w:left="-108" w:right="-108" w:hanging="0"/>
              <w:jc w:val="center"/>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b w:val="false"/>
                <w:bCs w:val="false"/>
                <w:i w:val="false"/>
                <w:caps w:val="false"/>
                <w:smallCaps w:val="false"/>
                <w:color w:val="000000"/>
                <w:spacing w:val="0"/>
                <w:sz w:val="24"/>
                <w:szCs w:val="24"/>
              </w:rPr>
            </w:r>
          </w:p>
        </w:tc>
      </w:tr>
      <w:tr>
        <w:trPr>
          <w:trHeight w:val="675"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3</w:t>
            </w:r>
          </w:p>
        </w:tc>
        <w:tc>
          <w:tcPr>
            <w:tcW w:w="1406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b/>
                <w:bCs/>
                <w:color w:val="000000"/>
                <w:sz w:val="28"/>
                <w:szCs w:val="28"/>
                <w:lang w:eastAsia="ru-RU"/>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w:t>
            </w:r>
          </w:p>
        </w:tc>
      </w:tr>
      <w:tr>
        <w:trPr>
          <w:trHeight w:val="1152" w:hRule="exact"/>
        </w:trPr>
        <w:tc>
          <w:tcPr>
            <w:tcW w:w="14518"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ind w:left="0" w:right="0" w:hanging="0"/>
              <w:jc w:val="both"/>
              <w:rPr>
                <w:rFonts w:ascii="PT Astra Serif" w:hAnsi="PT Astra Serif" w:eastAsia="Times New Roman" w:cs="PT Astra Serif"/>
                <w:color w:val="000000"/>
                <w:sz w:val="28"/>
                <w:szCs w:val="28"/>
                <w:shd w:fill="auto" w:val="clear"/>
                <w:lang w:eastAsia="ru-RU"/>
              </w:rPr>
            </w:pPr>
            <w:r>
              <w:rPr>
                <w:rFonts w:eastAsia="Times New Roman" w:cs="PT Astra Serif" w:ascii="PT Astra Serif" w:hAnsi="PT Astra Serif"/>
                <w:color w:val="000000"/>
                <w:sz w:val="28"/>
                <w:szCs w:val="28"/>
                <w:shd w:fill="auto" w:val="clear"/>
                <w:lang w:eastAsia="ru-RU"/>
              </w:rPr>
              <w:t>С даты передачи лицензии и в течение всего срока ее действия.</w:t>
            </w:r>
          </w:p>
        </w:tc>
      </w:tr>
    </w:tbl>
    <w:p>
      <w:pPr>
        <w:pStyle w:val="Normal"/>
        <w:bidi w:val="0"/>
        <w:ind w:left="0" w:right="0" w:firstLine="709"/>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 xml:space="preserve">Программный продукт должен быть включен в Единый реестр российских программ для электронных машин </w:t>
      </w:r>
    </w:p>
    <w:p>
      <w:pPr>
        <w:pStyle w:val="Normal"/>
        <w:bidi w:val="0"/>
        <w:ind w:left="0" w:right="0" w:firstLine="709"/>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и баз данных.</w:t>
      </w:r>
    </w:p>
    <w:p>
      <w:pPr>
        <w:pStyle w:val="Normal"/>
        <w:bidi w:val="0"/>
        <w:ind w:left="0" w:right="0" w:firstLine="709"/>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Количество поставляемого товара — 3 шт.</w:t>
      </w:r>
    </w:p>
    <w:p>
      <w:pPr>
        <w:pStyle w:val="Normal"/>
        <w:bidi w:val="0"/>
        <w:spacing w:lineRule="auto" w:line="240" w:before="0" w:after="0"/>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ab/>
        <w:t>Доставка продукции Сублицензиату производится по адресу: Астраханская область,  г. Астрахань, ул. Тамбовская, 3.</w:t>
      </w:r>
    </w:p>
    <w:p>
      <w:pPr>
        <w:pStyle w:val="Normal"/>
        <w:bidi w:val="0"/>
        <w:spacing w:lineRule="auto" w:line="240" w:before="0" w:after="0"/>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ab/>
        <w:t xml:space="preserve">Срок поставки товара: в течение 30 (тридцати) дней с даты заключения договора. </w:t>
      </w:r>
    </w:p>
    <w:p>
      <w:pPr>
        <w:pStyle w:val="Normal"/>
        <w:bidi w:val="0"/>
        <w:spacing w:lineRule="auto" w:line="240" w:before="0" w:after="0"/>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ab/>
        <w:t>Поставка продукции производится Сублицензиаром/Лицензиаром в рабочие дни:с понедельника по четверг с 09.30 ч. до 17.30 ч., в пятницу с 09.30 ч. до 16.30 ч., обеденный перерыв с 13.00 ч. до 13.45 ч. (время местное). Сублицензиар не менее чем за 1 (один) рабочий день до осуществления поставки продукции уведомляет Сублицензиата о времени и дате доставки.</w:t>
      </w:r>
    </w:p>
    <w:p>
      <w:pPr>
        <w:pStyle w:val="Normal"/>
        <w:bidi w:val="0"/>
        <w:spacing w:lineRule="auto" w:line="240" w:before="0" w:after="0"/>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ab/>
        <w:t>Поставка продукции осуществляется в упаковке, обеспечивающей сохранность товара. Вся продукция при отгрузке должна быть должным образом упакована. Упаковка должна обеспечивать сохранность продукции при транспортировке.</w:t>
      </w:r>
    </w:p>
    <w:p>
      <w:pPr>
        <w:pStyle w:val="Normal"/>
        <w:bidi w:val="0"/>
        <w:spacing w:lineRule="auto" w:line="240" w:before="0" w:after="0"/>
        <w:jc w:val="both"/>
        <w:rPr>
          <w:rFonts w:ascii="Times New Roman" w:hAnsi="Times New Roman" w:eastAsia="Times New Roman" w:cs="Times New Roman"/>
          <w:color w:val="auto"/>
          <w:kern w:val="0"/>
          <w:sz w:val="24"/>
          <w:szCs w:val="24"/>
          <w:lang w:val="en-US" w:eastAsia="en-US" w:bidi="ar-SA"/>
        </w:rPr>
      </w:pPr>
      <w:r>
        <w:rPr>
          <w:rFonts w:eastAsia="Times New Roman" w:cs="Times New Roman"/>
          <w:color w:val="auto"/>
          <w:kern w:val="0"/>
          <w:sz w:val="24"/>
          <w:szCs w:val="24"/>
          <w:lang w:val="en-US" w:eastAsia="en-US" w:bidi="ar-SA"/>
        </w:rPr>
        <w:tab/>
        <w:t>Требования к документации: Сублицензиар при передаче продукции предоставляет Сублицензиату необходимые для данного вида продукции документы: лицензию (право на использование) и другие документы предусмотренные законодательством Российской Федерации (при наличии).</w:t>
      </w:r>
    </w:p>
    <w:sectPr>
      <w:type w:val="nextPage"/>
      <w:pgSz w:orient="landscape" w:w="16838" w:h="11906"/>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Cambria">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tabs>
        <w:tab w:val="clear" w:pos="708"/>
        <w:tab w:val="left" w:pos="720" w:leader="none"/>
      </w:tabs>
      <w:suppressAutoHyphens w:val="true"/>
      <w:overflowPunct w:val="true"/>
      <w:bidi w:val="0"/>
      <w:spacing w:lineRule="auto" w:line="276" w:before="0" w:after="200"/>
      <w:jc w:val="left"/>
    </w:pPr>
    <w:rPr>
      <w:rFonts w:ascii="Times New Roman" w:hAnsi="Times New Roman" w:eastAsia="Times New Roman" w:cs="Times New Roman"/>
      <w:color w:val="auto"/>
      <w:kern w:val="0"/>
      <w:sz w:val="24"/>
      <w:szCs w:val="24"/>
      <w:lang w:val="en-US" w:eastAsia="en-US" w:bidi="ar-SA"/>
    </w:rPr>
  </w:style>
  <w:style w:type="paragraph" w:styleId="1">
    <w:name w:val="Heading 1"/>
    <w:basedOn w:val="Style15"/>
    <w:qFormat/>
    <w:pPr/>
    <w:rPr/>
  </w:style>
  <w:style w:type="character" w:styleId="DefaultParagraphFont">
    <w:name w:val="Default Paragraph Font"/>
    <w:qFormat/>
    <w:rPr/>
  </w:style>
  <w:style w:type="character" w:styleId="Style13">
    <w:name w:val="Интернет-ссылка"/>
    <w:rPr>
      <w:color w:val="0000FF"/>
      <w:u w:val="single"/>
    </w:rPr>
  </w:style>
  <w:style w:type="character" w:styleId="Style14">
    <w:name w:val="Текст Знак"/>
    <w:basedOn w:val="DefaultParagraphFont"/>
    <w:link w:val="PlainText"/>
    <w:qFormat/>
    <w:rPr>
      <w:rFonts w:ascii="Courier New" w:hAnsi="Courier New" w:eastAsia="ヒラギノ角ゴ Pro W3" w:cs="Times New Roman"/>
      <w:color w:val="000000"/>
      <w:sz w:val="20"/>
      <w:szCs w:val="20"/>
      <w:lang w:eastAsia="ru-RU"/>
    </w:rPr>
  </w:style>
  <w:style w:type="character" w:styleId="2">
    <w:name w:val="Основной текст 2 Знак"/>
    <w:basedOn w:val="DefaultParagraphFont"/>
    <w:link w:val="BodyText2"/>
    <w:qFormat/>
    <w:rPr>
      <w:rFonts w:ascii="Calibri" w:hAnsi="Calibri" w:eastAsia="Times New Roman" w:cs="Times New Roman"/>
      <w:sz w:val="20"/>
      <w:szCs w:val="20"/>
      <w:lang w:eastAsia="ar-SA"/>
    </w:rPr>
  </w:style>
  <w:style w:type="character" w:styleId="3">
    <w:name w:val="Основной текст 3 Знак"/>
    <w:basedOn w:val="DefaultParagraphFont"/>
    <w:link w:val="BodyText3"/>
    <w:qFormat/>
    <w:rPr>
      <w:rFonts w:ascii="Times New Roman" w:hAnsi="Times New Roman" w:eastAsia="Times New Roman" w:cs="Times New Roman"/>
      <w:sz w:val="16"/>
      <w:szCs w:val="16"/>
      <w:lang w:val="en-US"/>
    </w:rPr>
  </w:style>
  <w:style w:type="character" w:styleId="Strong">
    <w:name w:val="Strong"/>
    <w:qFormat/>
    <w:rPr>
      <w:b/>
      <w:bCs/>
    </w:rPr>
  </w:style>
  <w:style w:type="character" w:styleId="Heading3Char">
    <w:name w:val="Heading 3 Char"/>
    <w:qFormat/>
    <w:rPr>
      <w:rFonts w:ascii="Cambria" w:hAnsi="Cambria" w:eastAsia="Times New Roman" w:cs="Times New Roman"/>
      <w:b/>
      <w:bCs/>
      <w:color w:val="4F81BD"/>
    </w:rPr>
  </w:style>
  <w:style w:type="character" w:styleId="Docy">
    <w:name w:val="docy"/>
    <w:basedOn w:val="DefaultParagraphFont"/>
    <w:qFormat/>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11">
    <w:name w:val="Обычный1"/>
    <w:qFormat/>
    <w:pPr>
      <w:widowControl/>
      <w:tabs>
        <w:tab w:val="clear" w:pos="708"/>
        <w:tab w:val="left" w:pos="720" w:leader="none"/>
      </w:tabs>
      <w:suppressAutoHyphens w:val="true"/>
      <w:overflowPunct w:val="true"/>
      <w:bidi w:val="0"/>
      <w:spacing w:lineRule="auto" w:line="276" w:before="0" w:after="200"/>
      <w:jc w:val="left"/>
    </w:pPr>
    <w:rPr>
      <w:rFonts w:ascii="Times New Roman" w:hAnsi="Times New Roman" w:eastAsia="ヒラギノ角ゴ Pro W3" w:cs="Times New Roman"/>
      <w:color w:val="000000"/>
      <w:kern w:val="0"/>
      <w:sz w:val="24"/>
      <w:szCs w:val="20"/>
      <w:lang w:val="ru-RU" w:eastAsia="ru-RU" w:bidi="ar-SA"/>
    </w:rPr>
  </w:style>
  <w:style w:type="paragraph" w:styleId="21">
    <w:name w:val="Основной текст с отступом 21"/>
    <w:qFormat/>
    <w:pPr>
      <w:widowControl/>
      <w:tabs>
        <w:tab w:val="clear" w:pos="708"/>
        <w:tab w:val="left" w:pos="720" w:leader="none"/>
      </w:tabs>
      <w:suppressAutoHyphens w:val="true"/>
      <w:overflowPunct w:val="true"/>
      <w:bidi w:val="0"/>
      <w:spacing w:lineRule="auto" w:line="276" w:before="0" w:after="200"/>
      <w:ind w:left="0" w:right="0" w:firstLine="708"/>
      <w:jc w:val="both"/>
    </w:pPr>
    <w:rPr>
      <w:rFonts w:ascii="Times New Roman" w:hAnsi="Times New Roman" w:eastAsia="ヒラギノ角ゴ Pro W3" w:cs="Times New Roman"/>
      <w:color w:val="000000"/>
      <w:kern w:val="0"/>
      <w:sz w:val="24"/>
      <w:szCs w:val="20"/>
      <w:lang w:val="ru-RU" w:eastAsia="ru-RU" w:bidi="ar-SA"/>
    </w:rPr>
  </w:style>
  <w:style w:type="paragraph" w:styleId="12">
    <w:name w:val="Текст1"/>
    <w:qFormat/>
    <w:pPr>
      <w:widowControl/>
      <w:tabs>
        <w:tab w:val="clear" w:pos="708"/>
        <w:tab w:val="left" w:pos="720" w:leader="none"/>
      </w:tabs>
      <w:suppressAutoHyphens w:val="true"/>
      <w:overflowPunct w:val="true"/>
      <w:bidi w:val="0"/>
      <w:spacing w:lineRule="auto" w:line="276" w:before="0" w:after="200"/>
      <w:jc w:val="left"/>
    </w:pPr>
    <w:rPr>
      <w:rFonts w:ascii="Courier New" w:hAnsi="Courier New" w:eastAsia="ヒラギノ角ゴ Pro W3" w:cs="Times New Roman"/>
      <w:color w:val="000000"/>
      <w:kern w:val="0"/>
      <w:sz w:val="20"/>
      <w:szCs w:val="20"/>
      <w:lang w:val="ru-RU" w:eastAsia="ru-RU" w:bidi="ar-SA"/>
    </w:rPr>
  </w:style>
  <w:style w:type="paragraph" w:styleId="13">
    <w:name w:val="Основной текст1"/>
    <w:qFormat/>
    <w:pPr>
      <w:widowControl/>
      <w:tabs>
        <w:tab w:val="clear" w:pos="708"/>
        <w:tab w:val="left" w:pos="720" w:leader="none"/>
      </w:tabs>
      <w:suppressAutoHyphens w:val="true"/>
      <w:overflowPunct w:val="true"/>
      <w:bidi w:val="0"/>
      <w:spacing w:lineRule="auto" w:line="276" w:before="0" w:after="200"/>
      <w:jc w:val="both"/>
    </w:pPr>
    <w:rPr>
      <w:rFonts w:ascii="Times New Roman" w:hAnsi="Times New Roman" w:eastAsia="ヒラギノ角ゴ Pro W3" w:cs="Times New Roman"/>
      <w:color w:val="000000"/>
      <w:kern w:val="0"/>
      <w:sz w:val="24"/>
      <w:szCs w:val="20"/>
      <w:lang w:val="ru-RU" w:eastAsia="ru-RU" w:bidi="ar-SA"/>
    </w:rPr>
  </w:style>
  <w:style w:type="paragraph" w:styleId="PlainText">
    <w:name w:val="Plain Text"/>
    <w:basedOn w:val="Normal"/>
    <w:link w:val="Style14"/>
    <w:qFormat/>
    <w:pPr/>
    <w:rPr>
      <w:rFonts w:ascii="Courier New" w:hAnsi="Courier New" w:eastAsia="ヒラギノ角ゴ Pro W3"/>
      <w:color w:val="000000"/>
      <w:sz w:val="20"/>
      <w:szCs w:val="20"/>
      <w:lang w:val="ru-RU" w:eastAsia="ru-RU"/>
    </w:rPr>
  </w:style>
  <w:style w:type="paragraph" w:styleId="BodyText2">
    <w:name w:val="Body Text 2"/>
    <w:basedOn w:val="Normal"/>
    <w:link w:val="2"/>
    <w:qFormat/>
    <w:pPr>
      <w:widowControl w:val="false"/>
      <w:suppressAutoHyphens w:val="false"/>
      <w:spacing w:lineRule="auto" w:line="360" w:before="0" w:after="0"/>
      <w:ind w:left="0" w:right="0" w:firstLine="720"/>
      <w:jc w:val="both"/>
    </w:pPr>
    <w:rPr>
      <w:rFonts w:ascii="Calibri" w:hAnsi="Calibri"/>
      <w:sz w:val="20"/>
      <w:szCs w:val="20"/>
      <w:lang w:val="ru-RU" w:eastAsia="ar-SA"/>
    </w:rPr>
  </w:style>
  <w:style w:type="paragraph" w:styleId="BodyText3">
    <w:name w:val="Body Text 3"/>
    <w:basedOn w:val="Normal"/>
    <w:link w:val="3"/>
    <w:qFormat/>
    <w:pPr>
      <w:spacing w:before="0" w:after="120"/>
    </w:pPr>
    <w:rPr>
      <w:sz w:val="16"/>
      <w:szCs w:val="16"/>
    </w:rPr>
  </w:style>
  <w:style w:type="paragraph" w:styleId="ListParagraph">
    <w:name w:val="List Paragraph"/>
    <w:basedOn w:val="Normal"/>
    <w:qFormat/>
    <w:pPr>
      <w:ind w:left="720" w:right="0" w:hanging="0"/>
    </w:pPr>
    <w:rPr/>
  </w:style>
  <w:style w:type="paragraph" w:styleId="Default">
    <w:name w:val="Default"/>
    <w:qFormat/>
    <w:pPr>
      <w:widowControl/>
      <w:suppressAutoHyphens w:val="true"/>
      <w:overflowPunct w:val="true"/>
      <w:bidi w:val="0"/>
      <w:spacing w:lineRule="auto" w:line="240" w:before="0" w:after="0"/>
      <w:jc w:val="left"/>
    </w:pPr>
    <w:rPr>
      <w:rFonts w:ascii="Cambria" w:hAnsi="Cambria" w:eastAsia="Calibri" w:cs="Cambria"/>
      <w:color w:val="000000"/>
      <w:kern w:val="0"/>
      <w:sz w:val="24"/>
      <w:szCs w:val="24"/>
      <w:lang w:val="ru-RU" w:eastAsia="en-US" w:bidi="ar-SA"/>
    </w:rPr>
  </w:style>
  <w:style w:type="paragraph" w:styleId="ConsNormal">
    <w:name w:val="ConsNormal"/>
    <w:qFormat/>
    <w:pPr>
      <w:widowControl/>
      <w:suppressAutoHyphens w:val="true"/>
      <w:overflowPunct w:val="true"/>
      <w:bidi w:val="0"/>
      <w:spacing w:before="0" w:after="0"/>
      <w:jc w:val="both"/>
      <w:textAlignment w:val="auto"/>
    </w:pPr>
    <w:rPr>
      <w:rFonts w:ascii="Courier New" w:hAnsi="Courier New" w:eastAsia="Courier New" w:cs="Courier New"/>
      <w:color w:val="auto"/>
      <w:kern w:val="0"/>
      <w:sz w:val="20"/>
      <w:szCs w:val="20"/>
      <w:lang w:val="ru-RU" w:eastAsia="ru-RU" w:bidi="ar-SA"/>
    </w:rPr>
  </w:style>
  <w:style w:type="paragraph" w:styleId="14">
    <w:name w:val="Без интервала1"/>
    <w:qFormat/>
    <w:pPr>
      <w:widowControl/>
      <w:suppressAutoHyphens w:val="true"/>
      <w:overflowPunct w:val="true"/>
      <w:bidi w:val="0"/>
      <w:spacing w:lineRule="atLeast" w:line="100" w:before="0" w:after="0"/>
      <w:jc w:val="left"/>
    </w:pPr>
    <w:rPr>
      <w:rFonts w:ascii="Calibri" w:hAnsi="Calibri" w:eastAsia="Calibri" w:cs="Tahoma"/>
      <w:color w:val="auto"/>
      <w:kern w:val="0"/>
      <w:sz w:val="24"/>
      <w:szCs w:val="24"/>
      <w:lang w:val="ru-RU" w:eastAsia="ar-SA" w:bidi="ar-SA"/>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Textbody">
    <w:name w:val="Text body"/>
    <w:basedOn w:val="Normal"/>
    <w:qFormat/>
    <w:pPr>
      <w:spacing w:before="0" w:after="120"/>
      <w:jc w:val="both"/>
      <w:textAlignment w:val="baseline"/>
    </w:pPr>
    <w:rPr>
      <w:kern w:val="2"/>
      <w:sz w:val="24"/>
      <w:szCs w:val="24"/>
    </w:rPr>
  </w:style>
  <w:style w:type="paragraph" w:styleId="Style20">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mail.30.mchs.gov.ru" TargetMode="External"/><Relationship Id="rId3" Type="http://schemas.openxmlformats.org/officeDocument/2006/relationships/hyperlink" Target="consultantplus://offline/ref=FC66F9112049BF70844330D8F467622160095DB732CE25B0D828521A8B4A36220923D3DC669DA4A6DBFEF0EF229A9B9C4DC690956C62B200M" TargetMode="External"/><Relationship Id="rId4" Type="http://schemas.openxmlformats.org/officeDocument/2006/relationships/hyperlink" Target="mailto:info@mail.30.mchs.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4454</TotalTime>
  <Application>LibreOffice/7.3.6.2$Linux_X86_64 LibreOffice_project/30$Build-2</Application>
  <AppVersion>15.0000</AppVersion>
  <Pages>12</Pages>
  <Words>3318</Words>
  <Characters>24310</Characters>
  <CharactersWithSpaces>27600</CharactersWithSpaces>
  <Paragraphs>208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2018-12-11T14:08:00Z</dcterms:created>
  <dc:creator>Admin</dc:creator>
  <dc:description/>
  <dc:language>ru-RU</dc:language>
  <cp:lastModifiedBy/>
  <cp:lastPrinted>2019-05-27T06:58:00Z</cp:lastPrinted>
  <dcterms:modified xsi:type="dcterms:W3CDTF">2026-06-10T09:10:16Z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