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76" w:rsidRDefault="002A0095">
      <w:pPr>
        <w:tabs>
          <w:tab w:val="center" w:pos="4883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к электронной версии контракта </w:t>
      </w:r>
    </w:p>
    <w:p w:rsidR="00A93276" w:rsidRDefault="00A93276">
      <w:pPr>
        <w:tabs>
          <w:tab w:val="center" w:pos="4883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3276" w:rsidRDefault="002A009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694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 закупки</w:t>
      </w:r>
    </w:p>
    <w:p w:rsidR="00A93276" w:rsidRDefault="00A93276">
      <w:pPr>
        <w:widowControl w:val="0"/>
        <w:shd w:val="clear" w:color="auto" w:fill="FFFFFF"/>
        <w:spacing w:after="0" w:line="240" w:lineRule="auto"/>
        <w:ind w:left="1146"/>
        <w:rPr>
          <w:rFonts w:ascii="Times New Roman" w:hAnsi="Times New Roman"/>
          <w:sz w:val="24"/>
          <w:szCs w:val="24"/>
        </w:rPr>
      </w:pPr>
    </w:p>
    <w:p w:rsidR="00A93276" w:rsidRPr="002A0095" w:rsidRDefault="002A0095" w:rsidP="002A0095">
      <w:pPr>
        <w:widowControl w:val="0"/>
        <w:tabs>
          <w:tab w:val="left" w:pos="993"/>
        </w:tabs>
        <w:spacing w:after="0" w:line="240" w:lineRule="auto"/>
        <w:ind w:firstLine="284"/>
        <w:jc w:val="both"/>
        <w:rPr>
          <w:rFonts w:ascii="Tinos" w:hAnsi="Tinos" w:cs="Tinos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1.1. Подрядчик обязуется </w:t>
      </w:r>
      <w:r>
        <w:rPr>
          <w:rFonts w:ascii="Tinos" w:eastAsia="Tinos" w:hAnsi="Tinos" w:cs="Tinos"/>
          <w:sz w:val="24"/>
          <w:szCs w:val="24"/>
        </w:rPr>
        <w:t>выполнить работы по текущему ремонту помещений здания, расположенного по адресу: Кемеровская область – Кузбасс, г. Кемерово, ул. Ноградская, 5</w:t>
      </w: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Контракта, перечнем работ, указанным в Таблице, а Заказчик обязуется создать Подрядчику необходимые условия для выполнения работ, принять их результат и оплатить выполненный объем работ.</w:t>
      </w:r>
    </w:p>
    <w:p w:rsidR="00A93276" w:rsidRDefault="002A0095" w:rsidP="002A0095">
      <w:pPr>
        <w:pStyle w:val="aff2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Работы выполняются из материала Подрядчика. </w:t>
      </w:r>
    </w:p>
    <w:p w:rsidR="00A93276" w:rsidRDefault="00A93276">
      <w:pPr>
        <w:pStyle w:val="aff2"/>
        <w:ind w:firstLine="283"/>
        <w:rPr>
          <w:rFonts w:ascii="Times New Roman" w:hAnsi="Times New Roman" w:cs="Times New Roman"/>
          <w:sz w:val="24"/>
          <w:szCs w:val="24"/>
        </w:rPr>
      </w:pPr>
    </w:p>
    <w:tbl>
      <w:tblPr>
        <w:tblW w:w="9473" w:type="dxa"/>
        <w:tblInd w:w="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5867"/>
        <w:gridCol w:w="1427"/>
        <w:gridCol w:w="1147"/>
      </w:tblGrid>
      <w:tr w:rsidR="00A93276">
        <w:trPr>
          <w:trHeight w:val="52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276" w:rsidRDefault="002A0095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93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276" w:rsidRDefault="002A0095">
            <w:pPr>
              <w:ind w:left="13" w:hanging="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Технические характеристики и описание работ</w:t>
            </w:r>
          </w:p>
        </w:tc>
        <w:tc>
          <w:tcPr>
            <w:tcW w:w="119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A93276">
            <w:pPr>
              <w:ind w:left="46" w:hanging="13"/>
              <w:jc w:val="center"/>
              <w:rPr>
                <w:rFonts w:eastAsia="Arial Unicode MS"/>
                <w:b/>
                <w:bCs/>
              </w:rPr>
            </w:pPr>
          </w:p>
          <w:p w:rsidR="00A93276" w:rsidRDefault="002A0095">
            <w:pPr>
              <w:ind w:left="13" w:hanging="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Кол-во</w:t>
            </w:r>
          </w:p>
        </w:tc>
        <w:tc>
          <w:tcPr>
            <w:tcW w:w="96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A93276">
            <w:pPr>
              <w:ind w:left="13" w:hanging="13"/>
              <w:jc w:val="center"/>
              <w:rPr>
                <w:rFonts w:eastAsia="Arial Unicode MS"/>
                <w:b/>
                <w:bCs/>
              </w:rPr>
            </w:pPr>
          </w:p>
          <w:p w:rsidR="00A93276" w:rsidRDefault="002A0095">
            <w:pPr>
              <w:ind w:left="13" w:hanging="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Ед. изм.</w:t>
            </w:r>
          </w:p>
        </w:tc>
      </w:tr>
      <w:tr w:rsidR="00A93276" w:rsidTr="002A0095">
        <w:trPr>
          <w:trHeight w:val="795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276" w:rsidRDefault="002A0095" w:rsidP="002A00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93276" w:rsidRDefault="002A0095">
            <w:pPr>
              <w:spacing w:after="0" w:line="57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 существующего дверного блока срезать старую пену, пропенить новой, заменить нажимной гарнитур, установка стальных откосов наружных 600 мм (размер двери - высота 3000 мм, ширина 850 мм)</w:t>
            </w:r>
          </w:p>
        </w:tc>
        <w:tc>
          <w:tcPr>
            <w:tcW w:w="119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</w:tr>
      <w:tr w:rsidR="00A93276">
        <w:trPr>
          <w:trHeight w:val="525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276" w:rsidRDefault="002A0095">
            <w:pPr>
              <w:jc w:val="center"/>
            </w:pPr>
            <w:r>
              <w:t>2</w:t>
            </w:r>
          </w:p>
        </w:tc>
        <w:tc>
          <w:tcPr>
            <w:tcW w:w="493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276" w:rsidRDefault="002A0095">
            <w:pPr>
              <w:spacing w:after="0" w:line="57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Демонтаж деревянной двери с последующим монтажом ее в кабинете № 214. Установка противопожарной двери Е160, цвет бежевый, нажимной гарнитур, доводчик, цилиндр ключ/завертка (размер двери — высота 2050 мм, ширина 850 мм)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</w:pPr>
            <w:r>
              <w:rPr>
                <w:bCs/>
              </w:rPr>
              <w:t>шт.</w:t>
            </w:r>
          </w:p>
        </w:tc>
      </w:tr>
      <w:tr w:rsidR="00A93276">
        <w:trPr>
          <w:trHeight w:val="525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276" w:rsidRDefault="002A0095">
            <w:pPr>
              <w:jc w:val="center"/>
            </w:pPr>
            <w:r>
              <w:t>3</w:t>
            </w:r>
          </w:p>
        </w:tc>
        <w:tc>
          <w:tcPr>
            <w:tcW w:w="493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276" w:rsidRDefault="002A0095">
            <w:pPr>
              <w:spacing w:after="0" w:line="57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Демонтаж стальной двери. Установка противопожарной двери Е160, цвет бежевый, нажимной гарнитур, доводчик, цилиндр ключ/завертка, нащельник (размер двери - высота 2050 мм, ширина 880 мм)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</w:pPr>
            <w:r>
              <w:rPr>
                <w:bCs/>
              </w:rPr>
              <w:t>шт.</w:t>
            </w:r>
          </w:p>
        </w:tc>
      </w:tr>
      <w:tr w:rsidR="00A93276">
        <w:trPr>
          <w:trHeight w:val="525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276" w:rsidRDefault="002A0095">
            <w:pPr>
              <w:jc w:val="center"/>
            </w:pPr>
            <w:r>
              <w:t>4</w:t>
            </w:r>
          </w:p>
        </w:tc>
        <w:tc>
          <w:tcPr>
            <w:tcW w:w="493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276" w:rsidRDefault="002A0095">
            <w:pPr>
              <w:spacing w:after="0" w:line="57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дверного блока из холодного профиля КП 45, цвет Ral8017, заполнение верх стеклопакет 24 мм, низ сэндвич, накрытый стальным листом, цоколь 130мм ручка-поручень 500 мм, доводчик GEZE1500, наличник, 2 замка, цилиндр ключ/завертка (размер двери — высота 2300 мм, ширина 1750 мм)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</w:pPr>
            <w:r>
              <w:rPr>
                <w:bCs/>
              </w:rPr>
              <w:t>шт.</w:t>
            </w:r>
          </w:p>
        </w:tc>
      </w:tr>
      <w:tr w:rsidR="00A93276">
        <w:trPr>
          <w:trHeight w:val="525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276" w:rsidRDefault="002A0095">
            <w:pPr>
              <w:jc w:val="center"/>
            </w:pPr>
            <w:r>
              <w:t>5</w:t>
            </w:r>
          </w:p>
        </w:tc>
        <w:tc>
          <w:tcPr>
            <w:tcW w:w="493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93276" w:rsidRDefault="002A0095">
            <w:pPr>
              <w:spacing w:after="0" w:line="57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Доставка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</w:pPr>
            <w:r>
              <w:t>1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</w:pPr>
            <w:r>
              <w:t>ус.ед.</w:t>
            </w:r>
          </w:p>
        </w:tc>
      </w:tr>
      <w:tr w:rsidR="00A93276">
        <w:trPr>
          <w:trHeight w:val="525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276" w:rsidRDefault="002A0095">
            <w:pPr>
              <w:jc w:val="center"/>
            </w:pPr>
            <w:r>
              <w:t>6</w:t>
            </w:r>
          </w:p>
        </w:tc>
        <w:tc>
          <w:tcPr>
            <w:tcW w:w="493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93276" w:rsidRDefault="002A0095">
            <w:pPr>
              <w:spacing w:after="0" w:line="57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Вывоз мусора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</w:pPr>
            <w:r>
              <w:t>1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93276" w:rsidRDefault="002A0095">
            <w:pPr>
              <w:jc w:val="center"/>
            </w:pPr>
            <w:r>
              <w:t>ус.ед</w:t>
            </w:r>
          </w:p>
        </w:tc>
      </w:tr>
    </w:tbl>
    <w:p w:rsidR="00A93276" w:rsidRDefault="00A93276">
      <w:pPr>
        <w:pStyle w:val="aff2"/>
        <w:ind w:firstLine="283"/>
        <w:rPr>
          <w:rFonts w:ascii="Times New Roman" w:hAnsi="Times New Roman" w:cs="Times New Roman"/>
          <w:sz w:val="24"/>
          <w:szCs w:val="24"/>
        </w:rPr>
      </w:pPr>
    </w:p>
    <w:p w:rsidR="00A93276" w:rsidRDefault="002A009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Подрядчик самостоятельно обеспечивает соблюдение мер безопасности при проведении ремонтных работ.</w:t>
      </w:r>
    </w:p>
    <w:p w:rsidR="00A93276" w:rsidRDefault="00A932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3276" w:rsidRDefault="002A00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Права и обязанности Сторон</w:t>
      </w:r>
    </w:p>
    <w:p w:rsidR="00A93276" w:rsidRDefault="002A009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Оплата выполненных Подрядчиком работ производится Заказчиком путем перечисления денежных средств на расчетный счет Подрядчика.</w:t>
      </w:r>
    </w:p>
    <w:p w:rsidR="00A93276" w:rsidRDefault="002A009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Заказчик вправе во всякое время проверять ход и качество работы, выполняемой Подрядчиком.</w:t>
      </w:r>
    </w:p>
    <w:p w:rsidR="00A93276" w:rsidRDefault="002A009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Если Подрядчик не приступает своевременно к исполнению настоящего Контракта, затягивает выполнение работ, Заказчик вправе отказаться от исполнения Контракта и потребовать возмещения убытков.</w:t>
      </w:r>
    </w:p>
    <w:p w:rsidR="00A93276" w:rsidRDefault="002A009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Заказчик может отказаться от дальнейшего исполнения Контракта, уплатив Подрядчику часть установленной цены пропорционально части работы, выполненной до получения извещения об отказе Заказчика от исполнения Контракта по основаниям, предусмотренным действующим законодательством.</w:t>
      </w:r>
    </w:p>
    <w:p w:rsidR="00A93276" w:rsidRDefault="002A009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Подрядчик обязан обеспечить производство и качество всех работ своими силами и средствами в соответствии с действующими нормами и техническими условиями.</w:t>
      </w:r>
    </w:p>
    <w:p w:rsidR="00A93276" w:rsidRDefault="002A009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Подрядчик обязуется выполнить работу в установленные Контрактом сроки.  </w:t>
      </w:r>
    </w:p>
    <w:p w:rsidR="00A93276" w:rsidRDefault="002A009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2.7. За ненадлежащее исполнение принятых на себя обязательств Стороны несут ответственность в соответствии с действующим законодательством.</w:t>
      </w:r>
    </w:p>
    <w:p w:rsidR="00A93276" w:rsidRDefault="002A009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Подрядчик имеет право сдать объект досрочно по соглашению Сторон.</w:t>
      </w:r>
    </w:p>
    <w:p w:rsidR="00A93276" w:rsidRDefault="00A932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3276" w:rsidRDefault="002A00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Сроки выполнения работ</w:t>
      </w:r>
    </w:p>
    <w:p w:rsidR="00A93276" w:rsidRDefault="002A0095" w:rsidP="002A0095">
      <w:pPr>
        <w:spacing w:line="240" w:lineRule="auto"/>
        <w:ind w:firstLine="284"/>
        <w:jc w:val="both"/>
        <w:rPr>
          <w:rFonts w:ascii="Tinos" w:hAnsi="Tinos" w:cs="Tino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>
        <w:rPr>
          <w:rFonts w:ascii="Tinos" w:eastAsia="Tinos" w:hAnsi="Tinos" w:cs="Tinos"/>
          <w:color w:val="000000"/>
          <w:sz w:val="24"/>
          <w:szCs w:val="24"/>
          <w:highlight w:val="white"/>
        </w:rPr>
        <w:t>В течение 30 рабочих дней с м</w:t>
      </w:r>
      <w:r>
        <w:rPr>
          <w:rFonts w:ascii="Tinos" w:eastAsia="Tinos" w:hAnsi="Tinos" w:cs="Tinos"/>
          <w:sz w:val="24"/>
          <w:szCs w:val="24"/>
          <w:highlight w:val="white"/>
        </w:rPr>
        <w:t>омента заключения Контракта</w:t>
      </w:r>
      <w:r>
        <w:rPr>
          <w:rFonts w:ascii="Tinos" w:eastAsia="Tinos" w:hAnsi="Tinos" w:cs="Tinos"/>
          <w:sz w:val="24"/>
          <w:szCs w:val="24"/>
        </w:rPr>
        <w:t>.</w:t>
      </w:r>
    </w:p>
    <w:p w:rsidR="00A93276" w:rsidRDefault="002A0095">
      <w:pPr>
        <w:pStyle w:val="a4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Порядок оплаты</w:t>
      </w:r>
    </w:p>
    <w:p w:rsidR="00A93276" w:rsidRDefault="002A0095">
      <w:pPr>
        <w:pStyle w:val="a4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Цена закупки является твердой, и определяется на весь срок его действия, за исключение случаев, предусмотренных частью 1 статьи 95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нужд».</w:t>
      </w:r>
    </w:p>
    <w:p w:rsidR="00A93276" w:rsidRDefault="002A0095">
      <w:pPr>
        <w:pStyle w:val="aff"/>
        <w:widowControl w:val="0"/>
        <w:ind w:left="0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по настоящей закупке оплачиваются из средств Федерального бюджета на 2026 год.</w:t>
      </w:r>
    </w:p>
    <w:p w:rsidR="00A93276" w:rsidRDefault="002A0095">
      <w:pPr>
        <w:tabs>
          <w:tab w:val="left" w:pos="2580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Подтверждением объема выполненных работ служит двусторонний Акт о приемке выполненных работ (далее Акт). </w:t>
      </w:r>
    </w:p>
    <w:p w:rsidR="00A93276" w:rsidRDefault="002A009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Оплата производится </w:t>
      </w:r>
      <w:r>
        <w:rPr>
          <w:rFonts w:ascii="Times New Roman" w:hAnsi="Times New Roman" w:cs="Calibri"/>
          <w:sz w:val="24"/>
          <w:szCs w:val="24"/>
          <w:lang w:eastAsia="ar-SA"/>
        </w:rPr>
        <w:t>в течение 10 (десяти) рабочих дней</w:t>
      </w:r>
      <w:r>
        <w:rPr>
          <w:rFonts w:ascii="Times New Roman" w:hAnsi="Times New Roman"/>
          <w:sz w:val="24"/>
          <w:szCs w:val="24"/>
        </w:rPr>
        <w:t xml:space="preserve"> с момента подписания Акта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обеими Сторонами по факту выполнения работ, </w:t>
      </w:r>
      <w:r>
        <w:rPr>
          <w:rFonts w:ascii="Times New Roman" w:hAnsi="Times New Roman" w:cs="Calibri"/>
          <w:sz w:val="24"/>
          <w:szCs w:val="24"/>
          <w:lang w:eastAsia="ar-SA"/>
        </w:rPr>
        <w:t>либо универсального передаточного документа (УПД).</w:t>
      </w:r>
    </w:p>
    <w:p w:rsidR="00A93276" w:rsidRDefault="00A932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3276" w:rsidRDefault="002A0095">
      <w:pPr>
        <w:tabs>
          <w:tab w:val="left" w:pos="25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Порядок приемки работ</w:t>
      </w:r>
    </w:p>
    <w:p w:rsidR="00A93276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Работы считаются принятыми с момента подписания Сторонами Акта.</w:t>
      </w:r>
    </w:p>
    <w:p w:rsidR="00A93276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Акт подписывается обеими Сторонами. При отказе от подписания Акта какой-либо из Сторон об этом делается отметка в Акте. Основания для отказа излагаются несогласной Стороной в Акте, либо в отдельном документе произвольной формы. </w:t>
      </w:r>
    </w:p>
    <w:p w:rsidR="00A93276" w:rsidRDefault="00A93276">
      <w:pPr>
        <w:tabs>
          <w:tab w:val="left" w:pos="25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3276" w:rsidRDefault="002A0095">
      <w:pPr>
        <w:tabs>
          <w:tab w:val="left" w:pos="25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</w:rPr>
        <w:t>Гарантии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A0095" w:rsidRDefault="002A0095" w:rsidP="002A009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Гарантийный срок на выполненные работы устанавливается сроком на 12 (двенадцать) месяцев, с даты подписания акта приемки выполненных работ, включая устранение выявленных в процессе приема недостатков.</w:t>
      </w:r>
    </w:p>
    <w:p w:rsidR="002A0095" w:rsidRDefault="002A0095" w:rsidP="002A009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указанного гарантийного срока Подрядчик по требованию Заказчика безвозмездно устраняет все обнаруженные недостатки в работе в срок до 10 (десяти) рабочих дней. В исключительных случаях (погодные условия, иные факторы) срок устранения недостатков может быть увеличен до 30 (тридцати) рабочих дней по соглашению Сторон.</w:t>
      </w:r>
    </w:p>
    <w:p w:rsidR="002A0095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При нанесении ущерба имуществу третьих лиц по вине Подрядчика в течение гарантийного срока, возмещение ущерба происходит за счет средств Подрядчика.</w:t>
      </w:r>
    </w:p>
    <w:p w:rsidR="002A0095" w:rsidRDefault="002A0095">
      <w:pPr>
        <w:tabs>
          <w:tab w:val="left" w:pos="25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3276" w:rsidRDefault="002A0095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2A0095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Заказчик обязуется:</w:t>
      </w:r>
    </w:p>
    <w:p w:rsidR="002A0095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7.1.1. произвести оплату выполненных работ согласно условиям настоящего Контракта;</w:t>
      </w:r>
    </w:p>
    <w:p w:rsidR="002A0095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7.1.2. принять работу в порядке и в сроки, предусмотренные настоящим Контрактом.</w:t>
      </w:r>
    </w:p>
    <w:p w:rsidR="002A0095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Подрядчик обязуется:</w:t>
      </w:r>
    </w:p>
    <w:p w:rsidR="002A0095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7.2.1. выполнить работы согласно СНиП и ТУ в объеме и сроки, предусмотренные настоящим Контрактом;</w:t>
      </w:r>
    </w:p>
    <w:p w:rsidR="002A0095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7.2.2. сдать выполненные работы по Акту и Справке;</w:t>
      </w:r>
    </w:p>
    <w:p w:rsidR="002A0095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7.2.3. немедленно предупредить Заказчика о независящих от Подрядчика обстоятельствах, грозящих гибелью, порчей годности или прочности результата работы;</w:t>
      </w:r>
    </w:p>
    <w:p w:rsidR="002A0095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7.2.4. исполнять полученные в ходе выполнения работ указания Заказчика, если такие указания не противоречат условиям Контракта и не представляют собой вмешательство в оперативно-хозяйственную деятельность Подрядчика;</w:t>
      </w:r>
    </w:p>
    <w:p w:rsidR="002A0095" w:rsidRDefault="002A0095" w:rsidP="002A0095">
      <w:pPr>
        <w:tabs>
          <w:tab w:val="left" w:pos="2580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7.2.5. соблюдать требования Закона и иных правовых актов в области безопасности труда и охраны окружающей среды.</w:t>
      </w:r>
    </w:p>
    <w:p w:rsidR="00A93276" w:rsidRDefault="002A0095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8. Ответственность сторон</w:t>
      </w:r>
    </w:p>
    <w:p w:rsidR="00A93276" w:rsidRDefault="002A009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A93276" w:rsidRDefault="002A009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За ненадлежащее исполнение Сторонами обязательств, предусмотренных Контрактом, за исключением просрочки исполнения обязательств, начисляются штрафы. Размер штрафа определяется в соответствии с требованиями Постановления Правительства Российской Федерации от 30.08.2017 № 1042. </w:t>
      </w:r>
    </w:p>
    <w:p w:rsidR="00A93276" w:rsidRDefault="002A009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Сторонами обязательств, предусмотренных Контрактом, в размере одной трехсотой действующей на дату уплаты пени ключевой ставки Центрального банка РФ от цены Контракта, уменьшенной на сумму, пропорциональную объему обязательств, предусмотренных Контрактом и фактически исполненных Стороной.</w:t>
      </w:r>
    </w:p>
    <w:p w:rsidR="00A93276" w:rsidRDefault="002A009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За нарушение иных условий Контракта Стороны несут ответственность в соответствии с положениями действующего законодательства Российской Федерации.</w:t>
      </w:r>
    </w:p>
    <w:p w:rsidR="00A93276" w:rsidRDefault="002A009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Стороны освобождаются от ответственности за неисполнение или ненадлежащее исполнение обязательств по Контракту при возникновении обстоятельств непреодолимой силы, под которыми понимаются стихийные бедствия, массовые беспорядки, запретительные действия властей и иные форс-мажорные обстоятельства.</w:t>
      </w:r>
    </w:p>
    <w:p w:rsidR="00A93276" w:rsidRDefault="00A93276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93276" w:rsidRDefault="002A0095">
      <w:pPr>
        <w:tabs>
          <w:tab w:val="left" w:pos="-540"/>
          <w:tab w:val="num" w:pos="713"/>
        </w:tabs>
        <w:spacing w:after="0" w:line="240" w:lineRule="auto"/>
        <w:ind w:left="720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Иные условия</w:t>
      </w:r>
    </w:p>
    <w:p w:rsidR="00A93276" w:rsidRDefault="002A0095">
      <w:pPr>
        <w:tabs>
          <w:tab w:val="left" w:pos="-540"/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Все изменения и дополнения к контракту действительны при условии, если они совершены в письменной форме и подписаны Сторонами либо надлежащим образом уполномоченными, на то представителями Сторон.</w:t>
      </w:r>
    </w:p>
    <w:p w:rsidR="00A93276" w:rsidRDefault="002A0095">
      <w:pPr>
        <w:tabs>
          <w:tab w:val="left" w:pos="-540"/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Споры по контракту решаются Сторонами путем переговоров. Срок для рассмотрения писем, предложений, претензий (письменных обращений) Сторон составляет не более 10 (рабочих) дней с момента их получения. При не урегулировании спора в процессе переговоров спор передается на рассмотрение Арбитражного суда Кемеровской области.</w:t>
      </w:r>
    </w:p>
    <w:sectPr w:rsidR="00A93276">
      <w:type w:val="continuous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76" w:rsidRDefault="002A0095">
      <w:pPr>
        <w:spacing w:after="0" w:line="240" w:lineRule="auto"/>
      </w:pPr>
      <w:r>
        <w:separator/>
      </w:r>
    </w:p>
  </w:endnote>
  <w:endnote w:type="continuationSeparator" w:id="0">
    <w:p w:rsidR="00A93276" w:rsidRDefault="002A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76" w:rsidRDefault="002A0095">
      <w:pPr>
        <w:spacing w:after="0" w:line="240" w:lineRule="auto"/>
      </w:pPr>
      <w:r>
        <w:separator/>
      </w:r>
    </w:p>
  </w:footnote>
  <w:footnote w:type="continuationSeparator" w:id="0">
    <w:p w:rsidR="00A93276" w:rsidRDefault="002A0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80E"/>
    <w:multiLevelType w:val="multilevel"/>
    <w:tmpl w:val="1B62F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0" w:firstLine="532"/>
      </w:pPr>
    </w:lvl>
    <w:lvl w:ilvl="2">
      <w:start w:val="3"/>
      <w:numFmt w:val="decimal"/>
      <w:lvlText w:val="%1.%2.%3."/>
      <w:lvlJc w:val="left"/>
      <w:pPr>
        <w:ind w:left="1424" w:hanging="720"/>
      </w:pPr>
    </w:lvl>
    <w:lvl w:ilvl="3">
      <w:start w:val="1"/>
      <w:numFmt w:val="decimal"/>
      <w:lvlText w:val="%1.%2.%3.%4."/>
      <w:lvlJc w:val="left"/>
      <w:pPr>
        <w:ind w:left="1596" w:hanging="720"/>
      </w:pPr>
    </w:lvl>
    <w:lvl w:ilvl="4">
      <w:start w:val="1"/>
      <w:numFmt w:val="decimal"/>
      <w:lvlText w:val="%1.%2.%3.%4.%5."/>
      <w:lvlJc w:val="left"/>
      <w:pPr>
        <w:ind w:left="2128" w:hanging="1080"/>
      </w:pPr>
    </w:lvl>
    <w:lvl w:ilvl="5">
      <w:start w:val="1"/>
      <w:numFmt w:val="decimal"/>
      <w:lvlText w:val="%1.%2.%3.%4.%5.%6."/>
      <w:lvlJc w:val="left"/>
      <w:pPr>
        <w:ind w:left="2300" w:hanging="1080"/>
      </w:pPr>
    </w:lvl>
    <w:lvl w:ilvl="6">
      <w:start w:val="1"/>
      <w:numFmt w:val="decimal"/>
      <w:lvlText w:val="%1.%2.%3.%4.%5.%6.%7."/>
      <w:lvlJc w:val="left"/>
      <w:pPr>
        <w:ind w:left="2472" w:hanging="1080"/>
      </w:pPr>
    </w:lvl>
    <w:lvl w:ilvl="7">
      <w:start w:val="1"/>
      <w:numFmt w:val="decimal"/>
      <w:lvlText w:val="%1.%2.%3.%4.%5.%6.%7.%8."/>
      <w:lvlJc w:val="left"/>
      <w:pPr>
        <w:ind w:left="3004" w:hanging="1440"/>
      </w:pPr>
    </w:lvl>
    <w:lvl w:ilvl="8">
      <w:start w:val="1"/>
      <w:numFmt w:val="decimal"/>
      <w:lvlText w:val="%1.%2.%3.%4.%5.%6.%7.%8.%9."/>
      <w:lvlJc w:val="left"/>
      <w:pPr>
        <w:ind w:left="3176" w:hanging="1440"/>
      </w:pPr>
    </w:lvl>
  </w:abstractNum>
  <w:abstractNum w:abstractNumId="1" w15:restartNumberingAfterBreak="0">
    <w:nsid w:val="2FCC5064"/>
    <w:multiLevelType w:val="hybridMultilevel"/>
    <w:tmpl w:val="BB5A2118"/>
    <w:lvl w:ilvl="0" w:tplc="1B8E5C24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5E044D10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 w:tplc="AE546F5C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BC4C3A72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B072A33C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C80C2D2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7AE2BB46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EC646846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C36C927A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" w15:restartNumberingAfterBreak="0">
    <w:nsid w:val="30864949"/>
    <w:multiLevelType w:val="hybridMultilevel"/>
    <w:tmpl w:val="5792120E"/>
    <w:lvl w:ilvl="0" w:tplc="DE9EE542">
      <w:start w:val="1"/>
      <w:numFmt w:val="decimal"/>
      <w:lvlText w:val="%1."/>
      <w:lvlJc w:val="left"/>
      <w:pPr>
        <w:ind w:left="1101" w:hanging="360"/>
      </w:pPr>
    </w:lvl>
    <w:lvl w:ilvl="1" w:tplc="B32C1E76">
      <w:start w:val="1"/>
      <w:numFmt w:val="lowerLetter"/>
      <w:lvlText w:val="%2."/>
      <w:lvlJc w:val="left"/>
      <w:pPr>
        <w:ind w:left="1821" w:hanging="360"/>
      </w:pPr>
    </w:lvl>
    <w:lvl w:ilvl="2" w:tplc="086A0E9E">
      <w:start w:val="1"/>
      <w:numFmt w:val="lowerRoman"/>
      <w:lvlText w:val="%3."/>
      <w:lvlJc w:val="right"/>
      <w:pPr>
        <w:ind w:left="2541" w:hanging="180"/>
      </w:pPr>
    </w:lvl>
    <w:lvl w:ilvl="3" w:tplc="1D86EE14">
      <w:start w:val="1"/>
      <w:numFmt w:val="decimal"/>
      <w:lvlText w:val="%4."/>
      <w:lvlJc w:val="left"/>
      <w:pPr>
        <w:ind w:left="3261" w:hanging="360"/>
      </w:pPr>
    </w:lvl>
    <w:lvl w:ilvl="4" w:tplc="118A405A">
      <w:start w:val="1"/>
      <w:numFmt w:val="lowerLetter"/>
      <w:lvlText w:val="%5."/>
      <w:lvlJc w:val="left"/>
      <w:pPr>
        <w:ind w:left="3981" w:hanging="360"/>
      </w:pPr>
    </w:lvl>
    <w:lvl w:ilvl="5" w:tplc="21BA3F1E">
      <w:start w:val="1"/>
      <w:numFmt w:val="lowerRoman"/>
      <w:lvlText w:val="%6."/>
      <w:lvlJc w:val="right"/>
      <w:pPr>
        <w:ind w:left="4701" w:hanging="180"/>
      </w:pPr>
    </w:lvl>
    <w:lvl w:ilvl="6" w:tplc="CC7A0D1C">
      <w:start w:val="1"/>
      <w:numFmt w:val="decimal"/>
      <w:lvlText w:val="%7."/>
      <w:lvlJc w:val="left"/>
      <w:pPr>
        <w:ind w:left="5421" w:hanging="360"/>
      </w:pPr>
    </w:lvl>
    <w:lvl w:ilvl="7" w:tplc="3FC243CE">
      <w:start w:val="1"/>
      <w:numFmt w:val="lowerLetter"/>
      <w:lvlText w:val="%8."/>
      <w:lvlJc w:val="left"/>
      <w:pPr>
        <w:ind w:left="6141" w:hanging="360"/>
      </w:pPr>
    </w:lvl>
    <w:lvl w:ilvl="8" w:tplc="ADD69932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5E8C7756"/>
    <w:multiLevelType w:val="multilevel"/>
    <w:tmpl w:val="AB58EC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626" w:hanging="720"/>
      </w:pPr>
    </w:lvl>
    <w:lvl w:ilvl="3">
      <w:start w:val="1"/>
      <w:numFmt w:val="decimal"/>
      <w:lvlText w:val="%1.%2.%3.%4."/>
      <w:lvlJc w:val="left"/>
      <w:pPr>
        <w:ind w:left="1899" w:hanging="720"/>
      </w:pPr>
    </w:lvl>
    <w:lvl w:ilvl="4">
      <w:start w:val="1"/>
      <w:numFmt w:val="decimal"/>
      <w:lvlText w:val="%1.%2.%3.%4.%5."/>
      <w:lvlJc w:val="left"/>
      <w:pPr>
        <w:ind w:left="2532" w:hanging="1080"/>
      </w:pPr>
    </w:lvl>
    <w:lvl w:ilvl="5">
      <w:start w:val="1"/>
      <w:numFmt w:val="decimal"/>
      <w:lvlText w:val="%1.%2.%3.%4.%5.%6."/>
      <w:lvlJc w:val="left"/>
      <w:pPr>
        <w:ind w:left="2805" w:hanging="1080"/>
      </w:pPr>
    </w:lvl>
    <w:lvl w:ilvl="6">
      <w:start w:val="1"/>
      <w:numFmt w:val="decimal"/>
      <w:lvlText w:val="%1.%2.%3.%4.%5.%6.%7."/>
      <w:lvlJc w:val="left"/>
      <w:pPr>
        <w:ind w:left="3078" w:hanging="1080"/>
      </w:pPr>
    </w:lvl>
    <w:lvl w:ilvl="7">
      <w:start w:val="1"/>
      <w:numFmt w:val="decimal"/>
      <w:lvlText w:val="%1.%2.%3.%4.%5.%6.%7.%8."/>
      <w:lvlJc w:val="left"/>
      <w:pPr>
        <w:ind w:left="3711" w:hanging="1440"/>
      </w:pPr>
    </w:lvl>
    <w:lvl w:ilvl="8">
      <w:start w:val="1"/>
      <w:numFmt w:val="decimal"/>
      <w:lvlText w:val="%1.%2.%3.%4.%5.%6.%7.%8.%9."/>
      <w:lvlJc w:val="left"/>
      <w:pPr>
        <w:ind w:left="3984" w:hanging="1440"/>
      </w:pPr>
    </w:lvl>
  </w:abstractNum>
  <w:abstractNum w:abstractNumId="4" w15:restartNumberingAfterBreak="0">
    <w:nsid w:val="65292435"/>
    <w:multiLevelType w:val="hybridMultilevel"/>
    <w:tmpl w:val="67861F54"/>
    <w:lvl w:ilvl="0" w:tplc="609CD44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E01AF69E">
      <w:start w:val="1"/>
      <w:numFmt w:val="lowerLetter"/>
      <w:lvlText w:val="%2."/>
      <w:lvlJc w:val="left"/>
      <w:pPr>
        <w:ind w:left="1440" w:hanging="360"/>
      </w:pPr>
    </w:lvl>
    <w:lvl w:ilvl="2" w:tplc="CE5AD2E0">
      <w:start w:val="1"/>
      <w:numFmt w:val="lowerRoman"/>
      <w:lvlText w:val="%3."/>
      <w:lvlJc w:val="right"/>
      <w:pPr>
        <w:ind w:left="2160" w:hanging="180"/>
      </w:pPr>
    </w:lvl>
    <w:lvl w:ilvl="3" w:tplc="5C709422">
      <w:start w:val="1"/>
      <w:numFmt w:val="decimal"/>
      <w:lvlText w:val="%4."/>
      <w:lvlJc w:val="left"/>
      <w:pPr>
        <w:ind w:left="2880" w:hanging="360"/>
      </w:pPr>
    </w:lvl>
    <w:lvl w:ilvl="4" w:tplc="562C28A4">
      <w:start w:val="1"/>
      <w:numFmt w:val="lowerLetter"/>
      <w:lvlText w:val="%5."/>
      <w:lvlJc w:val="left"/>
      <w:pPr>
        <w:ind w:left="3600" w:hanging="360"/>
      </w:pPr>
    </w:lvl>
    <w:lvl w:ilvl="5" w:tplc="981AC7D2">
      <w:start w:val="1"/>
      <w:numFmt w:val="lowerRoman"/>
      <w:lvlText w:val="%6."/>
      <w:lvlJc w:val="right"/>
      <w:pPr>
        <w:ind w:left="4320" w:hanging="180"/>
      </w:pPr>
    </w:lvl>
    <w:lvl w:ilvl="6" w:tplc="6C7E901C">
      <w:start w:val="1"/>
      <w:numFmt w:val="decimal"/>
      <w:lvlText w:val="%7."/>
      <w:lvlJc w:val="left"/>
      <w:pPr>
        <w:ind w:left="5040" w:hanging="360"/>
      </w:pPr>
    </w:lvl>
    <w:lvl w:ilvl="7" w:tplc="2EB4341C">
      <w:start w:val="1"/>
      <w:numFmt w:val="lowerLetter"/>
      <w:lvlText w:val="%8."/>
      <w:lvlJc w:val="left"/>
      <w:pPr>
        <w:ind w:left="5760" w:hanging="360"/>
      </w:pPr>
    </w:lvl>
    <w:lvl w:ilvl="8" w:tplc="7AC8D7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134C1"/>
    <w:multiLevelType w:val="hybridMultilevel"/>
    <w:tmpl w:val="304A13E2"/>
    <w:lvl w:ilvl="0" w:tplc="13E6DC7C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20B29AB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E466C7B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2860B3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54C0D5D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372E279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CB615A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B29EDD7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1222E55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76"/>
    <w:rsid w:val="002A0095"/>
    <w:rsid w:val="008376E9"/>
    <w:rsid w:val="00A9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DE677-291B-41BC-AB4C-FD74DF79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rPr>
      <w:rFonts w:eastAsia="Times New Roman"/>
      <w:sz w:val="22"/>
      <w:szCs w:val="22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afa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c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aff">
    <w:name w:val="Статья_договора"/>
    <w:basedOn w:val="a"/>
    <w:uiPriority w:val="99"/>
    <w:pPr>
      <w:spacing w:after="0" w:line="240" w:lineRule="auto"/>
      <w:ind w:left="426"/>
      <w:jc w:val="both"/>
      <w:outlineLvl w:val="1"/>
    </w:pPr>
    <w:rPr>
      <w:rFonts w:ascii="Arial" w:hAnsi="Arial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styleId="aff0">
    <w:name w:val="Plain Text"/>
    <w:basedOn w:val="a"/>
    <w:link w:val="aff1"/>
    <w:pPr>
      <w:spacing w:after="0" w:line="240" w:lineRule="auto"/>
    </w:pPr>
    <w:rPr>
      <w:rFonts w:ascii="Courier New" w:hAnsi="Courier New"/>
      <w:color w:val="5F5F5F"/>
      <w:sz w:val="26"/>
      <w:szCs w:val="26"/>
    </w:rPr>
  </w:style>
  <w:style w:type="character" w:customStyle="1" w:styleId="aff1">
    <w:name w:val="Текст Знак"/>
    <w:link w:val="aff0"/>
    <w:rPr>
      <w:rFonts w:ascii="Courier New" w:eastAsia="Times New Roman" w:hAnsi="Courier New"/>
      <w:color w:val="5F5F5F"/>
      <w:sz w:val="26"/>
      <w:szCs w:val="26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25">
    <w:name w:val="Основной текст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/>
    </w:rPr>
  </w:style>
  <w:style w:type="character" w:customStyle="1" w:styleId="105pt">
    <w:name w:val="Основной текст + 10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Романова Анжелика Валерьевна</cp:lastModifiedBy>
  <cp:revision>3</cp:revision>
  <cp:lastPrinted>2026-06-18T04:21:00Z</cp:lastPrinted>
  <dcterms:created xsi:type="dcterms:W3CDTF">2026-06-17T03:10:00Z</dcterms:created>
  <dcterms:modified xsi:type="dcterms:W3CDTF">2026-06-18T04:21:00Z</dcterms:modified>
  <cp:version>917504</cp:version>
</cp:coreProperties>
</file>