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DB5" w:rsidRDefault="00E27DB5" w:rsidP="00073B91">
      <w:pPr>
        <w:spacing w:after="0"/>
        <w:ind w:firstLine="709"/>
        <w:jc w:val="center"/>
        <w:rPr>
          <w:b/>
        </w:rPr>
      </w:pPr>
    </w:p>
    <w:p w:rsidR="00D33B45" w:rsidRPr="00D1609B" w:rsidRDefault="00D33B45" w:rsidP="00073B91">
      <w:pPr>
        <w:spacing w:after="0"/>
        <w:ind w:firstLine="709"/>
        <w:jc w:val="center"/>
        <w:rPr>
          <w:b/>
        </w:rPr>
      </w:pPr>
      <w:r w:rsidRPr="00D1609B">
        <w:rPr>
          <w:b/>
        </w:rPr>
        <w:t>Обоснование расчета начальной (максимальной) цены</w:t>
      </w:r>
    </w:p>
    <w:p w:rsidR="00D33B45" w:rsidRPr="00812199" w:rsidRDefault="00D33B45" w:rsidP="00073B91">
      <w:pPr>
        <w:spacing w:after="0"/>
        <w:ind w:firstLine="709"/>
        <w:jc w:val="center"/>
        <w:rPr>
          <w:b/>
        </w:rPr>
      </w:pPr>
      <w:proofErr w:type="gramStart"/>
      <w:r w:rsidRPr="00D1609B">
        <w:rPr>
          <w:b/>
        </w:rPr>
        <w:t>контракта</w:t>
      </w:r>
      <w:proofErr w:type="gramEnd"/>
      <w:r w:rsidRPr="00D1609B">
        <w:rPr>
          <w:b/>
        </w:rPr>
        <w:t xml:space="preserve"> (НМЦК) на </w:t>
      </w:r>
      <w:r w:rsidR="00E27DB5" w:rsidRPr="00E27DB5">
        <w:rPr>
          <w:b/>
        </w:rPr>
        <w:t xml:space="preserve">поставку </w:t>
      </w:r>
      <w:r w:rsidR="002C4E49">
        <w:rPr>
          <w:b/>
        </w:rPr>
        <w:t>бланков</w:t>
      </w:r>
    </w:p>
    <w:p w:rsidR="00D33B45" w:rsidRDefault="00D33B45" w:rsidP="00D33B45">
      <w:pPr>
        <w:ind w:firstLine="709"/>
        <w:jc w:val="center"/>
        <w:rPr>
          <w:b/>
          <w:sz w:val="26"/>
          <w:szCs w:val="26"/>
        </w:rPr>
      </w:pPr>
    </w:p>
    <w:p w:rsidR="00D33B45" w:rsidRPr="00273197" w:rsidRDefault="00D33B45" w:rsidP="00D33B45">
      <w:pPr>
        <w:ind w:firstLine="709"/>
        <w:contextualSpacing/>
      </w:pPr>
      <w:r w:rsidRPr="00273197">
        <w:rPr>
          <w:b/>
        </w:rPr>
        <w:t>Метод сопоставимых рыночных цен</w:t>
      </w:r>
      <w:r w:rsidRPr="00273197">
        <w:t xml:space="preserve"> </w:t>
      </w:r>
      <w:r w:rsidRPr="00273197">
        <w:rPr>
          <w:b/>
        </w:rPr>
        <w:t>(анализ рынка)</w:t>
      </w:r>
      <w:r w:rsidRPr="00273197">
        <w:t xml:space="preserve"> (в соответствии с пунктом 1 части 1 статьи 22 Закона № 44-ФЗ).</w:t>
      </w:r>
    </w:p>
    <w:p w:rsidR="00615B96" w:rsidRPr="00615B96" w:rsidRDefault="0040613B" w:rsidP="00615B96">
      <w:pPr>
        <w:ind w:firstLine="709"/>
      </w:pPr>
      <w:r w:rsidRPr="00273197">
        <w:t xml:space="preserve">   </w:t>
      </w:r>
      <w:r w:rsidR="00DC4A3E" w:rsidRPr="00273197">
        <w:t xml:space="preserve"> </w:t>
      </w:r>
      <w:r w:rsidR="00EA53B2" w:rsidRPr="00EA53B2">
        <w:t>С целью определения НМЦК методом сопоставимых рыночных цен (анализа рынка), в соответствии с пунктом 3.7.1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были направлены запросы о предоставлении ценовой информации посредством запросов по электронной почте исполнителям, обладающим опытом оказания аналогичных услуг. При этом по условиям запросов цена контракта должна включать все расходы поставщика (подрядчика, исполнителя), необходимые для исполнения им своих обязательств по контракту в полном объеме и надлежащего качества, а также налоги, сборы и иные платежи, предусмотренные законодательством Российской Федерации.</w:t>
      </w:r>
    </w:p>
    <w:p w:rsidR="00615B96" w:rsidRPr="00615B96" w:rsidRDefault="00615B96" w:rsidP="00615B96">
      <w:pPr>
        <w:ind w:firstLine="709"/>
      </w:pPr>
      <w:r w:rsidRPr="00615B96">
        <w:t xml:space="preserve">Расчет начальной (максимальной) цены контракта осуществлен на основании </w:t>
      </w:r>
      <w:r w:rsidR="00EA53B2">
        <w:t>полученных коммерческих предложений</w:t>
      </w:r>
      <w:r w:rsidRPr="00615B96">
        <w:t xml:space="preserve">. Расчет приведен в Таблице № 1.  </w:t>
      </w:r>
    </w:p>
    <w:p w:rsidR="00D33B45" w:rsidRPr="00371BCB" w:rsidRDefault="00D33B45" w:rsidP="00615B96">
      <w:pPr>
        <w:ind w:firstLine="709"/>
        <w:jc w:val="right"/>
        <w:rPr>
          <w:sz w:val="22"/>
          <w:szCs w:val="22"/>
        </w:rPr>
      </w:pPr>
      <w:r w:rsidRPr="00371BCB">
        <w:rPr>
          <w:sz w:val="22"/>
          <w:szCs w:val="22"/>
        </w:rPr>
        <w:t xml:space="preserve">Таблица № </w:t>
      </w:r>
      <w:r w:rsidR="0040613B">
        <w:rPr>
          <w:sz w:val="22"/>
          <w:szCs w:val="22"/>
        </w:rPr>
        <w:t>1</w:t>
      </w:r>
    </w:p>
    <w:tbl>
      <w:tblPr>
        <w:tblStyle w:val="a3"/>
        <w:tblW w:w="10324" w:type="dxa"/>
        <w:tblLayout w:type="fixed"/>
        <w:tblLook w:val="04A0" w:firstRow="1" w:lastRow="0" w:firstColumn="1" w:lastColumn="0" w:noHBand="0" w:noVBand="1"/>
      </w:tblPr>
      <w:tblGrid>
        <w:gridCol w:w="1555"/>
        <w:gridCol w:w="992"/>
        <w:gridCol w:w="709"/>
        <w:gridCol w:w="1559"/>
        <w:gridCol w:w="1417"/>
        <w:gridCol w:w="1418"/>
        <w:gridCol w:w="1337"/>
        <w:gridCol w:w="1337"/>
      </w:tblGrid>
      <w:tr w:rsidR="000C434F" w:rsidTr="000C434F">
        <w:tc>
          <w:tcPr>
            <w:tcW w:w="1555" w:type="dxa"/>
          </w:tcPr>
          <w:p w:rsidR="000C434F" w:rsidRPr="0001016D" w:rsidRDefault="000C434F" w:rsidP="009639A1">
            <w:pPr>
              <w:spacing w:after="0"/>
              <w:jc w:val="center"/>
              <w:rPr>
                <w:b/>
                <w:sz w:val="26"/>
                <w:szCs w:val="26"/>
              </w:rPr>
            </w:pPr>
            <w:r w:rsidRPr="0001016D">
              <w:rPr>
                <w:b/>
                <w:sz w:val="18"/>
                <w:szCs w:val="18"/>
              </w:rPr>
              <w:t>Наименование товара</w:t>
            </w:r>
          </w:p>
        </w:tc>
        <w:tc>
          <w:tcPr>
            <w:tcW w:w="992" w:type="dxa"/>
          </w:tcPr>
          <w:p w:rsidR="000C434F" w:rsidRPr="0001016D" w:rsidRDefault="000C434F" w:rsidP="009639A1">
            <w:pPr>
              <w:spacing w:after="0"/>
              <w:jc w:val="center"/>
              <w:rPr>
                <w:b/>
                <w:sz w:val="26"/>
                <w:szCs w:val="26"/>
              </w:rPr>
            </w:pPr>
            <w:r w:rsidRPr="0001016D">
              <w:rPr>
                <w:b/>
                <w:sz w:val="18"/>
                <w:szCs w:val="18"/>
              </w:rPr>
              <w:t>Ед. изм.</w:t>
            </w:r>
          </w:p>
        </w:tc>
        <w:tc>
          <w:tcPr>
            <w:tcW w:w="709" w:type="dxa"/>
          </w:tcPr>
          <w:p w:rsidR="000C434F" w:rsidRPr="0001016D" w:rsidRDefault="000C434F" w:rsidP="009639A1">
            <w:pPr>
              <w:spacing w:after="0"/>
              <w:jc w:val="center"/>
              <w:rPr>
                <w:b/>
                <w:sz w:val="26"/>
                <w:szCs w:val="26"/>
              </w:rPr>
            </w:pPr>
            <w:r w:rsidRPr="0001016D">
              <w:rPr>
                <w:b/>
                <w:sz w:val="18"/>
                <w:szCs w:val="18"/>
              </w:rPr>
              <w:t xml:space="preserve">Кол-во </w:t>
            </w:r>
          </w:p>
        </w:tc>
        <w:tc>
          <w:tcPr>
            <w:tcW w:w="1559" w:type="dxa"/>
            <w:tcBorders>
              <w:top w:val="single" w:sz="4" w:space="0" w:color="auto"/>
              <w:left w:val="single" w:sz="4" w:space="0" w:color="auto"/>
              <w:bottom w:val="single" w:sz="4" w:space="0" w:color="auto"/>
              <w:right w:val="single" w:sz="4" w:space="0" w:color="auto"/>
            </w:tcBorders>
            <w:vAlign w:val="center"/>
          </w:tcPr>
          <w:p w:rsidR="000C434F" w:rsidRDefault="000C434F" w:rsidP="00BA4F42">
            <w:pPr>
              <w:spacing w:after="0"/>
              <w:jc w:val="center"/>
              <w:rPr>
                <w:rFonts w:eastAsia="Calibri"/>
                <w:b/>
                <w:sz w:val="18"/>
                <w:szCs w:val="18"/>
              </w:rPr>
            </w:pPr>
            <w:r>
              <w:rPr>
                <w:rFonts w:eastAsia="Calibri"/>
                <w:b/>
                <w:sz w:val="18"/>
                <w:szCs w:val="18"/>
              </w:rPr>
              <w:t xml:space="preserve">Предложение № 1 </w:t>
            </w:r>
          </w:p>
          <w:p w:rsidR="000C434F" w:rsidRPr="008C490F" w:rsidRDefault="000C434F" w:rsidP="000C434F">
            <w:pPr>
              <w:spacing w:after="0"/>
              <w:jc w:val="center"/>
              <w:rPr>
                <w:rFonts w:eastAsia="Calibri"/>
                <w:b/>
                <w:sz w:val="18"/>
                <w:szCs w:val="18"/>
              </w:rPr>
            </w:pPr>
            <w:r>
              <w:rPr>
                <w:rFonts w:eastAsia="Calibri"/>
                <w:b/>
                <w:sz w:val="18"/>
                <w:szCs w:val="18"/>
              </w:rPr>
              <w:t>№ 105 от 16.06.2026</w:t>
            </w:r>
          </w:p>
        </w:tc>
        <w:tc>
          <w:tcPr>
            <w:tcW w:w="1417" w:type="dxa"/>
            <w:tcBorders>
              <w:top w:val="single" w:sz="4" w:space="0" w:color="auto"/>
              <w:left w:val="single" w:sz="4" w:space="0" w:color="auto"/>
              <w:bottom w:val="single" w:sz="4" w:space="0" w:color="auto"/>
              <w:right w:val="single" w:sz="4" w:space="0" w:color="auto"/>
            </w:tcBorders>
            <w:vAlign w:val="center"/>
          </w:tcPr>
          <w:p w:rsidR="000C434F" w:rsidRDefault="000C434F" w:rsidP="000C4660">
            <w:pPr>
              <w:spacing w:after="0"/>
              <w:jc w:val="center"/>
              <w:rPr>
                <w:rFonts w:eastAsia="Calibri"/>
                <w:b/>
                <w:sz w:val="18"/>
                <w:szCs w:val="18"/>
              </w:rPr>
            </w:pPr>
            <w:r>
              <w:rPr>
                <w:rFonts w:eastAsia="Calibri"/>
                <w:b/>
                <w:sz w:val="18"/>
                <w:szCs w:val="18"/>
              </w:rPr>
              <w:t xml:space="preserve">Предложение № 2 </w:t>
            </w:r>
          </w:p>
          <w:p w:rsidR="000C434F" w:rsidRPr="008C490F" w:rsidRDefault="000C434F" w:rsidP="000C4660">
            <w:pPr>
              <w:spacing w:after="0"/>
              <w:jc w:val="center"/>
              <w:rPr>
                <w:rFonts w:eastAsia="Calibri"/>
                <w:b/>
                <w:sz w:val="18"/>
                <w:szCs w:val="18"/>
              </w:rPr>
            </w:pPr>
            <w:proofErr w:type="gramStart"/>
            <w:r>
              <w:rPr>
                <w:rFonts w:eastAsia="Calibri"/>
                <w:b/>
                <w:sz w:val="18"/>
                <w:szCs w:val="18"/>
              </w:rPr>
              <w:t>б</w:t>
            </w:r>
            <w:proofErr w:type="gramEnd"/>
            <w:r>
              <w:rPr>
                <w:rFonts w:eastAsia="Calibri"/>
                <w:b/>
                <w:sz w:val="18"/>
                <w:szCs w:val="18"/>
              </w:rPr>
              <w:t>/н от 16.06.2026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C434F" w:rsidRDefault="000C434F" w:rsidP="009639A1">
            <w:pPr>
              <w:spacing w:after="0"/>
              <w:jc w:val="center"/>
              <w:rPr>
                <w:rFonts w:eastAsia="Calibri"/>
                <w:b/>
                <w:sz w:val="18"/>
                <w:szCs w:val="18"/>
              </w:rPr>
            </w:pPr>
            <w:r>
              <w:rPr>
                <w:rFonts w:eastAsia="Calibri"/>
                <w:b/>
                <w:sz w:val="18"/>
                <w:szCs w:val="18"/>
              </w:rPr>
              <w:t xml:space="preserve">Предложение № 3 </w:t>
            </w:r>
          </w:p>
          <w:p w:rsidR="000C434F" w:rsidRPr="008C490F" w:rsidRDefault="000C434F" w:rsidP="000C434F">
            <w:pPr>
              <w:spacing w:after="0"/>
              <w:jc w:val="center"/>
              <w:rPr>
                <w:rFonts w:eastAsia="Calibri"/>
                <w:b/>
                <w:sz w:val="18"/>
                <w:szCs w:val="18"/>
              </w:rPr>
            </w:pPr>
            <w:r>
              <w:rPr>
                <w:rFonts w:eastAsia="Calibri"/>
                <w:b/>
                <w:sz w:val="18"/>
                <w:szCs w:val="18"/>
              </w:rPr>
              <w:t>№ 99 от 16.06.2026</w:t>
            </w:r>
          </w:p>
        </w:tc>
        <w:tc>
          <w:tcPr>
            <w:tcW w:w="1337" w:type="dxa"/>
            <w:vAlign w:val="center"/>
          </w:tcPr>
          <w:p w:rsidR="000C434F" w:rsidRPr="000C434F" w:rsidRDefault="000C434F" w:rsidP="000C434F">
            <w:pPr>
              <w:jc w:val="center"/>
              <w:rPr>
                <w:b/>
                <w:sz w:val="20"/>
                <w:szCs w:val="20"/>
              </w:rPr>
            </w:pPr>
            <w:r w:rsidRPr="000C434F">
              <w:rPr>
                <w:b/>
                <w:sz w:val="20"/>
                <w:szCs w:val="20"/>
              </w:rPr>
              <w:t>Средняя цена за ед./руб.</w:t>
            </w:r>
          </w:p>
        </w:tc>
        <w:tc>
          <w:tcPr>
            <w:tcW w:w="1337" w:type="dxa"/>
            <w:vAlign w:val="center"/>
          </w:tcPr>
          <w:p w:rsidR="000C434F" w:rsidRPr="000C434F" w:rsidRDefault="000C434F" w:rsidP="000C434F">
            <w:pPr>
              <w:jc w:val="center"/>
              <w:rPr>
                <w:rFonts w:eastAsia="Calibri"/>
                <w:b/>
                <w:sz w:val="20"/>
                <w:szCs w:val="20"/>
              </w:rPr>
            </w:pPr>
            <w:r w:rsidRPr="000C434F">
              <w:rPr>
                <w:rFonts w:eastAsia="Calibri"/>
                <w:b/>
                <w:sz w:val="20"/>
                <w:szCs w:val="20"/>
              </w:rPr>
              <w:t>НМЦК</w:t>
            </w:r>
          </w:p>
          <w:p w:rsidR="000C434F" w:rsidRPr="000C434F" w:rsidRDefault="000C434F" w:rsidP="000C434F">
            <w:pPr>
              <w:jc w:val="center"/>
              <w:rPr>
                <w:rFonts w:eastAsia="Calibri"/>
                <w:b/>
                <w:sz w:val="20"/>
                <w:szCs w:val="20"/>
              </w:rPr>
            </w:pPr>
            <w:r w:rsidRPr="000C434F">
              <w:rPr>
                <w:rFonts w:eastAsia="Calibri"/>
                <w:b/>
                <w:sz w:val="20"/>
                <w:szCs w:val="20"/>
              </w:rPr>
              <w:t>(руб.)</w:t>
            </w:r>
          </w:p>
        </w:tc>
      </w:tr>
      <w:tr w:rsidR="000C434F" w:rsidTr="000C434F">
        <w:tc>
          <w:tcPr>
            <w:tcW w:w="1555" w:type="dxa"/>
            <w:tcBorders>
              <w:top w:val="single" w:sz="4" w:space="0" w:color="auto"/>
              <w:left w:val="single" w:sz="4" w:space="0" w:color="auto"/>
              <w:bottom w:val="single" w:sz="4" w:space="0" w:color="auto"/>
              <w:right w:val="single" w:sz="4" w:space="0" w:color="auto"/>
            </w:tcBorders>
            <w:vAlign w:val="center"/>
          </w:tcPr>
          <w:p w:rsidR="000C434F" w:rsidRPr="009639A1" w:rsidDel="009E75CA" w:rsidRDefault="000C434F" w:rsidP="009639A1">
            <w:pPr>
              <w:tabs>
                <w:tab w:val="left" w:pos="75"/>
              </w:tabs>
              <w:spacing w:after="0"/>
              <w:jc w:val="center"/>
              <w:rPr>
                <w:sz w:val="22"/>
                <w:szCs w:val="22"/>
              </w:rPr>
            </w:pPr>
            <w:r>
              <w:rPr>
                <w:color w:val="000000"/>
              </w:rPr>
              <w:t>Бланк (формата А4)</w:t>
            </w:r>
          </w:p>
        </w:tc>
        <w:tc>
          <w:tcPr>
            <w:tcW w:w="992" w:type="dxa"/>
            <w:tcBorders>
              <w:top w:val="single" w:sz="4" w:space="0" w:color="auto"/>
              <w:left w:val="single" w:sz="4" w:space="0" w:color="auto"/>
              <w:bottom w:val="single" w:sz="4" w:space="0" w:color="auto"/>
              <w:right w:val="single" w:sz="4" w:space="0" w:color="auto"/>
            </w:tcBorders>
            <w:vAlign w:val="center"/>
          </w:tcPr>
          <w:p w:rsidR="000C434F" w:rsidRPr="009639A1" w:rsidRDefault="000C434F" w:rsidP="009639A1">
            <w:pPr>
              <w:spacing w:after="0"/>
              <w:jc w:val="center"/>
              <w:rPr>
                <w:sz w:val="22"/>
                <w:szCs w:val="22"/>
              </w:rPr>
            </w:pPr>
            <w:proofErr w:type="gramStart"/>
            <w:r>
              <w:rPr>
                <w:sz w:val="22"/>
                <w:szCs w:val="22"/>
              </w:rPr>
              <w:t>штука</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0C434F" w:rsidRPr="009639A1" w:rsidRDefault="000C434F" w:rsidP="009639A1">
            <w:pPr>
              <w:spacing w:after="0"/>
              <w:jc w:val="center"/>
              <w:rPr>
                <w:sz w:val="22"/>
                <w:szCs w:val="22"/>
              </w:rPr>
            </w:pPr>
            <w:r>
              <w:rPr>
                <w:sz w:val="22"/>
                <w:szCs w:val="22"/>
              </w:rPr>
              <w:t>400</w:t>
            </w:r>
          </w:p>
        </w:tc>
        <w:tc>
          <w:tcPr>
            <w:tcW w:w="1559" w:type="dxa"/>
            <w:vAlign w:val="center"/>
          </w:tcPr>
          <w:p w:rsidR="000C434F" w:rsidRPr="009639A1" w:rsidRDefault="000C434F" w:rsidP="00061A1B">
            <w:pPr>
              <w:jc w:val="center"/>
              <w:rPr>
                <w:sz w:val="22"/>
                <w:szCs w:val="22"/>
              </w:rPr>
            </w:pPr>
            <w:r>
              <w:rPr>
                <w:sz w:val="22"/>
                <w:szCs w:val="22"/>
              </w:rPr>
              <w:t>65,00</w:t>
            </w:r>
          </w:p>
        </w:tc>
        <w:tc>
          <w:tcPr>
            <w:tcW w:w="1417" w:type="dxa"/>
            <w:vAlign w:val="center"/>
          </w:tcPr>
          <w:p w:rsidR="000C434F" w:rsidRPr="009639A1" w:rsidRDefault="000C434F" w:rsidP="000C434F">
            <w:pPr>
              <w:jc w:val="center"/>
              <w:rPr>
                <w:sz w:val="22"/>
                <w:szCs w:val="22"/>
              </w:rPr>
            </w:pPr>
            <w:r>
              <w:rPr>
                <w:sz w:val="22"/>
                <w:szCs w:val="22"/>
              </w:rPr>
              <w:t xml:space="preserve">67,50 </w:t>
            </w:r>
          </w:p>
        </w:tc>
        <w:tc>
          <w:tcPr>
            <w:tcW w:w="1418" w:type="dxa"/>
            <w:vAlign w:val="center"/>
          </w:tcPr>
          <w:p w:rsidR="000C434F" w:rsidRPr="009639A1" w:rsidRDefault="000C434F" w:rsidP="009639A1">
            <w:pPr>
              <w:jc w:val="center"/>
              <w:rPr>
                <w:sz w:val="22"/>
                <w:szCs w:val="22"/>
              </w:rPr>
            </w:pPr>
            <w:r>
              <w:rPr>
                <w:sz w:val="22"/>
                <w:szCs w:val="22"/>
              </w:rPr>
              <w:t>62,50</w:t>
            </w:r>
          </w:p>
        </w:tc>
        <w:tc>
          <w:tcPr>
            <w:tcW w:w="1337" w:type="dxa"/>
            <w:tcBorders>
              <w:top w:val="single" w:sz="4" w:space="0" w:color="auto"/>
              <w:left w:val="single" w:sz="4" w:space="0" w:color="auto"/>
              <w:bottom w:val="single" w:sz="4" w:space="0" w:color="auto"/>
              <w:right w:val="single" w:sz="4" w:space="0" w:color="auto"/>
            </w:tcBorders>
            <w:vAlign w:val="center"/>
          </w:tcPr>
          <w:p w:rsidR="000C434F" w:rsidRPr="009639A1" w:rsidRDefault="000C434F" w:rsidP="009639A1">
            <w:pPr>
              <w:spacing w:after="0"/>
              <w:jc w:val="center"/>
              <w:rPr>
                <w:sz w:val="22"/>
                <w:szCs w:val="22"/>
              </w:rPr>
            </w:pPr>
            <w:r>
              <w:rPr>
                <w:sz w:val="22"/>
                <w:szCs w:val="22"/>
              </w:rPr>
              <w:t>65,00</w:t>
            </w:r>
          </w:p>
        </w:tc>
        <w:tc>
          <w:tcPr>
            <w:tcW w:w="1337" w:type="dxa"/>
            <w:tcBorders>
              <w:top w:val="single" w:sz="4" w:space="0" w:color="auto"/>
              <w:left w:val="single" w:sz="4" w:space="0" w:color="auto"/>
              <w:bottom w:val="single" w:sz="4" w:space="0" w:color="auto"/>
              <w:right w:val="single" w:sz="4" w:space="0" w:color="auto"/>
            </w:tcBorders>
          </w:tcPr>
          <w:p w:rsidR="000C434F" w:rsidRDefault="000C434F" w:rsidP="009639A1">
            <w:pPr>
              <w:spacing w:after="0"/>
              <w:jc w:val="center"/>
              <w:rPr>
                <w:sz w:val="22"/>
                <w:szCs w:val="22"/>
              </w:rPr>
            </w:pPr>
          </w:p>
          <w:p w:rsidR="000C434F" w:rsidRDefault="000C434F" w:rsidP="009639A1">
            <w:pPr>
              <w:spacing w:after="0"/>
              <w:jc w:val="center"/>
              <w:rPr>
                <w:sz w:val="22"/>
                <w:szCs w:val="22"/>
              </w:rPr>
            </w:pPr>
            <w:r>
              <w:rPr>
                <w:sz w:val="22"/>
                <w:szCs w:val="22"/>
              </w:rPr>
              <w:t>26 000,00</w:t>
            </w:r>
          </w:p>
        </w:tc>
      </w:tr>
    </w:tbl>
    <w:p w:rsidR="008C490F" w:rsidRPr="00371BCB" w:rsidRDefault="008C490F" w:rsidP="00D33B45">
      <w:pPr>
        <w:ind w:firstLine="709"/>
        <w:rPr>
          <w:sz w:val="26"/>
          <w:szCs w:val="26"/>
        </w:rPr>
      </w:pPr>
    </w:p>
    <w:p w:rsidR="00D33B45" w:rsidRPr="008177E3" w:rsidRDefault="00D33B45" w:rsidP="00D33B45">
      <w:pPr>
        <w:ind w:firstLine="709"/>
      </w:pPr>
      <w:r w:rsidRPr="008177E3">
        <w:t>Начальная (максимальная) цена контракта была определена по формуле:</w:t>
      </w:r>
    </w:p>
    <w:p w:rsidR="00BE5DE1" w:rsidRDefault="00D33B45" w:rsidP="00D33B45">
      <w:pPr>
        <w:ind w:firstLine="709"/>
        <w:rPr>
          <w:sz w:val="26"/>
          <w:szCs w:val="26"/>
        </w:rPr>
      </w:pPr>
      <w:r w:rsidRPr="00371BCB">
        <w:rPr>
          <w:noProof/>
          <w:sz w:val="26"/>
          <w:szCs w:val="26"/>
        </w:rPr>
        <w:drawing>
          <wp:inline distT="0" distB="0" distL="0" distR="0" wp14:anchorId="285999A4" wp14:editId="1067F874">
            <wp:extent cx="1628775" cy="400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r w:rsidRPr="00371BCB">
        <w:rPr>
          <w:sz w:val="26"/>
          <w:szCs w:val="26"/>
        </w:rPr>
        <w:t xml:space="preserve"> </w:t>
      </w:r>
    </w:p>
    <w:p w:rsidR="00D33B45" w:rsidRPr="00371BCB" w:rsidRDefault="00D33B45" w:rsidP="00D33B45">
      <w:pPr>
        <w:ind w:firstLine="709"/>
        <w:rPr>
          <w:sz w:val="26"/>
          <w:szCs w:val="26"/>
        </w:rPr>
      </w:pPr>
      <w:proofErr w:type="gramStart"/>
      <w:r w:rsidRPr="00371BCB">
        <w:rPr>
          <w:sz w:val="26"/>
          <w:szCs w:val="26"/>
        </w:rPr>
        <w:t>где</w:t>
      </w:r>
      <w:proofErr w:type="gramEnd"/>
      <w:r w:rsidRPr="00371BCB">
        <w:rPr>
          <w:sz w:val="26"/>
          <w:szCs w:val="26"/>
        </w:rPr>
        <w:t>:</w:t>
      </w:r>
    </w:p>
    <w:p w:rsidR="00D33B45" w:rsidRPr="008177E3" w:rsidRDefault="00D33B45" w:rsidP="00D33B45">
      <w:pPr>
        <w:ind w:firstLine="709"/>
      </w:pPr>
      <w:r w:rsidRPr="00371BCB">
        <w:rPr>
          <w:noProof/>
          <w:sz w:val="26"/>
          <w:szCs w:val="26"/>
        </w:rPr>
        <w:drawing>
          <wp:inline distT="0" distB="0" distL="0" distR="0" wp14:anchorId="7FB345BD" wp14:editId="1B876E6E">
            <wp:extent cx="6762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371BCB">
        <w:rPr>
          <w:sz w:val="26"/>
          <w:szCs w:val="26"/>
        </w:rPr>
        <w:t xml:space="preserve"> - НМЦК, </w:t>
      </w:r>
      <w:r w:rsidRPr="008177E3">
        <w:t>определяемая методом сопоставимых рыночных цен (анализа рынка);</w:t>
      </w:r>
    </w:p>
    <w:p w:rsidR="00D33B45" w:rsidRPr="008177E3" w:rsidRDefault="00D33B45" w:rsidP="00D33B45">
      <w:pPr>
        <w:ind w:firstLine="709"/>
      </w:pPr>
      <w:r w:rsidRPr="008177E3">
        <w:rPr>
          <w:noProof/>
        </w:rPr>
        <w:drawing>
          <wp:inline distT="0" distB="0" distL="0" distR="0" wp14:anchorId="35A434B9" wp14:editId="778770F9">
            <wp:extent cx="123825" cy="142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177E3">
        <w:t>- количество (объем) закупаемого товара (работы, услуги);</w:t>
      </w:r>
    </w:p>
    <w:p w:rsidR="00D33B45" w:rsidRPr="008177E3" w:rsidRDefault="00D33B45" w:rsidP="00D33B45">
      <w:pPr>
        <w:ind w:firstLine="709"/>
      </w:pPr>
      <w:r w:rsidRPr="008177E3">
        <w:rPr>
          <w:noProof/>
        </w:rPr>
        <w:drawing>
          <wp:inline distT="0" distB="0" distL="0" distR="0" wp14:anchorId="22060382" wp14:editId="5BC1603A">
            <wp:extent cx="123825" cy="142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177E3">
        <w:t xml:space="preserve"> - количество значений, используемых в расчете;</w:t>
      </w:r>
    </w:p>
    <w:p w:rsidR="00D33B45" w:rsidRPr="008177E3" w:rsidRDefault="00D33B45" w:rsidP="00D33B45">
      <w:pPr>
        <w:ind w:firstLine="709"/>
      </w:pPr>
      <w:r w:rsidRPr="008177E3">
        <w:rPr>
          <w:noProof/>
        </w:rPr>
        <w:drawing>
          <wp:inline distT="0" distB="0" distL="0" distR="0" wp14:anchorId="24956E48" wp14:editId="13B49880">
            <wp:extent cx="85725" cy="161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177E3">
        <w:t xml:space="preserve"> - номер источника ценовой информации;</w:t>
      </w:r>
    </w:p>
    <w:p w:rsidR="00D33B45" w:rsidRPr="008177E3" w:rsidRDefault="00D33B45" w:rsidP="00D33B45">
      <w:pPr>
        <w:ind w:firstLine="709"/>
      </w:pPr>
      <w:r w:rsidRPr="008177E3">
        <w:rPr>
          <w:noProof/>
        </w:rPr>
        <w:drawing>
          <wp:inline distT="0" distB="0" distL="0" distR="0" wp14:anchorId="124B1FE6" wp14:editId="67137346">
            <wp:extent cx="1524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177E3">
        <w:t xml:space="preserve"> - цена единицы товара, работы, услуг, представленная в источнике </w:t>
      </w:r>
      <w:r w:rsidRPr="008177E3">
        <w:br/>
        <w:t xml:space="preserve">с </w:t>
      </w:r>
      <w:proofErr w:type="gramStart"/>
      <w:r w:rsidRPr="008177E3">
        <w:t xml:space="preserve">номером </w:t>
      </w:r>
      <w:r w:rsidRPr="008177E3">
        <w:rPr>
          <w:noProof/>
        </w:rPr>
        <w:drawing>
          <wp:inline distT="0" distB="0" distL="0" distR="0" wp14:anchorId="703A3186" wp14:editId="038ACD81">
            <wp:extent cx="85725" cy="161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177E3">
        <w:t>,</w:t>
      </w:r>
      <w:proofErr w:type="gramEnd"/>
      <w:r w:rsidRPr="008177E3">
        <w:t xml:space="preserve">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AC01A5" w:rsidRPr="00157771" w:rsidRDefault="00AC01A5" w:rsidP="00AC01A5">
      <w:pPr>
        <w:ind w:firstLine="709"/>
        <w:rPr>
          <w:rFonts w:eastAsia="Calibri"/>
        </w:rPr>
      </w:pPr>
      <w:r w:rsidRPr="00157771">
        <w:rPr>
          <w:rFonts w:eastAsia="Calibri"/>
        </w:rPr>
        <w:t>В целях определения однородности совокупности значений цен, используемых в расчете начальной (максимальной) цены контракта определен коэффициент вариации.</w:t>
      </w:r>
      <w:r w:rsidRPr="00157771">
        <w:t xml:space="preserve"> </w:t>
      </w:r>
      <w:r w:rsidRPr="00157771">
        <w:rPr>
          <w:rFonts w:eastAsia="Calibri"/>
        </w:rPr>
        <w:t>Коэффицие</w:t>
      </w:r>
      <w:r>
        <w:rPr>
          <w:rFonts w:eastAsia="Calibri"/>
        </w:rPr>
        <w:t xml:space="preserve">нт вариации цены составляет </w:t>
      </w:r>
      <w:r w:rsidR="00D845BB">
        <w:rPr>
          <w:rFonts w:eastAsia="Calibri"/>
        </w:rPr>
        <w:t>3,85</w:t>
      </w:r>
      <w:r w:rsidRPr="00157771">
        <w:rPr>
          <w:rFonts w:eastAsia="Calibri"/>
        </w:rPr>
        <w:t xml:space="preserve">%*, таким образом, выявлена однородность совокупности значений, используемых в расчете при определении НМЦК (* - коэффициент вариации менее 33 %, совокупность цен принимается однородной). </w:t>
      </w:r>
    </w:p>
    <w:p w:rsidR="00AC01A5" w:rsidRDefault="00AC01A5" w:rsidP="00AC01A5">
      <w:pPr>
        <w:autoSpaceDE w:val="0"/>
        <w:autoSpaceDN w:val="0"/>
        <w:adjustRightInd w:val="0"/>
        <w:spacing w:after="0"/>
        <w:ind w:firstLine="709"/>
      </w:pPr>
      <w:r w:rsidRPr="00157771">
        <w:rPr>
          <w:rFonts w:eastAsia="Calibri"/>
        </w:rPr>
        <w:t xml:space="preserve">Начальная (максимальная) цена контракта рассчитана методом сопоставимых рыночных цен (анализ рынка), не превышает сумму нормативных затрат, установленных и рассчитанных в соответствии с Приказом и составляет </w:t>
      </w:r>
      <w:r w:rsidR="00F97C8A">
        <w:rPr>
          <w:b/>
          <w:sz w:val="22"/>
          <w:szCs w:val="22"/>
        </w:rPr>
        <w:t>26 000</w:t>
      </w:r>
      <w:r w:rsidRPr="00157771">
        <w:rPr>
          <w:sz w:val="22"/>
          <w:szCs w:val="22"/>
        </w:rPr>
        <w:t xml:space="preserve"> </w:t>
      </w:r>
      <w:r w:rsidRPr="00157771">
        <w:rPr>
          <w:b/>
          <w:color w:val="000000"/>
          <w:lang w:eastAsia="x-none"/>
        </w:rPr>
        <w:t>(</w:t>
      </w:r>
      <w:r w:rsidR="00F97C8A">
        <w:rPr>
          <w:b/>
          <w:color w:val="000000"/>
          <w:lang w:eastAsia="x-none"/>
        </w:rPr>
        <w:t>Двадцать шесть тысяч</w:t>
      </w:r>
      <w:bookmarkStart w:id="0" w:name="_GoBack"/>
      <w:bookmarkEnd w:id="0"/>
      <w:r w:rsidR="005C1E31">
        <w:rPr>
          <w:b/>
          <w:color w:val="000000"/>
          <w:lang w:eastAsia="x-none"/>
        </w:rPr>
        <w:t>) рублей</w:t>
      </w:r>
      <w:r w:rsidRPr="00157771">
        <w:rPr>
          <w:b/>
          <w:color w:val="000000"/>
          <w:lang w:eastAsia="x-none"/>
        </w:rPr>
        <w:t xml:space="preserve"> </w:t>
      </w:r>
      <w:r w:rsidR="002D2BA9">
        <w:rPr>
          <w:b/>
          <w:color w:val="000000"/>
          <w:lang w:eastAsia="x-none"/>
        </w:rPr>
        <w:t>00 копеек</w:t>
      </w:r>
      <w:r w:rsidRPr="00157771">
        <w:rPr>
          <w:b/>
          <w:color w:val="000000"/>
          <w:lang w:eastAsia="x-none"/>
        </w:rPr>
        <w:t>.</w:t>
      </w:r>
      <w:r>
        <w:rPr>
          <w:b/>
          <w:color w:val="000000"/>
          <w:lang w:eastAsia="x-none"/>
        </w:rPr>
        <w:t xml:space="preserve"> </w:t>
      </w:r>
    </w:p>
    <w:p w:rsidR="000C4660" w:rsidRPr="00390482" w:rsidRDefault="000C4660" w:rsidP="000C4660">
      <w:pPr>
        <w:autoSpaceDE w:val="0"/>
        <w:autoSpaceDN w:val="0"/>
        <w:adjustRightInd w:val="0"/>
        <w:ind w:right="-2" w:firstLine="708"/>
      </w:pPr>
      <w:r w:rsidRPr="00390482">
        <w:t xml:space="preserve">Валюта, используемая для формирования цены контракта и расчетов с Поставщиком - рубль Российской Федерации. Порядок применения официального курса иностранной валюты к </w:t>
      </w:r>
      <w:r w:rsidRPr="00390482">
        <w:lastRenderedPageBreak/>
        <w:t xml:space="preserve">рублю Российской Федерации настоящим обоснованием не установлен. При оплате контракта порядок применения курса иностранной валюты не применяется. Начальная (максимальная) цена контракта включает в себя стоимость товара, транспортные расходы, стоимость упаковки, страховку, уплату таможенных пошлин, погрузочно-разгрузочные работы на склад Заказчика, налоги и другие обязательные платежи, связанные с исполнением контракта. Аванс не предусмотрен.   </w:t>
      </w:r>
    </w:p>
    <w:p w:rsidR="00346FCA" w:rsidRDefault="00346FCA" w:rsidP="000C4660">
      <w:pPr>
        <w:autoSpaceDE w:val="0"/>
        <w:autoSpaceDN w:val="0"/>
        <w:adjustRightInd w:val="0"/>
        <w:ind w:firstLine="708"/>
        <w:jc w:val="left"/>
        <w:rPr>
          <w:b/>
        </w:rPr>
      </w:pPr>
    </w:p>
    <w:p w:rsidR="000C4660" w:rsidRDefault="000C4660"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615B96" w:rsidRDefault="00615B96"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934B7A" w:rsidRDefault="00934B7A" w:rsidP="000C4660">
      <w:pPr>
        <w:autoSpaceDE w:val="0"/>
        <w:autoSpaceDN w:val="0"/>
        <w:adjustRightInd w:val="0"/>
        <w:ind w:firstLine="708"/>
        <w:jc w:val="left"/>
      </w:pPr>
    </w:p>
    <w:p w:rsidR="00934B7A" w:rsidRDefault="00934B7A"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sectPr w:rsidR="000C4660" w:rsidSect="00AC01A5">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45"/>
    <w:rsid w:val="0001016D"/>
    <w:rsid w:val="000114F2"/>
    <w:rsid w:val="00024861"/>
    <w:rsid w:val="00061A1B"/>
    <w:rsid w:val="00063FA9"/>
    <w:rsid w:val="000677EE"/>
    <w:rsid w:val="00073B91"/>
    <w:rsid w:val="00083A63"/>
    <w:rsid w:val="000C434F"/>
    <w:rsid w:val="000C4660"/>
    <w:rsid w:val="00101564"/>
    <w:rsid w:val="00112140"/>
    <w:rsid w:val="0012003C"/>
    <w:rsid w:val="00132EAE"/>
    <w:rsid w:val="001B2D42"/>
    <w:rsid w:val="001D6D05"/>
    <w:rsid w:val="002002E0"/>
    <w:rsid w:val="00227BBE"/>
    <w:rsid w:val="0023476F"/>
    <w:rsid w:val="00271E15"/>
    <w:rsid w:val="00273197"/>
    <w:rsid w:val="002A49BD"/>
    <w:rsid w:val="002A7EF9"/>
    <w:rsid w:val="002C4E49"/>
    <w:rsid w:val="002D2BA9"/>
    <w:rsid w:val="002D4B38"/>
    <w:rsid w:val="00346FCA"/>
    <w:rsid w:val="003525D3"/>
    <w:rsid w:val="00355FD4"/>
    <w:rsid w:val="0038345B"/>
    <w:rsid w:val="003A4072"/>
    <w:rsid w:val="003E7EC2"/>
    <w:rsid w:val="003F5E98"/>
    <w:rsid w:val="0040384E"/>
    <w:rsid w:val="0040613B"/>
    <w:rsid w:val="00444FE5"/>
    <w:rsid w:val="00451884"/>
    <w:rsid w:val="004B0AB4"/>
    <w:rsid w:val="004D00B2"/>
    <w:rsid w:val="004D535B"/>
    <w:rsid w:val="004D5ECE"/>
    <w:rsid w:val="004F3FD6"/>
    <w:rsid w:val="0052274B"/>
    <w:rsid w:val="00524B3E"/>
    <w:rsid w:val="00525237"/>
    <w:rsid w:val="00550873"/>
    <w:rsid w:val="00561304"/>
    <w:rsid w:val="005B0BE4"/>
    <w:rsid w:val="005C1E31"/>
    <w:rsid w:val="005E3068"/>
    <w:rsid w:val="00615B96"/>
    <w:rsid w:val="00631243"/>
    <w:rsid w:val="006B1F3F"/>
    <w:rsid w:val="006D1CC3"/>
    <w:rsid w:val="006E425D"/>
    <w:rsid w:val="007003B2"/>
    <w:rsid w:val="00770ED7"/>
    <w:rsid w:val="00783AA0"/>
    <w:rsid w:val="007B5A74"/>
    <w:rsid w:val="007D1BA6"/>
    <w:rsid w:val="00812199"/>
    <w:rsid w:val="008177E3"/>
    <w:rsid w:val="008C490F"/>
    <w:rsid w:val="008E630E"/>
    <w:rsid w:val="00934B7A"/>
    <w:rsid w:val="009639A1"/>
    <w:rsid w:val="009E7A4D"/>
    <w:rsid w:val="00A576BE"/>
    <w:rsid w:val="00A932C7"/>
    <w:rsid w:val="00AA1D88"/>
    <w:rsid w:val="00AC01A5"/>
    <w:rsid w:val="00AC25A4"/>
    <w:rsid w:val="00B048EE"/>
    <w:rsid w:val="00B14C98"/>
    <w:rsid w:val="00B20A30"/>
    <w:rsid w:val="00B268A9"/>
    <w:rsid w:val="00B603D5"/>
    <w:rsid w:val="00BA4F42"/>
    <w:rsid w:val="00BB6F7B"/>
    <w:rsid w:val="00BE161C"/>
    <w:rsid w:val="00BE5DE1"/>
    <w:rsid w:val="00BE7605"/>
    <w:rsid w:val="00CD3904"/>
    <w:rsid w:val="00CD3FFF"/>
    <w:rsid w:val="00CD4700"/>
    <w:rsid w:val="00D1609B"/>
    <w:rsid w:val="00D33B45"/>
    <w:rsid w:val="00D34B02"/>
    <w:rsid w:val="00D65441"/>
    <w:rsid w:val="00D845BB"/>
    <w:rsid w:val="00DA5026"/>
    <w:rsid w:val="00DC4A3E"/>
    <w:rsid w:val="00DF11DC"/>
    <w:rsid w:val="00E27DB5"/>
    <w:rsid w:val="00E52515"/>
    <w:rsid w:val="00EA44F6"/>
    <w:rsid w:val="00EA53B2"/>
    <w:rsid w:val="00EC01DE"/>
    <w:rsid w:val="00ED0CB9"/>
    <w:rsid w:val="00EF5D10"/>
    <w:rsid w:val="00F21AF0"/>
    <w:rsid w:val="00F97C8A"/>
    <w:rsid w:val="00FD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EC4B-D389-426F-9FFC-B92AE75F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4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1,Use Case List Paragraph,Bullet List,FooterText,numbered,Paragraphe de liste1,lp1,Абзац списка литеральный,асз.Списка,Маркер,Абзац списка нумерованный,ПС - Нумерованный,ТЗ список,Список маркированнный уровень 2,Надпись к иллюстрации"/>
    <w:basedOn w:val="a"/>
    <w:link w:val="a5"/>
    <w:uiPriority w:val="34"/>
    <w:qFormat/>
    <w:rsid w:val="00AC01A5"/>
    <w:pPr>
      <w:spacing w:after="200" w:line="276" w:lineRule="auto"/>
      <w:ind w:left="720"/>
      <w:contextualSpacing/>
      <w:jc w:val="left"/>
    </w:pPr>
    <w:rPr>
      <w:rFonts w:ascii="Calibri" w:hAnsi="Calibri"/>
      <w:sz w:val="22"/>
      <w:szCs w:val="22"/>
      <w:lang w:eastAsia="en-US"/>
    </w:rPr>
  </w:style>
  <w:style w:type="character" w:customStyle="1" w:styleId="a5">
    <w:name w:val="Абзац списка Знак"/>
    <w:aliases w:val="Bullet 1 Знак,Use Case List Paragraph Знак,Bullet List Знак,FooterText Знак,numbered Знак,Paragraphe de liste1 Знак,lp1 Знак,Абзац списка литеральный Знак,асз.Списка Знак,Маркер Знак,Абзац списка нумерованный Знак,ТЗ список Знак"/>
    <w:link w:val="a4"/>
    <w:uiPriority w:val="34"/>
    <w:qFormat/>
    <w:locked/>
    <w:rsid w:val="00AC01A5"/>
    <w:rPr>
      <w:rFonts w:ascii="Calibri" w:eastAsia="Times New Roman" w:hAnsi="Calibri" w:cs="Times New Roman"/>
    </w:rPr>
  </w:style>
  <w:style w:type="table" w:customStyle="1" w:styleId="201">
    <w:name w:val="Сетка таблицы201"/>
    <w:basedOn w:val="a1"/>
    <w:next w:val="a3"/>
    <w:uiPriority w:val="59"/>
    <w:rsid w:val="00AC0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AC0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252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7754">
      <w:bodyDiv w:val="1"/>
      <w:marLeft w:val="0"/>
      <w:marRight w:val="0"/>
      <w:marTop w:val="0"/>
      <w:marBottom w:val="0"/>
      <w:divBdr>
        <w:top w:val="none" w:sz="0" w:space="0" w:color="auto"/>
        <w:left w:val="none" w:sz="0" w:space="0" w:color="auto"/>
        <w:bottom w:val="none" w:sz="0" w:space="0" w:color="auto"/>
        <w:right w:val="none" w:sz="0" w:space="0" w:color="auto"/>
      </w:divBdr>
    </w:div>
    <w:div w:id="697312910">
      <w:bodyDiv w:val="1"/>
      <w:marLeft w:val="0"/>
      <w:marRight w:val="0"/>
      <w:marTop w:val="0"/>
      <w:marBottom w:val="0"/>
      <w:divBdr>
        <w:top w:val="none" w:sz="0" w:space="0" w:color="auto"/>
        <w:left w:val="none" w:sz="0" w:space="0" w:color="auto"/>
        <w:bottom w:val="none" w:sz="0" w:space="0" w:color="auto"/>
        <w:right w:val="none" w:sz="0" w:space="0" w:color="auto"/>
      </w:divBdr>
    </w:div>
    <w:div w:id="16016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2</Pages>
  <Words>494</Words>
  <Characters>2817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Екатерина Александровна</dc:creator>
  <cp:keywords/>
  <dc:description/>
  <cp:lastModifiedBy>Капленко Екатерина Александровна</cp:lastModifiedBy>
  <cp:revision>98</cp:revision>
  <dcterms:created xsi:type="dcterms:W3CDTF">2022-01-18T10:07:00Z</dcterms:created>
  <dcterms:modified xsi:type="dcterms:W3CDTF">2026-06-16T06:23:00Z</dcterms:modified>
</cp:coreProperties>
</file>