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Start w:id="0" w:name="Par36"/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End w:id="0"/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ПРОЕКТ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keepNext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Государственный контракт №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  <w:lang w:eastAsia="ru-RU"/>
        </w:rPr>
        <w:t xml:space="preserve"> ______________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на оказание образовательных услуг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по профессиональной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переподготовке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(повышению квалификации)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федеральных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Ставрополь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ab/>
        <w:tab/>
        <w:tab/>
        <w:tab/>
        <w:tab/>
        <w:tab/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«__»_____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Управление Федеральной слу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жбы государственной регистрации, кадастра и картографии по Ставропольскому краю, действующее от имени Российской Федерации, в лице _______________________________, действующего на основании ________________________________, (идентификационный код закупки: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4"/>
          <w:szCs w:val="24"/>
          <w:highlight w:val="white"/>
          <w:lang w:val="ru-RU"/>
        </w:rPr>
        <w:t xml:space="preserve">261263406383026340100100380000000000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), именуемый  в  дальнейшем «Заказчик», с одной стороны, и ________________________________________, лицензия от _____ г. серия _____ № _____, в лице __________________________________, действующего на основани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и_____________________, именуемый в дальнейшем «Исполнитель», с другой стороны, именуемые в дальнейшем «Стороны», в соответствии с государственным заказом на дополнительное профессиональное образование федеральных государственных гражданских служащих на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год, утвержденным распоряжением Правительства Российской Федерации от _ 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u w:val="singl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и пунктом «4» части 1 статьи 93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ее – Контракт) о нижеследующем.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1. ПРЕДМЕТ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КОНТРАКТА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 поручает, а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принимает на себя обязательства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оказанию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программе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области А.1 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далее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«Программа»)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повышению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квалификации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федеральных государственных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гражданских служащих (далее – гражданские служащие)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без отрыва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государственной гражданской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службы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соотве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тствии 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учебным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планом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рограммы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согласно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ению №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 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(далее – Услуги)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(код ОКПД –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85.42.19.900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Количество гражданских служащих, подлежащих обучению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Программе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-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1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один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человек.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1.3. Требования к содержанию и объему оказываемых Услуг, а также иные условия оказания Услуг определяются Заказом на оказание услуг (Приложение № 1</w:t>
      </w:r>
      <w:bookmarkStart w:id="1" w:name="OLE_LINK3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 </w:t>
      </w:r>
      <w:bookmarkEnd w:id="1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1.4. Сроки оказания Услуг: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Начальный срок оказания Услуг: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с момента заключения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Конечный срок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не позднее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07 августа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2026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года.</w:t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1.5.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Место оказания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-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Российская Федерация,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Ставропольский край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(дистанционное обучение).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2. ЦЕНА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КОНТРАКТА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И ПОРЯДОК РАСЧЁТОВ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Start w:id="2" w:name="_Ref103457699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2.1.</w:t>
      </w:r>
      <w:bookmarkEnd w:id="2"/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 Цена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устанавливается в российских рублях.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2.2. 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Цена Контракта в соответствии с расчетом (Приложение № 2 к Контракту) составляет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 (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) руб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.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коп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соответствии с подпунктом 14 пункта 2 статьи 149 Налогового кодекса Российской Федерации налогом на добавленную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стоимость не облагается.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bCs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этом стоимость обучения одного гражданского служащего составляет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 (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________________________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) </w:t>
      </w:r>
      <w:r>
        <w:rPr>
          <w:rFonts w:ascii="PT Astra Serif" w:hAnsi="PT Astra Serif" w:eastAsia="PT Astra Serif" w:cs="PT Astra Serif"/>
          <w:bCs/>
          <w:color w:val="000000"/>
          <w:sz w:val="24"/>
          <w:szCs w:val="24"/>
          <w:highlight w:val="white"/>
          <w:lang w:eastAsia="ru-RU"/>
        </w:rPr>
        <w:t xml:space="preserve">руб.</w:t>
      </w:r>
      <w:r>
        <w:rPr>
          <w:rFonts w:ascii="PT Astra Serif" w:hAnsi="PT Astra Serif" w:cs="PT Astra Serif"/>
          <w:bCs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bCs/>
          <w:color w:val="000000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Ц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ена контракта является твердой и определяется на весь срок исполнения контракта, а в случае, пред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ус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мотренном частью 24 статьи 22 Федерального закона № 44-ФЗ от 05.04.2013г., указываются цены единиц товара, работы, услуги и максимальное значение цены контра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осуществлении закупки, документ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ации о закупке (в случае, если Федеральным законом № 44-ФЗ от 05.04.2013г. предусмотрена документация о закупке). При заключении и исполнении контракта изменение его существенных условий не допускается, за исключением случаев, предусмотренных Федеральным з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аконом № 44-ФЗ от 05.04.2013г. В случае, если проектом контракта предусмотрены отдельные этапы его исполнения, цена каждого этапа устанавливается в размере, сниженном пропорционально снижению начальной (максимальной) цены контракта участником закупки, с ко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торым заключается контракт.</w:t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i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i/>
          <w:sz w:val="24"/>
          <w:szCs w:val="24"/>
          <w:highlight w:val="white"/>
        </w:rPr>
        <w:t xml:space="preserve">* </w:t>
      </w:r>
      <w:r>
        <w:rPr>
          <w:rFonts w:ascii="PT Astra Serif" w:hAnsi="PT Astra Serif" w:eastAsia="PT Astra Serif" w:cs="PT Astra Serif"/>
          <w:i/>
          <w:sz w:val="24"/>
          <w:szCs w:val="24"/>
          <w:highlight w:val="white"/>
        </w:rPr>
        <w:t xml:space="preserve">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</w:t>
      </w:r>
      <w:r>
        <w:rPr>
          <w:rFonts w:ascii="PT Astra Serif" w:hAnsi="PT Astra Serif" w:eastAsia="PT Astra Serif" w:cs="PT Astra Serif"/>
          <w:i/>
          <w:sz w:val="24"/>
          <w:szCs w:val="24"/>
          <w:highlight w:val="white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Astra Serif" w:hAnsi="PT Astra Serif" w:cs="PT Astra Serif"/>
          <w:i/>
          <w:sz w:val="24"/>
          <w:szCs w:val="24"/>
          <w:highlight w:val="white"/>
        </w:rPr>
      </w:r>
      <w:r>
        <w:rPr>
          <w:rFonts w:ascii="PT Astra Serif" w:hAnsi="PT Astra Serif" w:cs="PT Astra Serif"/>
          <w:i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 В цену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входят все расходы, связанные с выполнением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обязательств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у, включая расходы на учебно-методические материалы,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уплату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налогов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других обязательных платежей, которые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долж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выплатить в связи с выполнением обязательств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онтракту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Оплата Услуг по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К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онтракту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осуществляется за счет средств федерального бюджета, предусмотренных на указанные цели </w:t>
      </w:r>
      <w:r>
        <w:rPr>
          <w:rFonts w:ascii="PT Astra Serif" w:hAnsi="PT Astra Serif" w:eastAsia="PT Astra Serif" w:cs="PT Astra Serif"/>
          <w:i w:val="0"/>
          <w:iCs w:val="0"/>
          <w:spacing w:val="4"/>
          <w:sz w:val="24"/>
          <w:szCs w:val="24"/>
          <w:highlight w:val="white"/>
        </w:rPr>
        <w:t xml:space="preserve">Управления Федеральной службы государственной регистрации, кадастра и картографии по Ставропольскому краю</w:t>
      </w:r>
      <w:r>
        <w:rPr>
          <w:rFonts w:ascii="PT Astra Serif" w:hAnsi="PT Astra Serif" w:eastAsia="PT Astra Serif" w:cs="PT Astra Serif"/>
          <w:i w:val="0"/>
          <w:iCs w:val="0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на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2026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год по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разделу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глава 321, раздел 04, подраздел 12, целевая статья 5440190020, вид расходов 244, 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КОСГУ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 226</w:t>
      </w:r>
      <w:r>
        <w:rPr>
          <w:rFonts w:ascii="PT Astra Serif" w:hAnsi="PT Astra Serif" w:eastAsia="PT Astra Serif" w:cs="PT Astra Serif"/>
          <w:i w:val="0"/>
          <w:iCs w:val="0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Оплата Услуг производится в форме безналичных расчетов.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2.7. 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Оплата Услуг, оказанных Исполнителем по Контракту,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осуществляется Заказчиком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факту оказания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(исходя из количества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гражданских служащих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прошедших обучение)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 (семи) рабочих дней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с даты подписания Заказчиком документа о приемке на основании полу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ченных от Исполнителя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счета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оказанных услуг (Приложение № 3 к Контракту)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В случае невозможности исполнения по вине Заказчика, оплате подлежат только фактически оказанные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 Услуги.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В случае отчисления гражданского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служащего по причинам, указанным 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подпункте «б» пункта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instrText xml:space="preserve"> HYPERLINK \l "Par125" </w:instrTex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3.4.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end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услуги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оплачиваются в объеме, равном фактически оказанным Услугам.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3. ВЗАИМОДЕЙСТВИЕ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 СТОРОН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Заказчик обязуется: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формировать состав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учебных групп с учетом замещаемых гражданскими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служащими должностей федеральной государственной гражданской службы;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б) своевременно направлять гражданских служащих на обучение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прохождение итоговой аттестации;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обеспечить приемку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оказанных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соотв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етствии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разделом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отсутствии претензий относительно их объема, качества 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соблюдения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сроков их оказания подписать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 сдачи-приемки оказанных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оплатить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Услуги в срок, в течение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 (семи) рабочих дней,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с даты подписания Заказчиком документа о приемке</w:t>
        <w:br/>
        <w:t xml:space="preserve">на основании полу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ченных от Исполнителя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 счета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white"/>
        </w:rPr>
        <w:t xml:space="preserve">,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оказанных услуг (Приложение № 3 к Контракту)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Заказчик имеет право: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контролировать качество образовательных услуг,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оказываемых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соответствии 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Заказом на оказание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том числе путем участия в работе соответствующей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аттестационной комиссии, формируемой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направлять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запросы о ходе исполнения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настоящего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 с целью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контроля оказываемых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3.3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обязуется: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 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организовать учебный процесс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соответствии с Заказом на оказание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 обеспечивать необходимые условия для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освоения гражданскими служащими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рограммы;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обеспечить принимаемых на обучение гражданских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служащих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учебно-методическими материалами, необходимыми для учебного процесса;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сформировать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аттестационную комиссию и провести по итогам обучения итоговую аттестацию гражданских служащих, прошедших обучение.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color w:val="auto"/>
          <w:sz w:val="24"/>
          <w:szCs w:val="24"/>
          <w:highlight w:val="white"/>
          <w:u w:val="singl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Гражданским служащим, прошедшим итоговую аттестацию, выдать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u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white"/>
          <w:u w:val="single"/>
        </w:rPr>
        <w:t xml:space="preserve">удостоверение о повышении квалификации и протокол аттестации для прохождения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 дальнейшей аттестации в Ростехнадзор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е</w:t>
      </w:r>
      <w:r>
        <w:rPr>
          <w:rFonts w:ascii="PT Astra Serif" w:hAnsi="PT Astra Serif" w:eastAsia="PT Astra Serif" w:cs="PT Astra Serif"/>
          <w:bCs/>
          <w:color w:val="auto"/>
          <w:spacing w:val="-3"/>
          <w:sz w:val="24"/>
          <w:szCs w:val="24"/>
          <w:highlight w:val="white"/>
          <w:u w:val="single"/>
        </w:rPr>
        <w:t xml:space="preserve">;</w:t>
      </w:r>
      <w:r>
        <w:rPr>
          <w:rFonts w:ascii="PT Astra Serif" w:hAnsi="PT Astra Serif" w:cs="PT Astra Serif"/>
          <w:color w:val="auto"/>
          <w:sz w:val="24"/>
          <w:szCs w:val="24"/>
          <w:highlight w:val="white"/>
          <w:u w:val="single"/>
        </w:rPr>
      </w:r>
      <w:r>
        <w:rPr>
          <w:rFonts w:ascii="PT Astra Serif" w:hAnsi="PT Astra Serif" w:cs="PT Astra Serif"/>
          <w:color w:val="auto"/>
          <w:sz w:val="24"/>
          <w:szCs w:val="24"/>
          <w:highlight w:val="white"/>
          <w:u w:val="singl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своими силами и за свой счет устранять допущенные по его вине в оказанных Услугах недостатки;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 представлять по требованию Заказчика необходимую документацию, относящуюся к Услугам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у, и создавать условия д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ля проверки хода оказания Услуг;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"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ж)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одписать копию электронного документа </w:t>
      </w:r>
      <w:hyperlink r:id="rId12" w:tooltip="https://login.consultant.ru/link/?req=doc&amp;base=LAW&amp;n=465243&amp;dst=1668" w:history="1">
        <w:r>
          <w:rPr>
            <w:rFonts w:ascii="PT Astra Serif" w:hAnsi="PT Astra Serif" w:eastAsia="PT Astra Serif" w:cs="PT Astra Serif"/>
            <w:sz w:val="24"/>
            <w:szCs w:val="24"/>
            <w:highlight w:val="white"/>
          </w:rPr>
          <w:t xml:space="preserve">Акт</w:t>
        </w:r>
      </w:hyperlink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приемки (ф. 0510452) (АКТ приемки товаров, работ, услуг (в ред. Приказа Минфина Р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оссии от 28.06.2022 № 100н), сформированного на бумажном носителе, подписывается собственноручно Исполнителем. Исполнитель направляет подписанную копию Акта приемки (ф. 0510452) по средствам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электронной почты в адрес Заказчика в течении 2 (двух) рабочих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с даты получения с последующей досылкой оригинала документа.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Пункт 3.3. подпункт ж) действует с учетом пункта</w:t>
      </w:r>
      <w:r>
        <w:rPr>
          <w:rFonts w:ascii="PT Astra Serif" w:hAnsi="PT Astra Serif" w:eastAsia="PT Astra Serif" w:cs="PT Astra Serif"/>
          <w:color w:val="ff000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4.9.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нас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тоящего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3.4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имеет право: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привлекать для преподавания дисципли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н, предусмотренных Программой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на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б) отчислять гражданских служащих, проходящих обучение, по основаниям, предусмотренным в уставе образовательной организации, в том числе в случае грубых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 на оказание услуг, о чем Заказчик информируется в трехдневный срок.</w:t>
      </w:r>
      <w:bookmarkStart w:id="3" w:name="Par188"/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bookmarkEnd w:id="3"/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4. ПОРЯДОК СДАЧИ И ПРИЕМКИ ОКАЗАННЫХ УСЛУГ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4.1.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от 5 апреля 2013 г. № 44-ФЗ.</w:t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pacing w:val="4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4.2. Для проверки предоставленных Исполнителем результ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  <w:r>
        <w:rPr>
          <w:rFonts w:ascii="PT Astra Serif" w:hAnsi="PT Astra Serif" w:cs="PT Astra Serif"/>
          <w:spacing w:val="4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4.3. 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Для проведения экспертизы результатов, предусмотренных Контрактом, эксперты, экспертные организации имеют право запрашивать у Заказчика и Исполнителя дополнительные материалы, 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там такой экспертизы установлены нарушения требований Контракта, не препятствующие приемке услуг, оказанных в соответствии с Контрактом,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4.4. 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решению Заказчика для приемки услуг, оказанных в соответствии с Контрактом, может создаваться приемочная комиссия.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4.5. 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Приемка результатов оказанных в соответствии 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ом услуг осуществляется Заказчиком в течение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3 (Трех)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рабочих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со дня получения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сдачи-приемки оказанных услуг,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который подписывается Заказчиком (в случае создания приемочной комиссии подписывается всеми членами приемочной комиссии и утверждается Заказчико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м), либо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3 (Трех)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рабочих дней Заказчиком направляется в письменной форме мотивированный отказ от подписания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сдачи-приемки оказанных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4.6. 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 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праве не отказывать в приемке результатов услуг,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указанных услуг и устранено Исполнителем.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4.7. 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Услуги, предусмотренные Контрактом, считаются оказанными с момента подписания Сторонами Акта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сдачи-приемки оказанных услуг.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4.8. По окончании исполнения Сторонами обязательств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течение </w:t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5 (Пяти)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дней представляет Заказчику Акт сверки расчетов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en-US"/>
        </w:rPr>
        <w:t xml:space="preserve">4.9.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отсутствии претензий, расхождений по результатам приемки товаров, работ,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оформля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ется без участия Исполнителя (письмо Минфина России от 25.07.2024 № 02-07-07/69598). Участие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сполнителя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 оформлении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осуществляется путем направления Заказчиком уведомления о результатах приемки на электронный адрес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скан копии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Акта приемки (ф. 0510452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оформленного Заказчиком на бумажном носителе).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9"/>
        <w:shd w:val="clear" w:color="auto" w:fill="ffffff"/>
        <w:widowControl w:val="off"/>
        <w:tabs>
          <w:tab w:val="left" w:pos="567" w:leader="none"/>
          <w:tab w:val="left" w:pos="709" w:leader="none"/>
          <w:tab w:val="left" w:pos="1219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5. ОТВЕТСТВЕННОСТЬ СТОРОН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  <w:shd w:val="clear" w:color="auto" w:fill="ffff00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Размеры неустоек (штрафов, пеней), указанные в настоящем разделе и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00"/>
        </w:rPr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00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ательств, предусмотренных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1000 рублей, если цена контракта не превышает 3 млн. рублей (включительно).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В случае просрочки исполнения Исполнителем (подрядчиком, поставщиком) обязательств (в том числе гарантийного обязательства), предусмотренных контрак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том, а также в иных случаях неисполнения или ненадлежащего исполнения Исполнителем (подрядчиком, поставщиком) обязательств, предусмотренных контрактом, Заказчик направляет Исполнителю (подрядчику, поставщику) требование об уплате неустоек (штрафов, пеней).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Style w:val="947"/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Пеня начисляется за каждый день просрочки исполнения Исполнителем (подрядчиком, поставщиком)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редусмотренных контрактом (соответствующим отдельным этапом исполнения контракта) и фактически исполненных Исполнителем (подрядчиком, поставщиком), за исключением случаев, если законодательством Российской Федерации установлен иной порядок начисления пени.</w:t>
      </w:r>
      <w:r>
        <w:rPr>
          <w:rStyle w:val="947"/>
          <w:rFonts w:ascii="PT Astra Serif" w:hAnsi="PT Astra Serif" w:cs="PT Astra Serif"/>
          <w:sz w:val="24"/>
          <w:szCs w:val="24"/>
          <w:highlight w:val="white"/>
        </w:rPr>
      </w:r>
      <w:r>
        <w:rPr>
          <w:rStyle w:val="947"/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.5.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Штрафы начисляются за неисполнение или ненадлежащее исполнение Исполнителем (подрядчиком, поставщиком) обязательств, предусмотренных контрактом, за исключением просрочки исполнения Исполнителем (подрядчиком, поставщиком) обязательств (в том числе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  <w:shd w:val="clear" w:color="auto" w:fill="ffffff"/>
        </w:rPr>
        <w:t xml:space="preserve">гарантийного обязательства), предусмотренных контрактом. Размер штрафа устанавливается контрактом в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instrText xml:space="preserve"> HYPERLINK "http://www.consultant.ru/document/Cons_doc_LAW_331074/" \l "dst100018" </w:instrTex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fldChar w:fldCharType="separate"/>
      </w:r>
      <w:r>
        <w:rPr>
          <w:rStyle w:val="914"/>
          <w:rFonts w:ascii="PT Astra Serif" w:hAnsi="PT Astra Serif" w:eastAsia="PT Astra Serif" w:cs="PT Astra Serif"/>
          <w:color w:val="000000"/>
          <w:sz w:val="24"/>
          <w:szCs w:val="24"/>
          <w:highlight w:val="white"/>
          <w:shd w:val="clear" w:color="auto" w:fill="ffffff"/>
        </w:rPr>
        <w:t xml:space="preserve">порядке</w:t>
      </w:r>
      <w:r>
        <w:rPr>
          <w:rStyle w:val="914"/>
          <w:rFonts w:ascii="PT Astra Serif" w:hAnsi="PT Astra Serif" w:eastAsia="PT Astra Serif" w:cs="PT Astra Serif"/>
          <w:color w:val="000000"/>
          <w:sz w:val="24"/>
          <w:szCs w:val="24"/>
          <w:highlight w:val="white"/>
          <w:u w:val="none"/>
          <w:shd w:val="clear" w:color="auto" w:fill="ffffff"/>
        </w:rPr>
        <w:fldChar w:fldCharType="end"/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  <w:shd w:val="clear" w:color="auto" w:fill="ffffff"/>
        </w:rPr>
        <w:t xml:space="preserve">, установленном Правительством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Российской Федерации,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shd w:val="clear" w:color="auto" w:fill="ffffff"/>
        <w:widowControl w:val="off"/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За каждый факт неисполнения или ненадлежащего исполн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ения Исполнителем (подрядчиком, поставщиком)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  <w:r>
        <w:rPr>
          <w:rFonts w:ascii="PT Astra Serif" w:hAnsi="PT Astra Serif" w:cs="PT Astra Serif"/>
          <w:sz w:val="24"/>
          <w:szCs w:val="24"/>
          <w:highlight w:val="white"/>
          <w:shd w:val="clear" w:color="auto" w:fill="ffffff"/>
        </w:rPr>
      </w:r>
    </w:p>
    <w:p>
      <w:pPr>
        <w:pStyle w:val="888"/>
        <w:ind w:firstLine="709"/>
        <w:shd w:val="clear" w:color="auto" w:fill="ffffff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shd w:val="clear" w:color="auto" w:fill="ffffff"/>
        </w:rPr>
        <w:t xml:space="preserve">10 процентов цены контракта (этапа) в случае, если цена контракта (этапа) не превышает 3 млн. рублей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.6. За каждый факт неиспо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лнения или ненадлежащего исполнения Исполнителем (подрядчиком, поставщиком)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а) 1000 рублей, если цена контракта не превышает 3 млн. рублей.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.7. Общая сумма начисленных штрафов за неисполнение или ненадлежащее исполнение Исполнителем (подрядчиком, поставщиком)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4"/>
        <w:ind w:firstLine="709"/>
        <w:spacing w:after="0"/>
        <w:widowControl w:val="off"/>
        <w:rPr>
          <w:rFonts w:ascii="PT Astra Serif" w:hAnsi="PT Astra Serif" w:cs="PT Astra Serif"/>
          <w:bCs/>
          <w:sz w:val="24"/>
          <w:szCs w:val="24"/>
          <w:highlight w:val="white"/>
        </w:rPr>
        <w:outlineLvl w:val="1"/>
        <w:suppressLineNumbers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5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ar-SA"/>
        </w:rPr>
        <w:t xml:space="preserve">.9.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cs="PT Astra Serif"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Cs/>
          <w:sz w:val="24"/>
          <w:szCs w:val="24"/>
          <w:highlight w:val="white"/>
        </w:rPr>
      </w:r>
    </w:p>
    <w:p>
      <w:pPr>
        <w:pStyle w:val="95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6.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ОБЕСПЕЧЕНИЕ ИСПОЛНЕНИЯ КОНТРАКТА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50"/>
        <w:ind w:firstLine="567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 Обеспечение исполнения Контракта не устанавливается.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7. ОБСТОЯТЕЛЬСТВА НЕПРЕОДОЛИМОЙ СИЛЫ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 Стороны освобождаются от ответственности за неисполнение 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непредотвратимых. Сторона, у которой возникли обстоятельства непреодолимой силы, обязана течение 3 рабочих дней с даты начала действия указанных обстоятельств известить об этом другую Сторону, представив документы, выданные компетентными органами, подтвер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ждающие указанные обстоятельства и срок их действия. К таким обстоятельствам не относится, в частности, нарушение обязанностей со стороны Исполнителя, отсутствие на рынке нужных для исполнения товаров, отсутствие у Исполнителя необходимых денежных средств.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.2. В случае прекращения действия обстоятельств непреодолимой сил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Контракту.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.3. Не извещени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е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. СРОК ДЕЙСТВИЯ КОНТРАКТА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 Контракт вступает в силу и становится обязательным для Сторон с момента подписания и действует до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«30» сентября 2026 г.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Око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нчание срока действия Контракта влечет прекращение взаимных обязательств Сторон по Контракту.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.2.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. ПРОЧИЕ УСЛОВИЯ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.1. Контракт составлен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.2. Вопросы, связанные с изменением состава Обучающихся,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.3. 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Все вопросы, не предусмотренные Контрактом, регулируются законодательством Российской Федерации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.4. Все изменения и дополнения к Контракту оформляются письменно, в виде дополнительных соглашений, подписываются каждой из Сторон и являются неотъемлемой частью Контракта.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49"/>
        <w:ind w:firstLine="708"/>
        <w:jc w:val="both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.5. Все сп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200"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.6. Все перечисленные ниже приложения к Контракту являются его неотъемлемой частью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200"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1 – Заказ на оказание услуг;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2 – Расчет стоимости услуг;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3 – Акт сдачи-приемки оказанных услуг (образец);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4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– Акт сверки расчетов (образец).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200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10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. МЕСТО НАХОЖДЕНИЯ И БАНКОВСКИЕ РЕКВИЗИТЫ СТОРОН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Заказчик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89"/>
        <w:gridCol w:w="490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  <w:lang w:eastAsia="ru-RU"/>
              </w:rPr>
              <w:t xml:space="preserve">Управление Федеральной службы государственной регистрации, кадастра и картографии по Ставропольскому краю 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355012, Российская Федерация, Ставропольский край, г. Ставрополь, ул. Комсомольская, 58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ИНН 2634063830, КПП 263401001;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казначейский счет 03211643000000013243;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банковский счет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(счет в составе ЕКС) 40102810745370000024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л/с 03211W00650;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Наименование банка: ОКЦ №1 ВВГУ Банка России//УФК по Нижегородской области, г. Нижний Новгород;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БИК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012202102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pStyle w:val="888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Телефон: 8 (8652) 56-37-92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pStyle w:val="888"/>
              <w:ind w:left="0" w:right="0" w:firstLine="0"/>
              <w:jc w:val="both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Адрес электронной почты: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admin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@r26.rosreestr.ru</w:t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pStyle w:val="888"/>
              <w:jc w:val="left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2" w:type="dxa"/>
            <w:vAlign w:val="top"/>
            <w:textDirection w:val="lrTb"/>
            <w:noWrap w:val="false"/>
          </w:tcPr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pStyle w:val="900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center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ПОДПИСИ СТОРОН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Заказчик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«___»  ____________20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26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  <w:tab/>
        <w:t xml:space="preserve">                ___»  ____________20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20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№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  <w:lang w:eastAsia="ru-RU"/>
        </w:rPr>
        <w:t xml:space="preserve">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keepNext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Заказ </w:t>
      </w: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на оказание услуг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lang w:eastAsia="ru-RU"/>
        </w:rPr>
        <w:t xml:space="preserve">по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профессиональной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переподготовке (повышению квалификации)</w:t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 федеральных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color w:val="auto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bCs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по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дополнительной профессиональной 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</w:rPr>
        <w:t xml:space="preserve">программе </w:t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color w:val="auto"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 w:val="0"/>
          <w:bCs w:val="0"/>
          <w:color w:val="auto"/>
          <w:sz w:val="24"/>
          <w:szCs w:val="24"/>
          <w:highlight w:val="white"/>
        </w:rPr>
        <w:t xml:space="preserve">Оказание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в области А.1 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color w:val="ff0000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2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Наименование и описание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Оказание услуг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в области А.1 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3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Характеристики и объем (содержание) оказываемых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обучению в области А.1 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о повышению квалификац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ии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федеральных государственных гражданских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служащих без отрыва от федеральной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государст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венной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гражданской службы в соответствии с учебным планом Программы согласно приложению № 1 к Контракту (код ОКПД – 85.42.19.900).</w:t>
      </w:r>
      <w:r>
        <w:rPr>
          <w:rFonts w:ascii="PT Astra Serif" w:hAnsi="PT Astra Serif" w:eastAsia="PT Astra Serif" w:cs="PT Astra Serif"/>
          <w:spacing w:val="-2"/>
          <w:sz w:val="24"/>
          <w:szCs w:val="24"/>
          <w:highlight w:val="white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2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О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бщий объем освоения Программ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составляет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не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менее 72 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ru-RU"/>
        </w:rPr>
        <w:t xml:space="preserve">академических час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ru-RU"/>
        </w:rPr>
        <w:t xml:space="preserve">ов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color w:val="auto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auto"/>
          <w:sz w:val="24"/>
          <w:szCs w:val="24"/>
          <w:highlight w:val="white"/>
        </w:rPr>
      </w:r>
    </w:p>
    <w:p>
      <w:pPr>
        <w:pStyle w:val="929"/>
        <w:ind w:left="0"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3.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Место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Российская Федерация, Ставропольский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край 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(дистанционное обучение)</w:t>
      </w:r>
      <w:r>
        <w:rPr>
          <w:rFonts w:ascii="PT Astra Serif" w:hAnsi="PT Astra Serif" w:eastAsia="PT Astra Serif" w:cs="PT Astra Serif"/>
          <w:bCs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3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4.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Цель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Освоение программы: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Обучение в области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А.1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000000"/>
          <w:sz w:val="24"/>
          <w:szCs w:val="24"/>
          <w:highlight w:val="white"/>
        </w:rPr>
      </w:r>
    </w:p>
    <w:p>
      <w:pPr>
        <w:pStyle w:val="937"/>
        <w:ind w:firstLine="708"/>
        <w:widowControl w:val="off"/>
        <w:tabs>
          <w:tab w:val="clear" w:pos="5585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5. Условия оказания услуг: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Обучение осуществляется дистанционно.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jc w:val="both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6. Основание для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Государственный контракт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№__________________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 оказание образовательных услуг по профессиональной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переподготовке (повышению квалификации) федеральных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«_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_» 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____ 2026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7. Общие требования к дополнительной профессиональной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программе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Устанавливаются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8.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Учебный план дополнительной профессиональной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рограммы: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Устанавливается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Исполнителем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5" w:firstLine="708"/>
        <w:widowControl w:val="off"/>
        <w:tabs>
          <w:tab w:val="left" w:pos="709" w:leader="none"/>
        </w:tabs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9.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итогам обучения освоившим Программу, выдать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white"/>
          <w:u w:val="single"/>
        </w:rPr>
        <w:t xml:space="preserve">удостоверение о повышении квалификации и протокол аттестации для прохождения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 дальнейшей аттестации в Ростехнадзор</w:t>
      </w:r>
      <w:r>
        <w:rPr>
          <w:rFonts w:ascii="PT Astra Serif" w:hAnsi="PT Astra Serif" w:eastAsia="PT Astra Serif" w:cs="PT Astra Serif"/>
          <w:b/>
          <w:color w:val="auto"/>
          <w:sz w:val="24"/>
          <w:szCs w:val="24"/>
          <w:highlight w:val="white"/>
          <w:u w:val="single"/>
        </w:rPr>
        <w:t xml:space="preserve">е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white"/>
          <w:u w:val="single"/>
        </w:rPr>
        <w:t xml:space="preserve">.</w:t>
      </w:r>
      <w:r>
        <w:rPr>
          <w:rFonts w:ascii="PT Astra Serif" w:hAnsi="PT Astra Serif" w:eastAsia="PT Astra Serif" w:cs="PT Astra Serif"/>
          <w:b/>
          <w:bCs/>
          <w:color w:val="ff0000"/>
          <w:sz w:val="24"/>
          <w:szCs w:val="24"/>
          <w:highlight w:val="white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случае отчисления обучающихся до завершения обучения или в случае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не прохождения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зачета, по заявлению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Заказчика, выдать справку об обучении установленного Исполнителем образца.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firstLine="70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10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 Порядок оказания услуг: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в соответствии с условиями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государственного контракта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№__________________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на оказание образовательных услуг по профессиональной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переподготовке (повышению квалификации) федеральных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государственных гражданских служащих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«_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_» _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____ 202</w:t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                 Заказчик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 /_____________/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 /_____________/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«___»  ____________2026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  <w:tab/>
        <w:t xml:space="preserve">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«___»  ____________202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к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«__»_______ 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Расчет стоимости услуг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по профессиональной переподготовке (повышению квалификации) 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  <w:t xml:space="preserve">федеральных государственных гражданских служащих</w:t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z w:val="24"/>
          <w:szCs w:val="24"/>
          <w:highlight w:val="white"/>
        </w:rPr>
      </w:r>
    </w:p>
    <w:p>
      <w:pPr>
        <w:keepNext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Расчет стоимости услуг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оказание образовательных услуг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по профессиональной подготовке и обучению рабочих основных профессий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, замещающих должности государственной гражданской службы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старшей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группы должностей категории «специалисты»</w:t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tbl>
      <w:tblPr>
        <w:tblStyle w:val="744"/>
        <w:tblW w:w="9887" w:type="dxa"/>
        <w:tblLayout w:type="fixed"/>
        <w:tblLook w:val="04A0" w:firstRow="1" w:lastRow="0" w:firstColumn="1" w:lastColumn="0" w:noHBand="0" w:noVBand="1"/>
      </w:tblPr>
      <w:tblGrid>
        <w:gridCol w:w="541"/>
        <w:gridCol w:w="2118"/>
        <w:gridCol w:w="1844"/>
        <w:gridCol w:w="1842"/>
        <w:gridCol w:w="1843"/>
        <w:gridCol w:w="1699"/>
      </w:tblGrid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Название дополнительной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профессиональной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программы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Объем дополнительной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профессиональной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программы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(часов)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Количество федеральных государственных гражданских служащих, подлежащих обучению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(человек)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Стоимость 1 человеко/часа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vertAlign w:val="superscript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(рублей)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Общая стоимость обучения по дополнительной профессиональной программе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(рублей)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211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Программа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А.1 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lang w:eastAsia="ru-RU"/>
              </w:rPr>
              <w:t xml:space="preserve">не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lang w:eastAsia="ru-RU"/>
              </w:rPr>
              <w:t xml:space="preserve">менее 72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gridSpan w:val="4"/>
            <w:tcW w:w="7647" w:type="dxa"/>
            <w:textDirection w:val="lrTb"/>
            <w:noWrap w:val="false"/>
          </w:tcPr>
          <w:p>
            <w:pPr>
              <w:jc w:val="left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Итого: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ind w:firstLine="708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ind w:firstLine="708"/>
        <w:jc w:val="both"/>
        <w:rPr>
          <w:rFonts w:ascii="PT Astra Serif" w:hAnsi="PT Astra Serif" w:eastAsia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Общая стоимость обучения федеральных государственных гражданских служащих по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дополнительной профессиональной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программе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А.1 (общие требования промышленной безопасности) ответственных за осуществление производственного контроля на опасном производственном объекте сети газораспределения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составляет _________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(_____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) рублей ___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копеек.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</w:p>
    <w:p>
      <w:pPr>
        <w:pStyle w:val="888"/>
        <w:ind w:firstLine="709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both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 /_____________/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_____________ /_____________/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«___»  ____________202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  <w:tab/>
        <w:t xml:space="preserve">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___»  ____________202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6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г.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3 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142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«__»_______ 2026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ОБРАЗЕЦ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tbl>
      <w:tblPr>
        <w:tblW w:w="10605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14"/>
        </w:trPr>
        <w:tc>
          <w:tcPr>
            <w:tcW w:w="10605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  <w:t xml:space="preserve">АКТ </w:t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сдачи-приемки оказанных услуг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Государственному контракту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___________№  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57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Мы, нижеподписавшиеся, от лица «</w:t>
            </w:r>
            <w:r>
              <w:rPr>
                <w:rFonts w:ascii="PT Astra Serif" w:hAnsi="PT Astra Serif" w:eastAsia="PT Astra Serif" w:cs="PT Astra Serif"/>
                <w:spacing w:val="4"/>
                <w:sz w:val="24"/>
                <w:szCs w:val="24"/>
                <w:highlight w:val="white"/>
              </w:rPr>
              <w:t xml:space="preserve">Исполнителя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» ______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_______________________________,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 одной стороны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и от лица «Заказчика» ________________________, с другой стороны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составили настоящий Акт о том, что  оказанные услуги удовлетворяют требованиям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и надлежащим образом исполнены.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719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Описание оказанных услуг (с указанием объема и качества): ____________________________________________________________________________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719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Представлены следующие отчетные документы (в соответствии 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ом):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____________________________________________________________________________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ind w:firstLine="719"/>
              <w:spacing w:after="0"/>
              <w:widowControl w:val="off"/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На основании раздела 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экспертиза оказанных услуг проведена Заказчиком </w:t>
            </w:r>
            <w:r>
              <w:rPr>
                <w:rFonts w:ascii="PT Astra Serif" w:hAnsi="PT Astra Serif" w:eastAsia="PT Astra Serif" w:cs="PT Astra Serif"/>
                <w:i/>
                <w:sz w:val="24"/>
                <w:szCs w:val="24"/>
                <w:highlight w:val="white"/>
              </w:rPr>
              <w:t xml:space="preserve">(указывается в случае проведения экспертизы силами Заказчика).</w:t>
            </w: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Цена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Контракт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составляет ________________  (___________________) рублей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(сумма цифрами)       (сумма прописью)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Следует к перечислению________________  (_____________________) рублей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(сумма цифрами)       (сумма прописью)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tbl>
            <w:tblPr>
              <w:tblW w:w="0" w:type="auto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65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8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410" w:type="dxa"/>
                  <w:vAlign w:val="top"/>
                  <w:textDirection w:val="lrTb"/>
                  <w:noWrap w:val="false"/>
                </w:tcPr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Услуги принял: 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От Заказчика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_______________________________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(подпись)    М.П.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«___» ________   20__ г.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650" w:type="dxa"/>
                  <w:vAlign w:val="top"/>
                  <w:textDirection w:val="lrTb"/>
                  <w:noWrap w:val="false"/>
                </w:tcPr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Услуги сдал: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От </w:t>
                  </w: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  <w:highlight w:val="white"/>
                    </w:rPr>
                    <w:t xml:space="preserve">Исполнителя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______________________________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(подпись)    М.П.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917"/>
                    <w:jc w:val="center"/>
                    <w:spacing w:after="0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«___» ________   20__ г.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917"/>
              <w:spacing w:after="0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</w:tc>
      </w:tr>
    </w:tbl>
    <w:p>
      <w:pPr>
        <w:pStyle w:val="917"/>
        <w:spacing w:after="0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 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Приложение № 4 к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Контракту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righ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0"/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от «__»_______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2026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г. № _________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ОБРАЗЕЦ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tbl>
      <w:tblPr>
        <w:tblW w:w="10141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94"/>
        </w:trPr>
        <w:tc>
          <w:tcPr>
            <w:tcW w:w="10141" w:type="dxa"/>
            <w:vAlign w:val="top"/>
            <w:textDirection w:val="lrTb"/>
            <w:noWrap w:val="false"/>
          </w:tcPr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  <w:highlight w:val="white"/>
              </w:rPr>
              <w:t xml:space="preserve">АКТ СВЕРКИ РАСЧЕТОВ</w:t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 ___________________________________________________________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Государственный контракт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_________№  _______)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jc w:val="center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Сальдо на ________   ____________           Раздел_______________________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   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(дата)                      (сумма)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tbl>
            <w:tblPr>
              <w:tblW w:w="9602" w:type="dxa"/>
              <w:tblInd w:w="2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gridAfter w:val="2"/>
                <w:trHeight w:val="313"/>
              </w:trPr>
              <w:tc>
                <w:tcPr>
                  <w:tcW w:w="480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Наименование Заказчика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4793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Наименование </w:t>
                  </w: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  <w:highlight w:val="white"/>
                    </w:rPr>
                    <w:t xml:space="preserve">Исполнителя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641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№ платежных поручений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Сумма, руб.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№ акта, дата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Сумма, руб.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13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28"/>
              </w:trPr>
              <w:tc>
                <w:tcPr>
                  <w:tcW w:w="241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Итого: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9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3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W w:w="2400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Сальдо на ________________        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(дата)            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                 (сумма)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пользу________________________________________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tbl>
            <w:tblPr>
              <w:tblW w:w="10185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5092"/>
              <w:gridCol w:w="5093"/>
            </w:tblGrid>
            <w:tr>
              <w:tblPrEx/>
              <w:trPr>
                <w:trHeight w:val="202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092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Заказчик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       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 (подпись)            (расшифровка подписи)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093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pacing w:val="4"/>
                      <w:sz w:val="24"/>
                      <w:szCs w:val="24"/>
                      <w:highlight w:val="white"/>
                    </w:rPr>
                    <w:t xml:space="preserve">Исполнитель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jc w:val="center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______________       ______________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  <w:p>
                  <w:pPr>
                    <w:pStyle w:val="888"/>
                    <w:widowControl w:val="off"/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(подпись)            </w:t>
                  </w:r>
                  <w:r>
                    <w:rPr>
                      <w:rFonts w:ascii="PT Astra Serif" w:hAnsi="PT Astra Serif" w:eastAsia="PT Astra Serif" w:cs="PT Astra Serif"/>
                      <w:sz w:val="24"/>
                      <w:szCs w:val="24"/>
                      <w:highlight w:val="white"/>
                    </w:rPr>
                    <w:t xml:space="preserve">(расшифровка подписи)</w:t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PT Astra Serif" w:hAnsi="PT Astra Serif" w:cs="PT Astra Serif"/>
                      <w:sz w:val="24"/>
                      <w:szCs w:val="24"/>
                      <w:highlight w:val="white"/>
                    </w:rPr>
                  </w:r>
                </w:p>
              </w:tc>
            </w:tr>
          </w:tbl>
          <w:p>
            <w:pPr>
              <w:pStyle w:val="888"/>
              <w:widowControl w:val="off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</w:tbl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900"/>
        <w:jc w:val="both"/>
        <w:tabs>
          <w:tab w:val="left" w:pos="597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Заказчик</w:t>
        <w:tab/>
      </w:r>
      <w:r>
        <w:rPr>
          <w:rFonts w:ascii="PT Astra Serif" w:hAnsi="PT Astra Serif" w:eastAsia="PT Astra Serif" w:cs="PT Astra Serif"/>
          <w:spacing w:val="4"/>
          <w:sz w:val="24"/>
          <w:szCs w:val="24"/>
          <w:highlight w:val="white"/>
        </w:rPr>
        <w:t xml:space="preserve">Исполнитель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center"/>
        <w:widowControl w:val="off"/>
        <w:rPr>
          <w:rFonts w:ascii="PT Astra Serif" w:hAnsi="PT Astra Serif" w:cs="PT Astra Serif"/>
          <w:b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74" w:leader="none"/>
        </w:tabs>
        <w:rPr>
          <w:rFonts w:ascii="PT Astra Serif" w:hAnsi="PT Astra Serif" w:cs="PT Astra Serif"/>
          <w:color w:val="ff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_____________________________</w:t>
        <w:tab/>
        <w:tab/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  <w:highlight w:val="white"/>
        </w:rPr>
        <w:t xml:space="preserve">_____________________________</w:t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  <w:r>
        <w:rPr>
          <w:rFonts w:ascii="PT Astra Serif" w:hAnsi="PT Astra Serif" w:cs="PT Astra Serif"/>
          <w:color w:val="ff0000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ind w:right="-63"/>
        <w:jc w:val="left"/>
        <w:widowControl w:val="off"/>
        <w:rPr>
          <w:rFonts w:ascii="PT Astra Serif" w:hAnsi="PT Astra Serif" w:cs="PT Astra Serif"/>
          <w:sz w:val="24"/>
          <w:szCs w:val="24"/>
          <w:highlight w:val="white"/>
        </w:rPr>
        <w:outlineLvl w:val="1"/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_______________ /_____________/                 _____________ /_____________/</w:t>
      </w: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                             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jc w:val="left"/>
        <w:widowControl w:val="off"/>
        <w:tabs>
          <w:tab w:val="left" w:pos="4820" w:leader="none"/>
        </w:tabs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  <w:lang w:eastAsia="ru-RU"/>
        </w:rPr>
        <w:t xml:space="preserve">м.п.                                                                      м.п.</w:t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pStyle w:val="888"/>
        <w:widowControl w:val="off"/>
        <w:rPr>
          <w:rFonts w:ascii="PT Astra Serif" w:hAnsi="PT Astra Serif" w:cs="PT Astra Serif"/>
          <w:sz w:val="24"/>
          <w:szCs w:val="24"/>
          <w:highlight w:val="white"/>
        </w:rPr>
        <w:sectPr>
          <w:headerReference w:type="default" r:id="rId9"/>
          <w:footnotePr/>
          <w:endnotePr/>
          <w:type w:val="nextPage"/>
          <w:pgSz w:w="11905" w:h="16838" w:orient="portrait"/>
          <w:pgMar w:top="249" w:right="706" w:bottom="709" w:left="1418" w:header="567" w:footer="0" w:gutter="0"/>
          <w:cols w:num="1" w:sep="0" w:space="720" w:equalWidth="1"/>
          <w:docGrid w:linePitch="360"/>
        </w:sect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p>
      <w:pPr>
        <w:rPr>
          <w:rFonts w:ascii="PT Astra Serif" w:hAnsi="PT Astra Serif" w:cs="PT Astra Serif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  <w:r>
        <w:rPr>
          <w:rFonts w:ascii="PT Astra Serif" w:hAnsi="PT Astra Serif" w:cs="PT Astra Serif"/>
          <w:sz w:val="24"/>
          <w:szCs w:val="24"/>
          <w:highlight w:val="white"/>
        </w:rPr>
      </w:r>
    </w:p>
    <w:sectPr>
      <w:headerReference w:type="default" r:id="rId10"/>
      <w:headerReference w:type="even" r:id="rId11"/>
      <w:footnotePr/>
      <w:endnotePr/>
      <w:type w:val="nextPage"/>
      <w:pgSz w:w="11905" w:h="16838" w:orient="portrait"/>
      <w:pgMar w:top="567" w:right="567" w:bottom="141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spacing w:line="360" w:lineRule="auto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48"/>
      </w:rPr>
      <w:framePr w:wrap="around" w:vAnchor="text" w:hAnchor="margin" w:xAlign="right" w:y="1"/>
    </w:pPr>
    <w:r>
      <w:rPr>
        <w:rStyle w:val="948"/>
      </w:rPr>
      <w:fldChar w:fldCharType="begin"/>
    </w:r>
    <w:r>
      <w:rPr>
        <w:rStyle w:val="948"/>
      </w:rPr>
      <w:instrText xml:space="preserve">PAGE  </w:instrText>
    </w:r>
    <w:r>
      <w:rPr>
        <w:rStyle w:val="948"/>
      </w:rPr>
      <w:fldChar w:fldCharType="separate"/>
    </w:r>
    <w:r>
      <w:rPr>
        <w:rStyle w:val="948"/>
      </w:rPr>
      <w:t xml:space="preserve">1</w:t>
    </w:r>
    <w:r>
      <w:rPr>
        <w:rStyle w:val="948"/>
      </w:rPr>
      <w:fldChar w:fldCharType="end"/>
    </w:r>
    <w:r>
      <w:rPr>
        <w:rStyle w:val="948"/>
      </w:rPr>
    </w:r>
    <w:r>
      <w:rPr>
        <w:rStyle w:val="948"/>
      </w:rPr>
    </w:r>
  </w:p>
  <w:p>
    <w:pPr>
      <w:pStyle w:val="922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8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ascii="Times New Roman" w:hAnsi="Times New Roman"/>
        <w:b/>
        <w:i w:val="0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288"/>
        <w:tabs>
          <w:tab w:val="num" w:pos="648" w:leader="none"/>
        </w:tabs>
      </w:pPr>
      <w:rPr>
        <w:rFonts w:ascii="Times New Roman" w:hAnsi="Times New Roman"/>
        <w:b w:val="0"/>
        <w:i w:val="0"/>
        <w:sz w:val="28"/>
        <w:szCs w:val="26"/>
      </w:rPr>
    </w:lvl>
    <w:lvl w:ilvl="2">
      <w:start w:val="1"/>
      <w:numFmt w:val="decimal"/>
      <w:pStyle w:val="890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891"/>
      <w:isLgl w:val="false"/>
      <w:suff w:val="tab"/>
      <w:lvlText w:val="%1.%2.%3.%4"/>
      <w:lvlJc w:val="left"/>
      <w:pPr>
        <w:ind w:left="10725" w:hanging="864"/>
        <w:tabs>
          <w:tab w:val="num" w:pos="10725" w:leader="none"/>
        </w:tabs>
      </w:pPr>
    </w:lvl>
    <w:lvl w:ilvl="4">
      <w:start w:val="1"/>
      <w:numFmt w:val="decimal"/>
      <w:pStyle w:val="892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893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894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95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896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09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b/>
        <w:i w:val="0"/>
      </w:rPr>
    </w:lvl>
    <w:lvl w:ilvl="1">
      <w:start w:val="1"/>
      <w:numFmt w:val="decimal"/>
      <w:pStyle w:val="910"/>
      <w:isLgl w:val="false"/>
      <w:suff w:val="tab"/>
      <w:lvlText w:val="%1.%2"/>
      <w:lvlJc w:val="left"/>
      <w:pPr>
        <w:ind w:left="0" w:firstLine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911"/>
      <w:isLgl w:val="false"/>
      <w:suff w:val="tab"/>
      <w:lvlText w:val="%1.%2.%3"/>
      <w:lvlJc w:val="left"/>
      <w:pPr>
        <w:ind w:left="0" w:firstLine="567"/>
        <w:tabs>
          <w:tab w:val="num" w:pos="1418" w:leader="none"/>
        </w:tabs>
      </w:pPr>
      <w:rPr>
        <w:b w:val="0"/>
        <w:bCs w:val="0"/>
        <w:i w:val="0"/>
        <w:iCs w:val="0"/>
      </w:rPr>
    </w:lvl>
    <w:lvl w:ilvl="3">
      <w:start w:val="1"/>
      <w:numFmt w:val="thaiNumbers"/>
      <w:pStyle w:val="912"/>
      <w:isLgl w:val="false"/>
      <w:suff w:val="tab"/>
      <w:lvlText w:val="%4)"/>
      <w:lvlJc w:val="left"/>
      <w:pPr>
        <w:ind w:left="0" w:firstLine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2" w:hanging="1032"/>
        <w:tabs>
          <w:tab w:val="num" w:pos="175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987" w:hanging="420"/>
        <w:tabs>
          <w:tab w:val="num" w:pos="987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  <w:tabs>
          <w:tab w:val="num" w:pos="1494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1" w:hanging="720"/>
        <w:tabs>
          <w:tab w:val="num" w:pos="1701" w:leader="none"/>
        </w:tabs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08" w:hanging="720"/>
        <w:tabs>
          <w:tab w:val="num" w:pos="1908" w:leader="none"/>
        </w:tabs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75" w:hanging="1080"/>
        <w:tabs>
          <w:tab w:val="num" w:pos="2475" w:leader="none"/>
        </w:tabs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82" w:hanging="1080"/>
        <w:tabs>
          <w:tab w:val="num" w:pos="2682" w:leader="none"/>
        </w:tabs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9" w:hanging="1080"/>
        <w:tabs>
          <w:tab w:val="num" w:pos="2889" w:leader="none"/>
        </w:tabs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456" w:hanging="1440"/>
        <w:tabs>
          <w:tab w:val="num" w:pos="3456" w:leader="none"/>
        </w:tabs>
      </w:pPr>
      <w:rPr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pPr>
      <w:jc w:val="both"/>
    </w:pPr>
    <w:rPr>
      <w:rFonts w:ascii="Times New Roman" w:hAnsi="Times New Roman"/>
      <w:sz w:val="28"/>
      <w:szCs w:val="28"/>
      <w:lang w:val="ru-RU" w:eastAsia="en-US" w:bidi="ar-SA"/>
    </w:rPr>
  </w:style>
  <w:style w:type="paragraph" w:styleId="889">
    <w:name w:val="Заголовок 2,H2"/>
    <w:basedOn w:val="888"/>
    <w:next w:val="888"/>
    <w:link w:val="901"/>
    <w:qFormat/>
    <w:pPr>
      <w:keepNext/>
      <w:outlineLvl w:val="1"/>
    </w:pPr>
    <w:rPr>
      <w:rFonts w:eastAsia="Times New Roman"/>
      <w:szCs w:val="24"/>
      <w:lang w:eastAsia="ru-RU"/>
    </w:rPr>
  </w:style>
  <w:style w:type="paragraph" w:styleId="890">
    <w:name w:val="Заголовок 3,H3"/>
    <w:basedOn w:val="888"/>
    <w:next w:val="888"/>
    <w:link w:val="930"/>
    <w:qFormat/>
    <w:pPr>
      <w:numPr>
        <w:ilvl w:val="2"/>
        <w:numId w:val="4"/>
      </w:numPr>
      <w:jc w:val="center"/>
      <w:keepNext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891">
    <w:name w:val="Заголовок 4,H4"/>
    <w:basedOn w:val="888"/>
    <w:next w:val="888"/>
    <w:link w:val="931"/>
    <w:qFormat/>
    <w:pPr>
      <w:numPr>
        <w:ilvl w:val="3"/>
        <w:numId w:val="4"/>
      </w:numPr>
      <w:jc w:val="center"/>
      <w:keepNext/>
      <w:outlineLvl w:val="3"/>
    </w:pPr>
    <w:rPr>
      <w:rFonts w:eastAsia="Times New Roman"/>
      <w:b/>
      <w:bCs/>
      <w:lang w:eastAsia="ru-RU"/>
    </w:rPr>
  </w:style>
  <w:style w:type="paragraph" w:styleId="892">
    <w:name w:val="Заголовок 5,H5"/>
    <w:basedOn w:val="888"/>
    <w:next w:val="888"/>
    <w:link w:val="932"/>
    <w:qFormat/>
    <w:pPr>
      <w:numPr>
        <w:ilvl w:val="4"/>
        <w:numId w:val="4"/>
      </w:numPr>
      <w:jc w:val="left"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893">
    <w:name w:val="Заголовок 6"/>
    <w:basedOn w:val="888"/>
    <w:next w:val="888"/>
    <w:link w:val="933"/>
    <w:qFormat/>
    <w:pPr>
      <w:numPr>
        <w:ilvl w:val="5"/>
        <w:numId w:val="4"/>
      </w:numPr>
      <w:jc w:val="left"/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894">
    <w:name w:val="Заголовок 7"/>
    <w:basedOn w:val="888"/>
    <w:next w:val="888"/>
    <w:link w:val="934"/>
    <w:qFormat/>
    <w:pPr>
      <w:numPr>
        <w:ilvl w:val="6"/>
        <w:numId w:val="4"/>
      </w:numPr>
      <w:jc w:val="center"/>
      <w:keepNext/>
      <w:outlineLvl w:val="6"/>
    </w:pPr>
    <w:rPr>
      <w:rFonts w:eastAsia="Times New Roman"/>
      <w:b/>
      <w:bCs/>
      <w:lang w:eastAsia="ru-RU"/>
    </w:rPr>
  </w:style>
  <w:style w:type="paragraph" w:styleId="895">
    <w:name w:val="Заголовок 8"/>
    <w:basedOn w:val="888"/>
    <w:next w:val="888"/>
    <w:link w:val="935"/>
    <w:qFormat/>
    <w:pPr>
      <w:numPr>
        <w:ilvl w:val="7"/>
        <w:numId w:val="4"/>
      </w:numPr>
      <w:keepNext/>
      <w:outlineLvl w:val="7"/>
    </w:pPr>
    <w:rPr>
      <w:rFonts w:eastAsia="Times New Roman"/>
      <w:i/>
      <w:iCs/>
      <w:lang w:eastAsia="ru-RU"/>
    </w:rPr>
  </w:style>
  <w:style w:type="paragraph" w:styleId="896">
    <w:name w:val="Заголовок 9"/>
    <w:basedOn w:val="888"/>
    <w:next w:val="888"/>
    <w:link w:val="936"/>
    <w:qFormat/>
    <w:pPr>
      <w:numPr>
        <w:ilvl w:val="8"/>
        <w:numId w:val="4"/>
      </w:numPr>
      <w:jc w:val="left"/>
      <w:spacing w:before="240" w:after="60"/>
      <w:outlineLvl w:val="8"/>
    </w:pPr>
    <w:rPr>
      <w:rFonts w:ascii="Arial" w:hAnsi="Arial" w:eastAsia="Times New Roman" w:cs="Arial"/>
      <w:sz w:val="22"/>
      <w:szCs w:val="22"/>
      <w:lang w:eastAsia="ru-RU"/>
    </w:rPr>
  </w:style>
  <w:style w:type="character" w:styleId="897">
    <w:name w:val="Основной шрифт абзаца"/>
    <w:next w:val="897"/>
    <w:link w:val="888"/>
    <w:uiPriority w:val="1"/>
    <w:semiHidden/>
    <w:unhideWhenUsed/>
  </w:style>
  <w:style w:type="table" w:styleId="898">
    <w:name w:val="Обычная таблица"/>
    <w:next w:val="898"/>
    <w:link w:val="888"/>
    <w:uiPriority w:val="99"/>
    <w:semiHidden/>
    <w:unhideWhenUsed/>
    <w:tblPr/>
  </w:style>
  <w:style w:type="numbering" w:styleId="899">
    <w:name w:val="Нет списка"/>
    <w:next w:val="899"/>
    <w:link w:val="888"/>
    <w:uiPriority w:val="99"/>
    <w:semiHidden/>
    <w:unhideWhenUsed/>
  </w:style>
  <w:style w:type="paragraph" w:styleId="900">
    <w:name w:val="ConsPlusNonformat"/>
    <w:next w:val="900"/>
    <w:link w:val="888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01">
    <w:name w:val="Заголовок 2 Знак,H2 Знак"/>
    <w:next w:val="901"/>
    <w:link w:val="88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2">
    <w:name w:val="Основной текст с отступом"/>
    <w:basedOn w:val="888"/>
    <w:next w:val="902"/>
    <w:link w:val="903"/>
    <w:pPr>
      <w:ind w:firstLine="1080"/>
    </w:pPr>
    <w:rPr>
      <w:rFonts w:eastAsia="Times New Roman"/>
      <w:szCs w:val="24"/>
      <w:lang w:eastAsia="ru-RU"/>
    </w:rPr>
  </w:style>
  <w:style w:type="character" w:styleId="903">
    <w:name w:val="Основной текст с отступом Знак"/>
    <w:next w:val="903"/>
    <w:link w:val="90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4">
    <w:name w:val="Текст концевой сноски"/>
    <w:basedOn w:val="888"/>
    <w:next w:val="904"/>
    <w:link w:val="905"/>
    <w:uiPriority w:val="99"/>
    <w:semiHidden/>
    <w:unhideWhenUsed/>
    <w:rPr>
      <w:sz w:val="20"/>
      <w:szCs w:val="20"/>
    </w:rPr>
  </w:style>
  <w:style w:type="character" w:styleId="905">
    <w:name w:val="Текст концевой сноски Знак"/>
    <w:next w:val="905"/>
    <w:link w:val="90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906">
    <w:name w:val="Знак концевой сноски"/>
    <w:next w:val="906"/>
    <w:link w:val="888"/>
    <w:uiPriority w:val="99"/>
    <w:semiHidden/>
    <w:unhideWhenUsed/>
    <w:rPr>
      <w:vertAlign w:val="superscript"/>
    </w:rPr>
  </w:style>
  <w:style w:type="paragraph" w:styleId="907">
    <w:name w:val="Основной текст с отступом 3"/>
    <w:basedOn w:val="888"/>
    <w:next w:val="907"/>
    <w:link w:val="908"/>
    <w:pPr>
      <w:ind w:left="283"/>
      <w:jc w:val="left"/>
      <w:spacing w:after="120"/>
    </w:pPr>
    <w:rPr>
      <w:rFonts w:eastAsia="Times New Roman"/>
      <w:sz w:val="16"/>
      <w:szCs w:val="16"/>
      <w:lang w:eastAsia="ru-RU"/>
    </w:rPr>
  </w:style>
  <w:style w:type="character" w:styleId="908">
    <w:name w:val="Основной текст с отступом 3 Знак"/>
    <w:next w:val="908"/>
    <w:link w:val="90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Контракт-раздел"/>
    <w:basedOn w:val="888"/>
    <w:next w:val="910"/>
    <w:link w:val="888"/>
    <w:pPr>
      <w:numPr>
        <w:ilvl w:val="0"/>
        <w:numId w:val="2"/>
      </w:numPr>
      <w:jc w:val="center"/>
      <w:keepNext/>
      <w:spacing w:before="360" w:after="120"/>
      <w:tabs>
        <w:tab w:val="left" w:pos="540" w:leader="none"/>
      </w:tabs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styleId="910">
    <w:name w:val="Контракт-пункт"/>
    <w:basedOn w:val="888"/>
    <w:next w:val="910"/>
    <w:link w:val="888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styleId="911">
    <w:name w:val="Контракт-подпункт"/>
    <w:basedOn w:val="888"/>
    <w:next w:val="911"/>
    <w:link w:val="913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styleId="912">
    <w:name w:val="Контракт-подподпункт"/>
    <w:basedOn w:val="888"/>
    <w:next w:val="912"/>
    <w:link w:val="888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styleId="913">
    <w:name w:val="Контракт-подпункт Знак"/>
    <w:next w:val="913"/>
    <w:link w:val="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Гиперссылка"/>
    <w:next w:val="914"/>
    <w:link w:val="888"/>
    <w:rPr>
      <w:color w:val="0000ff"/>
      <w:u w:val="single"/>
    </w:rPr>
  </w:style>
  <w:style w:type="paragraph" w:styleId="915">
    <w:name w:val="Текст выноски"/>
    <w:basedOn w:val="888"/>
    <w:next w:val="915"/>
    <w:link w:val="916"/>
    <w:uiPriority w:val="99"/>
    <w:semiHidden/>
    <w:unhideWhenUsed/>
    <w:rPr>
      <w:rFonts w:ascii="Tahoma" w:hAnsi="Tahoma" w:cs="Tahoma"/>
      <w:sz w:val="16"/>
      <w:szCs w:val="16"/>
    </w:rPr>
  </w:style>
  <w:style w:type="character" w:styleId="916">
    <w:name w:val="Текст выноски Знак"/>
    <w:next w:val="916"/>
    <w:link w:val="915"/>
    <w:uiPriority w:val="99"/>
    <w:semiHidden/>
    <w:rPr>
      <w:rFonts w:ascii="Tahoma" w:hAnsi="Tahoma" w:cs="Tahoma"/>
      <w:sz w:val="16"/>
      <w:szCs w:val="16"/>
    </w:rPr>
  </w:style>
  <w:style w:type="paragraph" w:styleId="917">
    <w:name w:val="Основной текст"/>
    <w:basedOn w:val="888"/>
    <w:next w:val="917"/>
    <w:link w:val="918"/>
    <w:uiPriority w:val="99"/>
    <w:semiHidden/>
    <w:unhideWhenUsed/>
    <w:pPr>
      <w:spacing w:after="120"/>
    </w:pPr>
  </w:style>
  <w:style w:type="character" w:styleId="918">
    <w:name w:val="Основной текст Знак"/>
    <w:next w:val="918"/>
    <w:link w:val="917"/>
    <w:uiPriority w:val="99"/>
    <w:semiHidden/>
    <w:rPr>
      <w:rFonts w:ascii="Times New Roman" w:hAnsi="Times New Roman" w:cs="Times New Roman"/>
      <w:sz w:val="28"/>
      <w:szCs w:val="28"/>
    </w:rPr>
  </w:style>
  <w:style w:type="paragraph" w:styleId="919">
    <w:name w:val="ConsPlusCell"/>
    <w:next w:val="919"/>
    <w:link w:val="888"/>
    <w:uiPriority w:val="99"/>
    <w:rPr>
      <w:rFonts w:ascii="Times New Roman" w:hAnsi="Times New Roman"/>
      <w:sz w:val="24"/>
      <w:szCs w:val="24"/>
      <w:lang w:val="ru-RU" w:eastAsia="en-US" w:bidi="ar-SA"/>
    </w:rPr>
  </w:style>
  <w:style w:type="paragraph" w:styleId="920">
    <w:name w:val="Основной текст 2"/>
    <w:basedOn w:val="888"/>
    <w:next w:val="920"/>
    <w:link w:val="921"/>
    <w:uiPriority w:val="99"/>
    <w:semiHidden/>
    <w:unhideWhenUsed/>
    <w:pPr>
      <w:spacing w:after="120" w:line="480" w:lineRule="auto"/>
    </w:pPr>
  </w:style>
  <w:style w:type="character" w:styleId="921">
    <w:name w:val="Основной текст 2 Знак"/>
    <w:next w:val="921"/>
    <w:link w:val="920"/>
    <w:uiPriority w:val="99"/>
    <w:semiHidden/>
    <w:rPr>
      <w:rFonts w:ascii="Times New Roman" w:hAnsi="Times New Roman" w:cs="Times New Roman"/>
      <w:sz w:val="28"/>
      <w:szCs w:val="28"/>
    </w:rPr>
  </w:style>
  <w:style w:type="paragraph" w:styleId="922">
    <w:name w:val="Верхний колонтитул"/>
    <w:basedOn w:val="888"/>
    <w:next w:val="922"/>
    <w:link w:val="923"/>
    <w:unhideWhenUsed/>
    <w:pPr>
      <w:tabs>
        <w:tab w:val="center" w:pos="4677" w:leader="none"/>
        <w:tab w:val="right" w:pos="9355" w:leader="none"/>
      </w:tabs>
    </w:pPr>
  </w:style>
  <w:style w:type="character" w:styleId="923">
    <w:name w:val="Верхний колонтитул Знак"/>
    <w:next w:val="923"/>
    <w:link w:val="922"/>
    <w:uiPriority w:val="99"/>
    <w:rPr>
      <w:rFonts w:ascii="Times New Roman" w:hAnsi="Times New Roman" w:cs="Times New Roman"/>
      <w:sz w:val="28"/>
      <w:szCs w:val="28"/>
    </w:rPr>
  </w:style>
  <w:style w:type="paragraph" w:styleId="924">
    <w:name w:val="Нижний колонтитул"/>
    <w:basedOn w:val="888"/>
    <w:next w:val="924"/>
    <w:link w:val="9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5">
    <w:name w:val="Нижний колонтитул Знак"/>
    <w:next w:val="925"/>
    <w:link w:val="924"/>
    <w:uiPriority w:val="99"/>
    <w:rPr>
      <w:rFonts w:ascii="Times New Roman" w:hAnsi="Times New Roman" w:cs="Times New Roman"/>
      <w:sz w:val="28"/>
      <w:szCs w:val="28"/>
    </w:rPr>
  </w:style>
  <w:style w:type="paragraph" w:styleId="926">
    <w:name w:val="Текст сноски"/>
    <w:basedOn w:val="888"/>
    <w:next w:val="926"/>
    <w:link w:val="927"/>
    <w:uiPriority w:val="99"/>
    <w:unhideWhenUsed/>
    <w:rPr>
      <w:sz w:val="20"/>
      <w:szCs w:val="20"/>
    </w:rPr>
  </w:style>
  <w:style w:type="character" w:styleId="927">
    <w:name w:val="Текст сноски Знак"/>
    <w:next w:val="927"/>
    <w:link w:val="926"/>
    <w:uiPriority w:val="99"/>
    <w:rPr>
      <w:rFonts w:ascii="Times New Roman" w:hAnsi="Times New Roman" w:cs="Times New Roman"/>
      <w:sz w:val="20"/>
      <w:szCs w:val="20"/>
    </w:rPr>
  </w:style>
  <w:style w:type="character" w:styleId="928">
    <w:name w:val="Знак сноски"/>
    <w:next w:val="928"/>
    <w:link w:val="888"/>
    <w:uiPriority w:val="99"/>
    <w:semiHidden/>
    <w:unhideWhenUsed/>
    <w:rPr>
      <w:vertAlign w:val="superscript"/>
    </w:rPr>
  </w:style>
  <w:style w:type="paragraph" w:styleId="929">
    <w:name w:val="Абзац списка"/>
    <w:basedOn w:val="888"/>
    <w:next w:val="929"/>
    <w:link w:val="888"/>
    <w:uiPriority w:val="34"/>
    <w:qFormat/>
    <w:pPr>
      <w:contextualSpacing/>
      <w:ind w:left="720"/>
      <w:jc w:val="left"/>
      <w:spacing w:after="200" w:line="276" w:lineRule="auto"/>
    </w:pPr>
    <w:rPr>
      <w:rFonts w:ascii="Calibri" w:hAnsi="Calibri" w:cs="Times New Roman"/>
      <w:sz w:val="22"/>
      <w:szCs w:val="22"/>
    </w:rPr>
  </w:style>
  <w:style w:type="character" w:styleId="930">
    <w:name w:val="Заголовок 3 Знак,H3 Знак"/>
    <w:next w:val="930"/>
    <w:link w:val="890"/>
    <w:rPr>
      <w:rFonts w:ascii="Times New Roman" w:hAnsi="Times New Roman" w:eastAsia="Times New Roman" w:cs="Times New Roman"/>
      <w:b/>
      <w:bCs/>
      <w:sz w:val="40"/>
      <w:szCs w:val="40"/>
      <w:lang w:eastAsia="ru-RU"/>
    </w:rPr>
  </w:style>
  <w:style w:type="character" w:styleId="931">
    <w:name w:val="Заголовок 4 Знак,H4 Знак"/>
    <w:next w:val="931"/>
    <w:link w:val="891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32">
    <w:name w:val="Заголовок 5 Знак,H5 Знак"/>
    <w:next w:val="932"/>
    <w:link w:val="892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933">
    <w:name w:val="Заголовок 6 Знак"/>
    <w:next w:val="933"/>
    <w:link w:val="893"/>
    <w:rPr>
      <w:rFonts w:ascii="Times New Roman" w:hAnsi="Times New Roman" w:eastAsia="Times New Roman" w:cs="Times New Roman"/>
      <w:b/>
      <w:bCs/>
      <w:lang w:eastAsia="ru-RU"/>
    </w:rPr>
  </w:style>
  <w:style w:type="character" w:styleId="934">
    <w:name w:val="Заголовок 7 Знак"/>
    <w:next w:val="934"/>
    <w:link w:val="89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35">
    <w:name w:val="Заголовок 8 Знак"/>
    <w:next w:val="935"/>
    <w:link w:val="895"/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character" w:styleId="936">
    <w:name w:val="Заголовок 9 Знак"/>
    <w:next w:val="936"/>
    <w:link w:val="896"/>
    <w:rPr>
      <w:rFonts w:ascii="Arial" w:hAnsi="Arial" w:eastAsia="Times New Roman" w:cs="Arial"/>
      <w:lang w:eastAsia="ru-RU"/>
    </w:rPr>
  </w:style>
  <w:style w:type="paragraph" w:styleId="937">
    <w:name w:val="Подподпункт"/>
    <w:basedOn w:val="888"/>
    <w:next w:val="937"/>
    <w:link w:val="888"/>
    <w:pPr>
      <w:tabs>
        <w:tab w:val="num" w:pos="5585" w:leader="none"/>
      </w:tabs>
    </w:pPr>
    <w:rPr>
      <w:rFonts w:eastAsia="Times New Roman"/>
      <w:sz w:val="24"/>
      <w:lang w:eastAsia="ru-RU"/>
    </w:rPr>
  </w:style>
  <w:style w:type="table" w:styleId="938">
    <w:name w:val="Сетка таблицы"/>
    <w:basedOn w:val="898"/>
    <w:next w:val="938"/>
    <w:link w:val="888"/>
    <w:uiPriority w:val="59"/>
    <w:pPr>
      <w:spacing w:after="0" w:line="240" w:lineRule="auto"/>
    </w:pPr>
    <w:tblPr/>
  </w:style>
  <w:style w:type="character" w:styleId="939">
    <w:name w:val="Знак примечания"/>
    <w:next w:val="939"/>
    <w:link w:val="888"/>
    <w:uiPriority w:val="99"/>
    <w:semiHidden/>
    <w:unhideWhenUsed/>
    <w:rPr>
      <w:sz w:val="16"/>
      <w:szCs w:val="16"/>
    </w:rPr>
  </w:style>
  <w:style w:type="paragraph" w:styleId="940">
    <w:name w:val="Текст примечания"/>
    <w:basedOn w:val="888"/>
    <w:next w:val="940"/>
    <w:link w:val="941"/>
    <w:uiPriority w:val="99"/>
    <w:semiHidden/>
    <w:unhideWhenUsed/>
    <w:rPr>
      <w:sz w:val="20"/>
      <w:szCs w:val="20"/>
    </w:rPr>
  </w:style>
  <w:style w:type="character" w:styleId="941">
    <w:name w:val="Текст примечания Знак"/>
    <w:next w:val="941"/>
    <w:link w:val="94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42">
    <w:name w:val="Тема примечания"/>
    <w:basedOn w:val="940"/>
    <w:next w:val="940"/>
    <w:link w:val="943"/>
    <w:uiPriority w:val="99"/>
    <w:semiHidden/>
    <w:unhideWhenUsed/>
    <w:rPr>
      <w:b/>
      <w:bCs/>
    </w:rPr>
  </w:style>
  <w:style w:type="character" w:styleId="943">
    <w:name w:val="Тема примечания Знак"/>
    <w:next w:val="943"/>
    <w:link w:val="942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944">
    <w:name w:val="Основной текст 3"/>
    <w:basedOn w:val="888"/>
    <w:next w:val="944"/>
    <w:link w:val="945"/>
    <w:uiPriority w:val="99"/>
    <w:unhideWhenUsed/>
    <w:pPr>
      <w:spacing w:after="120"/>
    </w:pPr>
    <w:rPr>
      <w:sz w:val="16"/>
      <w:szCs w:val="16"/>
    </w:rPr>
  </w:style>
  <w:style w:type="character" w:styleId="945">
    <w:name w:val="Основной текст 3 Знак"/>
    <w:next w:val="945"/>
    <w:link w:val="944"/>
    <w:uiPriority w:val="99"/>
    <w:rPr>
      <w:rFonts w:ascii="Times New Roman" w:hAnsi="Times New Roman" w:cs="Times New Roman"/>
      <w:sz w:val="16"/>
      <w:szCs w:val="16"/>
    </w:rPr>
  </w:style>
  <w:style w:type="paragraph" w:styleId="946">
    <w:name w:val="s_1"/>
    <w:basedOn w:val="888"/>
    <w:next w:val="946"/>
    <w:link w:val="888"/>
    <w:pPr>
      <w:jc w:val="left"/>
      <w:spacing w:before="100" w:after="100"/>
    </w:pPr>
    <w:rPr>
      <w:rFonts w:eastAsia="Times New Roman"/>
      <w:sz w:val="24"/>
      <w:szCs w:val="24"/>
      <w:lang w:eastAsia="ar-SA"/>
    </w:rPr>
  </w:style>
  <w:style w:type="character" w:styleId="947">
    <w:name w:val="blk"/>
    <w:basedOn w:val="897"/>
    <w:next w:val="947"/>
    <w:link w:val="888"/>
  </w:style>
  <w:style w:type="character" w:styleId="948">
    <w:name w:val="Номер страницы"/>
    <w:basedOn w:val="897"/>
    <w:next w:val="948"/>
    <w:link w:val="888"/>
    <w:semiHidden/>
  </w:style>
  <w:style w:type="paragraph" w:styleId="949">
    <w:name w:val="Без интервала"/>
    <w:next w:val="949"/>
    <w:link w:val="888"/>
    <w:uiPriority w:val="99"/>
    <w:qFormat/>
    <w:rPr>
      <w:sz w:val="22"/>
      <w:szCs w:val="22"/>
      <w:lang w:val="ru-RU" w:eastAsia="en-US" w:bidi="ar-SA"/>
    </w:rPr>
  </w:style>
  <w:style w:type="paragraph" w:styleId="950">
    <w:name w:val="ConsPlusNormal"/>
    <w:next w:val="950"/>
    <w:link w:val="951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951">
    <w:name w:val="ConsPlusNormal Знак"/>
    <w:next w:val="951"/>
    <w:link w:val="950"/>
    <w:qFormat/>
    <w:rPr>
      <w:rFonts w:eastAsia="Times New Roman" w:cs="Calibri"/>
      <w:sz w:val="22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xl123"/>
    <w:basedOn w:val="830"/>
    <w:pPr>
      <w:contextualSpacing w:val="0"/>
      <w:ind w:left="0" w:right="0" w:firstLine="0"/>
      <w:jc w:val="center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single" w:color="000000" w:sz="4" w:space="0"/>
        <w:bottom w:val="single" w:color="000000" w:sz="4" w:space="0"/>
        <w:right w:val="singl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login.consultant.ru/link/?req=doc&amp;base=LAW&amp;n=465243&amp;dst=1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revision>26</cp:revision>
  <dcterms:created xsi:type="dcterms:W3CDTF">2024-08-22T07:27:00Z</dcterms:created>
  <dcterms:modified xsi:type="dcterms:W3CDTF">2026-07-14T06:18:13Z</dcterms:modified>
  <cp:version>1048576</cp:version>
</cp:coreProperties>
</file>