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9668E6" w14:paraId="19E8644E" w14:textId="77777777" w:rsidTr="006F07D4">
        <w:trPr>
          <w:trHeight w:val="242"/>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1E9571D8" w:rsidR="004419E9" w:rsidRPr="009E79EA" w:rsidRDefault="009E79EA" w:rsidP="009E79EA">
            <w:pPr>
              <w:widowControl w:val="0"/>
              <w:autoSpaceDE w:val="0"/>
              <w:autoSpaceDN w:val="0"/>
              <w:adjustRightInd w:val="0"/>
              <w:spacing w:after="0" w:line="240" w:lineRule="auto"/>
              <w:jc w:val="center"/>
              <w:rPr>
                <w:rFonts w:ascii="Times New Roman" w:hAnsi="Times New Roman" w:cs="Times New Roman"/>
                <w:b/>
                <w:bCs/>
                <w:sz w:val="20"/>
                <w:szCs w:val="20"/>
              </w:rPr>
            </w:pPr>
            <w:bookmarkStart w:id="0" w:name="_GoBack"/>
            <w:r w:rsidRPr="009E79EA">
              <w:rPr>
                <w:rFonts w:ascii="Times New Roman" w:hAnsi="Times New Roman" w:cs="Times New Roman"/>
                <w:b/>
                <w:bCs/>
                <w:color w:val="000000"/>
                <w:sz w:val="20"/>
                <w:szCs w:val="20"/>
              </w:rPr>
              <w:t>Оказание услуг по передаче</w:t>
            </w:r>
            <w:r w:rsidRPr="009E79EA">
              <w:rPr>
                <w:rFonts w:ascii="Times New Roman" w:hAnsi="Times New Roman" w:cs="Times New Roman"/>
                <w:b/>
                <w:bCs/>
                <w:color w:val="000000"/>
                <w:sz w:val="20"/>
                <w:szCs w:val="20"/>
              </w:rPr>
              <w:t xml:space="preserve"> прав</w:t>
            </w:r>
            <w:r w:rsidRPr="009E79EA">
              <w:rPr>
                <w:rFonts w:ascii="Times New Roman" w:hAnsi="Times New Roman" w:cs="Times New Roman"/>
                <w:b/>
                <w:bCs/>
                <w:color w:val="000000"/>
                <w:sz w:val="20"/>
                <w:szCs w:val="20"/>
              </w:rPr>
              <w:t>а</w:t>
            </w:r>
            <w:r w:rsidRPr="009E79EA">
              <w:rPr>
                <w:rFonts w:ascii="Times New Roman" w:hAnsi="Times New Roman" w:cs="Times New Roman"/>
                <w:b/>
                <w:bCs/>
                <w:color w:val="000000"/>
                <w:sz w:val="20"/>
                <w:szCs w:val="20"/>
              </w:rPr>
              <w:t xml:space="preserve"> использования программы для ЭВМ «</w:t>
            </w:r>
            <w:proofErr w:type="spellStart"/>
            <w:r w:rsidRPr="009E79EA">
              <w:rPr>
                <w:rFonts w:ascii="Times New Roman" w:hAnsi="Times New Roman" w:cs="Times New Roman"/>
                <w:b/>
                <w:bCs/>
                <w:color w:val="000000"/>
                <w:sz w:val="20"/>
                <w:szCs w:val="20"/>
              </w:rPr>
              <w:t>Контур</w:t>
            </w:r>
            <w:proofErr w:type="gramStart"/>
            <w:r w:rsidRPr="009E79EA">
              <w:rPr>
                <w:rFonts w:ascii="Times New Roman" w:hAnsi="Times New Roman" w:cs="Times New Roman"/>
                <w:b/>
                <w:bCs/>
                <w:color w:val="000000"/>
                <w:sz w:val="20"/>
                <w:szCs w:val="20"/>
              </w:rPr>
              <w:t>.Э</w:t>
            </w:r>
            <w:proofErr w:type="gramEnd"/>
            <w:r w:rsidRPr="009E79EA">
              <w:rPr>
                <w:rFonts w:ascii="Times New Roman" w:hAnsi="Times New Roman" w:cs="Times New Roman"/>
                <w:b/>
                <w:bCs/>
                <w:color w:val="000000"/>
                <w:sz w:val="20"/>
                <w:szCs w:val="20"/>
              </w:rPr>
              <w:t>кстерн</w:t>
            </w:r>
            <w:proofErr w:type="spellEnd"/>
            <w:r w:rsidRPr="009E79EA">
              <w:rPr>
                <w:rFonts w:ascii="Times New Roman" w:hAnsi="Times New Roman" w:cs="Times New Roman"/>
                <w:b/>
                <w:bCs/>
                <w:color w:val="000000"/>
                <w:sz w:val="20"/>
                <w:szCs w:val="20"/>
              </w:rPr>
              <w:t>» и оказание услуг по сопровождению (технической поддержке)</w:t>
            </w:r>
            <w:r w:rsidRPr="009E79EA">
              <w:rPr>
                <w:rFonts w:ascii="Times New Roman" w:hAnsi="Times New Roman" w:cs="Times New Roman"/>
                <w:b/>
                <w:bCs/>
                <w:color w:val="000000"/>
                <w:sz w:val="20"/>
                <w:szCs w:val="20"/>
              </w:rPr>
              <w:t xml:space="preserve"> </w:t>
            </w:r>
            <w:r w:rsidR="006F07D4" w:rsidRPr="009E79EA">
              <w:rPr>
                <w:rFonts w:ascii="Times New Roman" w:hAnsi="Times New Roman" w:cs="Times New Roman"/>
                <w:b/>
                <w:sz w:val="20"/>
                <w:szCs w:val="20"/>
              </w:rPr>
              <w:t xml:space="preserve"> </w:t>
            </w:r>
            <w:r w:rsidR="00A362FD" w:rsidRPr="009E79EA">
              <w:rPr>
                <w:rFonts w:ascii="Times New Roman" w:hAnsi="Times New Roman" w:cs="Times New Roman"/>
                <w:b/>
                <w:sz w:val="20"/>
                <w:szCs w:val="20"/>
              </w:rPr>
              <w:t xml:space="preserve"> в соответствии с условиями </w:t>
            </w:r>
            <w:r>
              <w:rPr>
                <w:rFonts w:ascii="Times New Roman" w:hAnsi="Times New Roman" w:cs="Times New Roman"/>
                <w:b/>
                <w:sz w:val="20"/>
                <w:szCs w:val="20"/>
              </w:rPr>
              <w:t>Договора</w:t>
            </w:r>
            <w:bookmarkEnd w:id="0"/>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23630701" w14:textId="6CADD415" w:rsidR="00375EC9" w:rsidRDefault="00375EC9" w:rsidP="00375EC9">
            <w:pPr>
              <w:jc w:val="both"/>
              <w:rPr>
                <w:rFonts w:ascii="Times New Roman" w:eastAsia="Times New Roman" w:hAnsi="Times New Roman" w:cs="Times New Roman"/>
                <w:sz w:val="20"/>
                <w:szCs w:val="20"/>
              </w:rPr>
            </w:pPr>
            <w:r w:rsidRPr="000E3346">
              <w:rPr>
                <w:rFonts w:ascii="Times New Roman" w:eastAsia="Times New Roman" w:hAnsi="Times New Roman" w:cs="Times New Roman"/>
                <w:sz w:val="20"/>
                <w:szCs w:val="20"/>
              </w:rPr>
              <w:t>Метод сопоставимых рыночных цен (анализа рынка) в соответствии с пп.1. п.1. ст. 22 Федерального закона от 05.04.2013 № 44-ФЗ, при этом, поскольку:</w:t>
            </w:r>
          </w:p>
          <w:p w14:paraId="6C946E30" w14:textId="2801ABF9" w:rsidR="007F63FF" w:rsidRPr="004B0161" w:rsidRDefault="007F63FF" w:rsidP="007F63FF">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Pr="004B0161">
              <w:rPr>
                <w:rFonts w:ascii="Times New Roman" w:hAnsi="Times New Roman" w:cs="Times New Roman"/>
                <w:sz w:val="20"/>
                <w:szCs w:val="20"/>
              </w:rPr>
              <w:t>на поставляем</w:t>
            </w:r>
            <w:r w:rsidR="006F07D4">
              <w:rPr>
                <w:rFonts w:ascii="Times New Roman" w:hAnsi="Times New Roman" w:cs="Times New Roman"/>
                <w:sz w:val="20"/>
                <w:szCs w:val="20"/>
              </w:rPr>
              <w:t>ый</w:t>
            </w:r>
            <w:r w:rsidRPr="004B0161">
              <w:rPr>
                <w:rFonts w:ascii="Times New Roman" w:hAnsi="Times New Roman" w:cs="Times New Roman"/>
                <w:sz w:val="20"/>
                <w:szCs w:val="20"/>
              </w:rPr>
              <w:t xml:space="preserve"> Товар распространяется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ar174" w:tooltip="ПЕРЕЧЕНЬ" w:history="1">
              <w:r w:rsidRPr="004B0161">
                <w:rPr>
                  <w:rFonts w:ascii="Times New Roman" w:hAnsi="Times New Roman" w:cs="Times New Roman"/>
                  <w:color w:val="0000FF"/>
                  <w:sz w:val="20"/>
                  <w:szCs w:val="20"/>
                </w:rPr>
                <w:t>приложению N 1</w:t>
              </w:r>
            </w:hyperlink>
            <w:r w:rsidRPr="004B0161">
              <w:rPr>
                <w:rFonts w:ascii="Times New Roman" w:hAnsi="Times New Roman" w:cs="Times New Roman"/>
                <w:sz w:val="20"/>
                <w:szCs w:val="20"/>
              </w:rPr>
              <w:t>, к Постановлению правительства Российской Федерации от 23 декабря 2024 г. N 1875 (далее – Постановление), производится закупка Товара на условиях неприменения запрета закупки</w:t>
            </w:r>
            <w:proofErr w:type="gramEnd"/>
            <w:r w:rsidRPr="004B0161">
              <w:rPr>
                <w:rFonts w:ascii="Times New Roman" w:hAnsi="Times New Roman" w:cs="Times New Roman"/>
                <w:sz w:val="20"/>
                <w:szCs w:val="20"/>
              </w:rPr>
              <w:t xml:space="preserve"> на основании </w:t>
            </w:r>
            <w:proofErr w:type="spellStart"/>
            <w:r w:rsidRPr="004B0161">
              <w:rPr>
                <w:rFonts w:ascii="Times New Roman" w:hAnsi="Times New Roman" w:cs="Times New Roman"/>
                <w:sz w:val="20"/>
                <w:szCs w:val="20"/>
              </w:rPr>
              <w:t>пп</w:t>
            </w:r>
            <w:proofErr w:type="spellEnd"/>
            <w:r w:rsidRPr="004B0161">
              <w:rPr>
                <w:rFonts w:ascii="Times New Roman" w:hAnsi="Times New Roman" w:cs="Times New Roman"/>
                <w:sz w:val="20"/>
                <w:szCs w:val="20"/>
              </w:rPr>
              <w:t xml:space="preserve">. </w:t>
            </w:r>
            <w:r w:rsidR="009E79EA">
              <w:rPr>
                <w:rFonts w:ascii="Times New Roman" w:hAnsi="Times New Roman" w:cs="Times New Roman"/>
                <w:sz w:val="20"/>
                <w:szCs w:val="20"/>
              </w:rPr>
              <w:t>ж) п.5 Постановления:</w:t>
            </w:r>
          </w:p>
          <w:p w14:paraId="3C5B0D07" w14:textId="04AC1C24" w:rsidR="00375EC9" w:rsidRPr="00375EC9" w:rsidRDefault="009E79EA" w:rsidP="009E79EA">
            <w:pPr>
              <w:pStyle w:val="ConsPlusTitle"/>
              <w:jc w:val="both"/>
              <w:rPr>
                <w:rFonts w:ascii="Times New Roman" w:hAnsi="Times New Roman" w:cs="Times New Roman"/>
                <w:b w:val="0"/>
                <w:sz w:val="20"/>
                <w:szCs w:val="20"/>
              </w:rPr>
            </w:pPr>
            <w:r>
              <w:rPr>
                <w:rFonts w:ascii="Times New Roman" w:hAnsi="Times New Roman" w:cs="Times New Roman"/>
                <w:b w:val="0"/>
                <w:sz w:val="20"/>
                <w:szCs w:val="20"/>
              </w:rPr>
              <w:t xml:space="preserve">осуществляется закупка лицензии на программное обеспечение, </w:t>
            </w:r>
            <w:proofErr w:type="gramStart"/>
            <w:r>
              <w:rPr>
                <w:rFonts w:ascii="Times New Roman" w:hAnsi="Times New Roman" w:cs="Times New Roman"/>
                <w:b w:val="0"/>
                <w:sz w:val="20"/>
                <w:szCs w:val="20"/>
              </w:rPr>
              <w:t>внесенного</w:t>
            </w:r>
            <w:proofErr w:type="gramEnd"/>
            <w:r>
              <w:rPr>
                <w:rFonts w:ascii="Times New Roman" w:hAnsi="Times New Roman" w:cs="Times New Roman"/>
                <w:b w:val="0"/>
                <w:sz w:val="20"/>
                <w:szCs w:val="20"/>
              </w:rPr>
              <w:t xml:space="preserve"> в реестр российского ПО за № 523.</w:t>
            </w:r>
          </w:p>
          <w:p w14:paraId="66C37A26" w14:textId="77777777" w:rsidR="00A362FD" w:rsidRPr="00375EC9" w:rsidRDefault="00A362FD" w:rsidP="00375EC9">
            <w:pPr>
              <w:pStyle w:val="ConsPlusNormal"/>
              <w:jc w:val="both"/>
              <w:rPr>
                <w:rFonts w:ascii="Times New Roman" w:hAnsi="Times New Roman" w:cs="Times New Roman"/>
                <w:b/>
                <w:sz w:val="20"/>
              </w:rPr>
            </w:pPr>
          </w:p>
          <w:p w14:paraId="1A65B14F" w14:textId="29779B2F" w:rsidR="00954E07" w:rsidRPr="00954E07" w:rsidRDefault="00375EC9" w:rsidP="00375EC9">
            <w:pPr>
              <w:spacing w:after="0"/>
              <w:jc w:val="both"/>
              <w:rPr>
                <w:rFonts w:ascii="Times New Roman" w:hAnsi="Times New Roman" w:cs="Times New Roman"/>
                <w:b/>
                <w:sz w:val="20"/>
              </w:rPr>
            </w:pPr>
            <w:proofErr w:type="gramStart"/>
            <w:r w:rsidRPr="00375EC9">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F12711">
        <w:trPr>
          <w:trHeight w:val="3960"/>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42DBAD2F" w:rsidR="006F3746" w:rsidRPr="00E02438" w:rsidRDefault="009E79EA" w:rsidP="006F07D4">
                  <w:pPr>
                    <w:spacing w:after="0"/>
                    <w:rPr>
                      <w:rFonts w:ascii="Times New Roman" w:eastAsia="Calibri" w:hAnsi="Times New Roman" w:cs="Times New Roman"/>
                      <w:b/>
                      <w:sz w:val="20"/>
                      <w:szCs w:val="20"/>
                    </w:rPr>
                  </w:pPr>
                  <w:r>
                    <w:rPr>
                      <w:rFonts w:ascii="Times New Roman" w:hAnsi="Times New Roman" w:cs="Times New Roman"/>
                      <w:b/>
                      <w:color w:val="000000"/>
                      <w:sz w:val="20"/>
                      <w:szCs w:val="20"/>
                    </w:rPr>
                    <w:t>44900</w:t>
                  </w:r>
                  <w:r w:rsidR="006F07D4">
                    <w:rPr>
                      <w:rFonts w:ascii="Times New Roman" w:hAnsi="Times New Roman" w:cs="Times New Roman"/>
                      <w:b/>
                      <w:color w:val="000000"/>
                      <w:sz w:val="20"/>
                      <w:szCs w:val="20"/>
                    </w:rPr>
                    <w:t>,00</w:t>
                  </w:r>
                  <w:r w:rsidR="00F51DA6" w:rsidRPr="00E02438">
                    <w:rPr>
                      <w:rFonts w:ascii="Times New Roman" w:hAnsi="Times New Roman" w:cs="Times New Roman"/>
                      <w:b/>
                      <w:color w:val="000000"/>
                      <w:sz w:val="20"/>
                      <w:szCs w:val="20"/>
                    </w:rPr>
                    <w:t xml:space="preserve"> </w:t>
                  </w:r>
                  <w:r w:rsidR="004E1C39" w:rsidRPr="00E02438">
                    <w:rPr>
                      <w:rFonts w:ascii="Times New Roman" w:eastAsia="Calibri" w:hAnsi="Times New Roman" w:cs="Times New Roman"/>
                      <w:b/>
                      <w:sz w:val="20"/>
                      <w:szCs w:val="20"/>
                    </w:rPr>
                    <w:t>руб</w:t>
                  </w:r>
                  <w:r w:rsidR="006F3746" w:rsidRPr="00E02438">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277534A9" w:rsidR="004419E9" w:rsidRPr="00E02438" w:rsidRDefault="009E79EA" w:rsidP="00684E52">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51635</w:t>
                  </w:r>
                  <w:r w:rsidR="006F07D4">
                    <w:rPr>
                      <w:rFonts w:ascii="Times New Roman" w:eastAsia="Calibri" w:hAnsi="Times New Roman" w:cs="Times New Roman"/>
                      <w:b/>
                      <w:sz w:val="20"/>
                      <w:szCs w:val="20"/>
                    </w:rPr>
                    <w:t>,00</w:t>
                  </w:r>
                  <w:r w:rsidR="00E02438" w:rsidRPr="00E02438">
                    <w:rPr>
                      <w:rFonts w:ascii="Times New Roman" w:eastAsia="Calibri" w:hAnsi="Times New Roman" w:cs="Times New Roman"/>
                      <w:b/>
                      <w:sz w:val="20"/>
                      <w:szCs w:val="20"/>
                    </w:rPr>
                    <w:t xml:space="preserve"> </w:t>
                  </w:r>
                  <w:r w:rsidR="006F3746" w:rsidRPr="00E02438">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704890C3" w:rsidR="004419E9" w:rsidRPr="00E02438" w:rsidRDefault="009E79EA" w:rsidP="00DB46E0">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50737</w:t>
                  </w:r>
                  <w:r w:rsidR="006F07D4">
                    <w:rPr>
                      <w:rFonts w:ascii="Times New Roman" w:eastAsia="Calibri" w:hAnsi="Times New Roman" w:cs="Times New Roman"/>
                      <w:b/>
                      <w:sz w:val="20"/>
                      <w:szCs w:val="20"/>
                    </w:rPr>
                    <w:t>,</w:t>
                  </w:r>
                  <w:r w:rsidR="00DB46E0">
                    <w:rPr>
                      <w:rFonts w:ascii="Times New Roman" w:eastAsia="Calibri" w:hAnsi="Times New Roman" w:cs="Times New Roman"/>
                      <w:b/>
                      <w:sz w:val="20"/>
                      <w:szCs w:val="20"/>
                    </w:rPr>
                    <w:t>2</w:t>
                  </w:r>
                  <w:r w:rsidR="006F07D4">
                    <w:rPr>
                      <w:rFonts w:ascii="Times New Roman" w:eastAsia="Calibri" w:hAnsi="Times New Roman" w:cs="Times New Roman"/>
                      <w:b/>
                      <w:sz w:val="20"/>
                      <w:szCs w:val="20"/>
                    </w:rPr>
                    <w:t>0</w:t>
                  </w:r>
                  <w:r w:rsidR="00E02438" w:rsidRPr="00E02438">
                    <w:rPr>
                      <w:rFonts w:ascii="Times New Roman" w:eastAsia="Calibri" w:hAnsi="Times New Roman" w:cs="Times New Roman"/>
                      <w:b/>
                      <w:sz w:val="20"/>
                      <w:szCs w:val="20"/>
                    </w:rPr>
                    <w:t xml:space="preserve"> </w:t>
                  </w:r>
                  <w:r w:rsidR="00E51CB9" w:rsidRPr="00E02438">
                    <w:rPr>
                      <w:rFonts w:ascii="Times New Roman" w:eastAsia="Calibri" w:hAnsi="Times New Roman" w:cs="Times New Roman"/>
                      <w:b/>
                      <w:sz w:val="20"/>
                      <w:szCs w:val="20"/>
                    </w:rPr>
                    <w:t xml:space="preserve">руб. </w:t>
                  </w:r>
                  <w:r w:rsidR="006F3746" w:rsidRPr="00E02438">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C65F1E"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 xml:space="preserve">где V — количество </w:t>
            </w:r>
            <w:r w:rsidRPr="00C65F1E">
              <w:rPr>
                <w:rFonts w:ascii="Times New Roman" w:hAnsi="Times New Roman" w:cs="Times New Roman"/>
                <w:color w:val="222222"/>
                <w:sz w:val="20"/>
                <w:szCs w:val="20"/>
                <w:shd w:val="clear" w:color="auto" w:fill="FFFFFF"/>
              </w:rPr>
              <w:t>товара, которое заказчик будет закупать;</w:t>
            </w:r>
          </w:p>
          <w:p w14:paraId="711324DB" w14:textId="77777777" w:rsidR="00B941F4" w:rsidRPr="00E02438" w:rsidRDefault="00B941F4" w:rsidP="00B941F4">
            <w:pPr>
              <w:autoSpaceDE w:val="0"/>
              <w:autoSpaceDN w:val="0"/>
              <w:spacing w:after="0"/>
              <w:jc w:val="both"/>
              <w:rPr>
                <w:rFonts w:ascii="Times New Roman" w:hAnsi="Times New Roman" w:cs="Times New Roman"/>
                <w:color w:val="222222"/>
                <w:sz w:val="20"/>
                <w:szCs w:val="20"/>
              </w:rPr>
            </w:pPr>
            <w:r w:rsidRPr="00C65F1E">
              <w:rPr>
                <w:rFonts w:ascii="Times New Roman" w:hAnsi="Times New Roman" w:cs="Times New Roman"/>
                <w:color w:val="222222"/>
                <w:sz w:val="20"/>
                <w:szCs w:val="20"/>
                <w:shd w:val="clear" w:color="auto" w:fill="FFFFFF"/>
              </w:rPr>
              <w:t xml:space="preserve">n — количество цен, которые </w:t>
            </w:r>
            <w:r w:rsidRPr="00E02438">
              <w:rPr>
                <w:rFonts w:ascii="Times New Roman" w:hAnsi="Times New Roman" w:cs="Times New Roman"/>
                <w:color w:val="222222"/>
                <w:sz w:val="20"/>
                <w:szCs w:val="20"/>
                <w:shd w:val="clear" w:color="auto" w:fill="FFFFFF"/>
              </w:rPr>
              <w:t>заказчик использует в расчете;</w:t>
            </w:r>
          </w:p>
          <w:p w14:paraId="3B127590" w14:textId="1C904621" w:rsidR="00B941F4" w:rsidRPr="00E02438"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E02438">
              <w:rPr>
                <w:rFonts w:ascii="Times New Roman" w:hAnsi="Times New Roman" w:cs="Times New Roman"/>
                <w:color w:val="222222"/>
                <w:sz w:val="20"/>
                <w:szCs w:val="20"/>
                <w:shd w:val="clear" w:color="auto" w:fill="FFFFFF"/>
              </w:rPr>
              <w:t>Ц</w:t>
            </w:r>
            <w:proofErr w:type="gramStart"/>
            <w:r w:rsidRPr="00E02438">
              <w:rPr>
                <w:rFonts w:ascii="Times New Roman" w:hAnsi="Times New Roman" w:cs="Times New Roman"/>
                <w:color w:val="222222"/>
                <w:sz w:val="20"/>
                <w:szCs w:val="20"/>
                <w:shd w:val="clear" w:color="auto" w:fill="FFFFFF"/>
              </w:rPr>
              <w:t>i</w:t>
            </w:r>
            <w:proofErr w:type="spellEnd"/>
            <w:proofErr w:type="gramEnd"/>
            <w:r w:rsidRPr="00E02438">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E02438"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E02438">
              <w:rPr>
                <w:rFonts w:ascii="Times New Roman" w:hAnsi="Times New Roman" w:cs="Times New Roman"/>
                <w:color w:val="222222"/>
                <w:sz w:val="20"/>
                <w:szCs w:val="20"/>
                <w:shd w:val="clear" w:color="auto" w:fill="FFFFFF"/>
                <w:lang w:val="en-US"/>
              </w:rPr>
              <w:t>k</w:t>
            </w:r>
            <w:r w:rsidRPr="00E02438">
              <w:rPr>
                <w:rFonts w:ascii="Times New Roman" w:hAnsi="Times New Roman" w:cs="Times New Roman"/>
                <w:color w:val="222222"/>
                <w:sz w:val="20"/>
                <w:szCs w:val="20"/>
                <w:shd w:val="clear" w:color="auto" w:fill="FFFFFF"/>
              </w:rPr>
              <w:t xml:space="preserve">- </w:t>
            </w:r>
            <w:proofErr w:type="gramStart"/>
            <w:r w:rsidRPr="00E02438">
              <w:rPr>
                <w:rFonts w:ascii="Times New Roman" w:hAnsi="Times New Roman" w:cs="Times New Roman"/>
                <w:color w:val="222222"/>
                <w:sz w:val="20"/>
                <w:szCs w:val="20"/>
                <w:shd w:val="clear" w:color="auto" w:fill="FFFFFF"/>
              </w:rPr>
              <w:t>корректирующий</w:t>
            </w:r>
            <w:proofErr w:type="gramEnd"/>
            <w:r w:rsidRPr="00E02438">
              <w:rPr>
                <w:rFonts w:ascii="Times New Roman" w:hAnsi="Times New Roman" w:cs="Times New Roman"/>
                <w:color w:val="222222"/>
                <w:sz w:val="20"/>
                <w:szCs w:val="20"/>
                <w:shd w:val="clear" w:color="auto" w:fill="FFFFFF"/>
              </w:rPr>
              <w:t xml:space="preserve"> коэффициент.</w:t>
            </w:r>
          </w:p>
          <w:p w14:paraId="1226391A" w14:textId="47154394" w:rsidR="00E51CB9" w:rsidRPr="00E02438" w:rsidRDefault="00B941F4" w:rsidP="00E51CB9">
            <w:pPr>
              <w:autoSpaceDE w:val="0"/>
              <w:autoSpaceDN w:val="0"/>
              <w:spacing w:after="0"/>
              <w:ind w:firstLine="113"/>
              <w:jc w:val="both"/>
              <w:rPr>
                <w:rFonts w:ascii="Times New Roman" w:hAnsi="Times New Roman" w:cs="Times New Roman"/>
                <w:color w:val="000000"/>
                <w:sz w:val="20"/>
                <w:szCs w:val="20"/>
              </w:rPr>
            </w:pPr>
            <w:proofErr w:type="spellStart"/>
            <w:r w:rsidRPr="00E02438">
              <w:rPr>
                <w:rFonts w:ascii="Times New Roman" w:hAnsi="Times New Roman" w:cs="Times New Roman"/>
                <w:b/>
                <w:bCs/>
                <w:i/>
                <w:sz w:val="20"/>
                <w:szCs w:val="20"/>
              </w:rPr>
              <w:t>НМЦК</w:t>
            </w:r>
            <w:r w:rsidRPr="00E02438">
              <w:rPr>
                <w:rFonts w:ascii="Times New Roman" w:hAnsi="Times New Roman" w:cs="Times New Roman"/>
                <w:b/>
                <w:bCs/>
                <w:i/>
                <w:sz w:val="20"/>
                <w:szCs w:val="20"/>
                <w:vertAlign w:val="superscript"/>
              </w:rPr>
              <w:t>рын</w:t>
            </w:r>
            <w:proofErr w:type="spellEnd"/>
            <w:r w:rsidR="004B26BB" w:rsidRPr="00E02438">
              <w:rPr>
                <w:rFonts w:ascii="Times New Roman" w:hAnsi="Times New Roman" w:cs="Times New Roman"/>
                <w:b/>
                <w:bCs/>
                <w:i/>
                <w:sz w:val="20"/>
                <w:szCs w:val="20"/>
                <w:vertAlign w:val="superscript"/>
              </w:rPr>
              <w:t xml:space="preserve">  </w:t>
            </w:r>
            <w:r w:rsidR="004419E9" w:rsidRPr="00E02438">
              <w:rPr>
                <w:rFonts w:ascii="Times New Roman" w:hAnsi="Times New Roman" w:cs="Times New Roman"/>
                <w:b/>
                <w:i/>
                <w:sz w:val="20"/>
                <w:szCs w:val="20"/>
              </w:rPr>
              <w:t xml:space="preserve">= </w:t>
            </w:r>
            <w:r w:rsidR="004419E9" w:rsidRPr="00E02438">
              <w:rPr>
                <w:rFonts w:ascii="Times New Roman" w:hAnsi="Times New Roman" w:cs="Times New Roman"/>
                <w:b/>
                <w:sz w:val="20"/>
                <w:szCs w:val="20"/>
              </w:rPr>
              <w:t>1/3*</w:t>
            </w:r>
            <w:r w:rsidR="006F3746" w:rsidRPr="00E02438">
              <w:rPr>
                <w:rFonts w:ascii="Times New Roman" w:hAnsi="Times New Roman" w:cs="Times New Roman"/>
                <w:b/>
                <w:sz w:val="20"/>
                <w:szCs w:val="20"/>
              </w:rPr>
              <w:t xml:space="preserve"> </w:t>
            </w:r>
            <w:r w:rsidR="00D31DBA" w:rsidRPr="00E02438">
              <w:rPr>
                <w:rFonts w:ascii="Times New Roman" w:hAnsi="Times New Roman" w:cs="Times New Roman"/>
                <w:b/>
                <w:sz w:val="20"/>
                <w:szCs w:val="20"/>
              </w:rPr>
              <w:t>(</w:t>
            </w:r>
            <w:r w:rsidR="00F12C58" w:rsidRPr="00E02438">
              <w:rPr>
                <w:rFonts w:ascii="Times New Roman" w:eastAsia="Calibri" w:hAnsi="Times New Roman" w:cs="Times New Roman"/>
                <w:b/>
                <w:sz w:val="20"/>
                <w:szCs w:val="20"/>
              </w:rPr>
              <w:t>КП</w:t>
            </w:r>
            <w:proofErr w:type="gramStart"/>
            <w:r w:rsidR="00F12C58" w:rsidRPr="00E02438">
              <w:rPr>
                <w:rFonts w:ascii="Times New Roman" w:eastAsia="Calibri" w:hAnsi="Times New Roman" w:cs="Times New Roman"/>
                <w:b/>
                <w:sz w:val="20"/>
                <w:szCs w:val="20"/>
              </w:rPr>
              <w:t>1</w:t>
            </w:r>
            <w:proofErr w:type="gramEnd"/>
            <w:r w:rsidR="00E51CB9" w:rsidRPr="00E02438">
              <w:rPr>
                <w:rFonts w:ascii="Times New Roman" w:eastAsia="Calibri" w:hAnsi="Times New Roman" w:cs="Times New Roman"/>
                <w:b/>
                <w:sz w:val="20"/>
                <w:szCs w:val="20"/>
              </w:rPr>
              <w:t xml:space="preserve"> </w:t>
            </w:r>
            <w:r w:rsidR="004B4474" w:rsidRPr="00E02438">
              <w:rPr>
                <w:rFonts w:ascii="Times New Roman" w:eastAsia="Calibri" w:hAnsi="Times New Roman" w:cs="Times New Roman"/>
                <w:b/>
                <w:sz w:val="20"/>
                <w:szCs w:val="20"/>
              </w:rPr>
              <w:t>+</w:t>
            </w:r>
            <w:r w:rsidR="006F21B3" w:rsidRPr="00E02438">
              <w:rPr>
                <w:rFonts w:ascii="Times New Roman" w:eastAsia="Calibri" w:hAnsi="Times New Roman" w:cs="Times New Roman"/>
                <w:b/>
                <w:sz w:val="20"/>
                <w:szCs w:val="20"/>
              </w:rPr>
              <w:t xml:space="preserve"> </w:t>
            </w:r>
            <w:r w:rsidR="00F12C58" w:rsidRPr="00E02438">
              <w:rPr>
                <w:rFonts w:ascii="Times New Roman" w:eastAsia="Calibri" w:hAnsi="Times New Roman" w:cs="Times New Roman"/>
                <w:b/>
                <w:sz w:val="20"/>
                <w:szCs w:val="20"/>
              </w:rPr>
              <w:t>КП2</w:t>
            </w:r>
            <w:r w:rsidR="00E51CB9" w:rsidRPr="00E02438">
              <w:rPr>
                <w:rFonts w:ascii="Times New Roman" w:eastAsia="Calibri" w:hAnsi="Times New Roman" w:cs="Times New Roman"/>
                <w:b/>
                <w:sz w:val="20"/>
                <w:szCs w:val="20"/>
              </w:rPr>
              <w:t xml:space="preserve"> </w:t>
            </w:r>
            <w:r w:rsidR="006F3746" w:rsidRPr="00E02438">
              <w:rPr>
                <w:rFonts w:ascii="Times New Roman" w:hAnsi="Times New Roman" w:cs="Times New Roman"/>
                <w:b/>
                <w:sz w:val="20"/>
                <w:szCs w:val="20"/>
              </w:rPr>
              <w:t>+</w:t>
            </w:r>
            <w:r w:rsidR="00950D85" w:rsidRPr="00E02438">
              <w:rPr>
                <w:rFonts w:ascii="Times New Roman" w:eastAsia="Calibri" w:hAnsi="Times New Roman" w:cs="Times New Roman"/>
                <w:b/>
                <w:sz w:val="20"/>
                <w:szCs w:val="20"/>
              </w:rPr>
              <w:t xml:space="preserve"> </w:t>
            </w:r>
            <w:r w:rsidR="00BF6E89" w:rsidRPr="00E02438">
              <w:rPr>
                <w:rFonts w:ascii="Times New Roman" w:eastAsia="Calibri" w:hAnsi="Times New Roman" w:cs="Times New Roman"/>
                <w:b/>
                <w:sz w:val="20"/>
                <w:szCs w:val="20"/>
              </w:rPr>
              <w:t xml:space="preserve"> </w:t>
            </w:r>
            <w:r w:rsidR="00F12C58" w:rsidRPr="00E02438">
              <w:rPr>
                <w:rFonts w:ascii="Times New Roman" w:eastAsia="Calibri" w:hAnsi="Times New Roman" w:cs="Times New Roman"/>
                <w:b/>
                <w:sz w:val="20"/>
                <w:szCs w:val="20"/>
              </w:rPr>
              <w:t>КП3</w:t>
            </w:r>
            <w:r w:rsidR="00E51CB9" w:rsidRPr="00E02438">
              <w:rPr>
                <w:rFonts w:ascii="Times New Roman" w:eastAsia="Calibri" w:hAnsi="Times New Roman" w:cs="Times New Roman"/>
                <w:b/>
                <w:sz w:val="20"/>
                <w:szCs w:val="20"/>
              </w:rPr>
              <w:t xml:space="preserve">)  </w:t>
            </w:r>
            <w:r w:rsidR="004419E9" w:rsidRPr="00E02438">
              <w:rPr>
                <w:rFonts w:ascii="Times New Roman" w:hAnsi="Times New Roman" w:cs="Times New Roman"/>
                <w:b/>
                <w:sz w:val="20"/>
                <w:szCs w:val="20"/>
              </w:rPr>
              <w:t>=</w:t>
            </w:r>
            <w:r w:rsidR="0061008D" w:rsidRPr="00E02438">
              <w:rPr>
                <w:rFonts w:ascii="Times New Roman" w:hAnsi="Times New Roman" w:cs="Times New Roman"/>
                <w:b/>
                <w:sz w:val="20"/>
                <w:szCs w:val="20"/>
              </w:rPr>
              <w:t xml:space="preserve"> </w:t>
            </w:r>
            <w:r w:rsidR="009E79EA">
              <w:rPr>
                <w:rFonts w:ascii="Times New Roman" w:hAnsi="Times New Roman" w:cs="Times New Roman"/>
                <w:b/>
                <w:color w:val="000000"/>
                <w:sz w:val="20"/>
                <w:szCs w:val="20"/>
                <w:shd w:val="clear" w:color="auto" w:fill="FFFFFF"/>
              </w:rPr>
              <w:t>49090</w:t>
            </w:r>
            <w:r w:rsidR="00E02438">
              <w:rPr>
                <w:rFonts w:ascii="Times New Roman" w:hAnsi="Times New Roman" w:cs="Times New Roman"/>
                <w:color w:val="000000"/>
                <w:sz w:val="20"/>
                <w:szCs w:val="20"/>
                <w:shd w:val="clear" w:color="auto" w:fill="FFFFFF"/>
              </w:rPr>
              <w:t xml:space="preserve"> </w:t>
            </w:r>
            <w:r w:rsidR="00E51CB9" w:rsidRPr="00E02438">
              <w:rPr>
                <w:rFonts w:ascii="Times New Roman" w:hAnsi="Times New Roman" w:cs="Times New Roman"/>
                <w:b/>
                <w:color w:val="000000"/>
                <w:sz w:val="20"/>
                <w:szCs w:val="20"/>
              </w:rPr>
              <w:t xml:space="preserve">руб. </w:t>
            </w:r>
            <w:r w:rsidR="009E79EA">
              <w:rPr>
                <w:rFonts w:ascii="Times New Roman" w:hAnsi="Times New Roman" w:cs="Times New Roman"/>
                <w:b/>
                <w:color w:val="000000"/>
                <w:sz w:val="20"/>
                <w:szCs w:val="20"/>
              </w:rPr>
              <w:t>67</w:t>
            </w:r>
            <w:r w:rsidR="00E51CB9" w:rsidRPr="00E02438">
              <w:rPr>
                <w:rFonts w:ascii="Times New Roman" w:hAnsi="Times New Roman" w:cs="Times New Roman"/>
                <w:b/>
                <w:color w:val="000000"/>
                <w:sz w:val="20"/>
                <w:szCs w:val="20"/>
              </w:rPr>
              <w:t xml:space="preserve"> коп.</w:t>
            </w:r>
            <w:r w:rsidR="00785D73" w:rsidRPr="00E02438">
              <w:rPr>
                <w:rFonts w:ascii="Times New Roman" w:hAnsi="Times New Roman" w:cs="Times New Roman"/>
                <w:b/>
                <w:color w:val="000000"/>
                <w:sz w:val="20"/>
                <w:szCs w:val="20"/>
              </w:rPr>
              <w:t xml:space="preserve"> </w:t>
            </w:r>
          </w:p>
          <w:p w14:paraId="16CAF06C" w14:textId="7892988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9415CC">
              <w:rPr>
                <w:rFonts w:ascii="Times New Roman" w:hAnsi="Times New Roman" w:cs="Times New Roman"/>
                <w:sz w:val="20"/>
              </w:rPr>
              <w:t>,</w:t>
            </w:r>
            <w:r w:rsidRPr="009415CC">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7F63FF" w:rsidRDefault="00C874A3" w:rsidP="00C874A3">
            <w:pPr>
              <w:pStyle w:val="ConsPlusNormal"/>
              <w:spacing w:line="276" w:lineRule="auto"/>
              <w:ind w:firstLine="540"/>
              <w:jc w:val="both"/>
              <w:rPr>
                <w:rFonts w:ascii="Times New Roman" w:hAnsi="Times New Roman" w:cs="Times New Roman"/>
                <w:sz w:val="20"/>
              </w:rPr>
            </w:pPr>
            <w:r w:rsidRPr="007F63FF">
              <w:rPr>
                <w:rFonts w:ascii="Times New Roman" w:hAnsi="Times New Roman" w:cs="Times New Roman"/>
                <w:noProof/>
                <w:position w:val="-8"/>
                <w:sz w:val="20"/>
              </w:rPr>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7F63FF">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7F63FF" w:rsidRDefault="00C874A3" w:rsidP="00C874A3">
            <w:pPr>
              <w:pStyle w:val="ConsPlusNormal"/>
              <w:spacing w:line="276" w:lineRule="auto"/>
              <w:ind w:firstLine="540"/>
              <w:jc w:val="both"/>
              <w:rPr>
                <w:rFonts w:ascii="Times New Roman" w:hAnsi="Times New Roman" w:cs="Times New Roman"/>
                <w:sz w:val="20"/>
              </w:rPr>
            </w:pPr>
            <w:r w:rsidRPr="007F63FF">
              <w:rPr>
                <w:rFonts w:ascii="Times New Roman" w:hAnsi="Times New Roman" w:cs="Times New Roman"/>
                <w:sz w:val="20"/>
              </w:rPr>
              <w:t>&lt;ц&gt; - средняя арифметическая величина цены единицы товара, работы, услуги;</w:t>
            </w:r>
          </w:p>
          <w:p w14:paraId="6F28D6CA" w14:textId="3E80ED29" w:rsidR="00C874A3" w:rsidRPr="00684E52" w:rsidRDefault="00C874A3" w:rsidP="00C874A3">
            <w:pPr>
              <w:pStyle w:val="ConsPlusNormal"/>
              <w:spacing w:line="276" w:lineRule="auto"/>
              <w:ind w:firstLine="540"/>
              <w:jc w:val="both"/>
              <w:rPr>
                <w:rFonts w:ascii="Times New Roman" w:hAnsi="Times New Roman" w:cs="Times New Roman"/>
                <w:sz w:val="20"/>
              </w:rPr>
            </w:pPr>
            <w:r w:rsidRPr="00F51DA6">
              <w:rPr>
                <w:rFonts w:ascii="Times New Roman" w:hAnsi="Times New Roman" w:cs="Times New Roman"/>
                <w:sz w:val="20"/>
              </w:rPr>
              <w:t xml:space="preserve">Совокупность значений, используемых в расчете, при определении </w:t>
            </w:r>
            <w:proofErr w:type="spellStart"/>
            <w:r w:rsidR="00266AA4" w:rsidRPr="00F51DA6">
              <w:rPr>
                <w:rFonts w:ascii="Times New Roman" w:hAnsi="Times New Roman" w:cs="Times New Roman"/>
                <w:bCs/>
                <w:i/>
                <w:sz w:val="20"/>
              </w:rPr>
              <w:t>НМЦК</w:t>
            </w:r>
            <w:r w:rsidR="00266AA4" w:rsidRPr="00F51DA6">
              <w:rPr>
                <w:rFonts w:ascii="Times New Roman" w:hAnsi="Times New Roman" w:cs="Times New Roman"/>
                <w:bCs/>
                <w:i/>
                <w:sz w:val="20"/>
                <w:vertAlign w:val="superscript"/>
              </w:rPr>
              <w:t>рын</w:t>
            </w:r>
            <w:proofErr w:type="spellEnd"/>
            <w:r w:rsidR="00266AA4" w:rsidRPr="00F51DA6">
              <w:rPr>
                <w:rFonts w:ascii="Times New Roman" w:hAnsi="Times New Roman" w:cs="Times New Roman"/>
                <w:bCs/>
                <w:i/>
                <w:sz w:val="20"/>
                <w:vertAlign w:val="superscript"/>
              </w:rPr>
              <w:t xml:space="preserve">  </w:t>
            </w:r>
            <w:r w:rsidRPr="00F51DA6">
              <w:rPr>
                <w:rFonts w:ascii="Times New Roman" w:hAnsi="Times New Roman" w:cs="Times New Roman"/>
                <w:sz w:val="20"/>
              </w:rPr>
              <w:t xml:space="preserve">считается </w:t>
            </w:r>
            <w:r w:rsidRPr="00684E52">
              <w:rPr>
                <w:rFonts w:ascii="Times New Roman" w:hAnsi="Times New Roman" w:cs="Times New Roman"/>
                <w:sz w:val="20"/>
              </w:rPr>
              <w:t xml:space="preserve">неоднородной, если коэффициент вариации цены превышает 33%. </w:t>
            </w:r>
          </w:p>
          <w:p w14:paraId="44BE3C8C" w14:textId="724FE152" w:rsidR="00684E52" w:rsidRPr="009E79EA" w:rsidRDefault="00C874A3" w:rsidP="00684E52">
            <w:pPr>
              <w:autoSpaceDE w:val="0"/>
              <w:autoSpaceDN w:val="0"/>
              <w:spacing w:after="0"/>
              <w:ind w:firstLine="113"/>
              <w:rPr>
                <w:rFonts w:ascii="Times New Roman" w:hAnsi="Times New Roman" w:cs="Times New Roman"/>
                <w:color w:val="000000"/>
                <w:sz w:val="20"/>
                <w:szCs w:val="20"/>
              </w:rPr>
            </w:pPr>
            <w:r w:rsidRPr="00DB46E0">
              <w:rPr>
                <w:rFonts w:ascii="Times New Roman" w:hAnsi="Times New Roman" w:cs="Times New Roman"/>
                <w:sz w:val="20"/>
                <w:szCs w:val="20"/>
                <w:shd w:val="clear" w:color="auto" w:fill="FFFFFF"/>
              </w:rPr>
              <w:t xml:space="preserve">σ  </w:t>
            </w:r>
            <w:r w:rsidRPr="009E79EA">
              <w:rPr>
                <w:rFonts w:ascii="Times New Roman" w:hAnsi="Times New Roman" w:cs="Times New Roman"/>
                <w:sz w:val="20"/>
                <w:szCs w:val="20"/>
                <w:shd w:val="clear" w:color="auto" w:fill="FFFFFF"/>
              </w:rPr>
              <w:t xml:space="preserve">= </w:t>
            </w:r>
            <w:r w:rsidR="004F5979" w:rsidRPr="009E79EA">
              <w:rPr>
                <w:rFonts w:ascii="Times New Roman" w:hAnsi="Times New Roman" w:cs="Times New Roman"/>
                <w:sz w:val="20"/>
                <w:szCs w:val="20"/>
                <w:shd w:val="clear" w:color="auto" w:fill="FFFFFF"/>
              </w:rPr>
              <w:t xml:space="preserve"> </w:t>
            </w:r>
            <w:r w:rsidR="009E79EA" w:rsidRPr="009E79EA">
              <w:rPr>
                <w:rFonts w:ascii="Times New Roman" w:hAnsi="Times New Roman" w:cs="Times New Roman"/>
                <w:color w:val="000000"/>
                <w:sz w:val="20"/>
                <w:szCs w:val="20"/>
                <w:shd w:val="clear" w:color="auto" w:fill="FFFFFF"/>
              </w:rPr>
              <w:t>3 656,893</w:t>
            </w:r>
          </w:p>
          <w:p w14:paraId="0D5CEF65" w14:textId="19072EF5" w:rsidR="005D6015" w:rsidRPr="009E79EA" w:rsidRDefault="005D6015" w:rsidP="00827884">
            <w:pPr>
              <w:autoSpaceDE w:val="0"/>
              <w:autoSpaceDN w:val="0"/>
              <w:spacing w:after="0"/>
              <w:ind w:firstLine="113"/>
              <w:rPr>
                <w:rFonts w:ascii="Times New Roman" w:hAnsi="Times New Roman" w:cs="Times New Roman"/>
                <w:sz w:val="20"/>
                <w:szCs w:val="20"/>
              </w:rPr>
            </w:pPr>
            <w:r w:rsidRPr="009E79EA">
              <w:rPr>
                <w:rFonts w:ascii="Times New Roman" w:hAnsi="Times New Roman" w:cs="Times New Roman"/>
                <w:sz w:val="20"/>
                <w:szCs w:val="20"/>
                <w:lang w:val="en-US"/>
              </w:rPr>
              <w:t>V</w:t>
            </w:r>
            <w:r w:rsidRPr="009E79EA">
              <w:rPr>
                <w:rFonts w:ascii="Times New Roman" w:hAnsi="Times New Roman" w:cs="Times New Roman"/>
                <w:sz w:val="20"/>
                <w:szCs w:val="20"/>
              </w:rPr>
              <w:t>=</w:t>
            </w:r>
            <w:r w:rsidR="007F63FF" w:rsidRPr="009E79EA">
              <w:rPr>
                <w:rFonts w:ascii="Times New Roman" w:hAnsi="Times New Roman" w:cs="Times New Roman"/>
                <w:sz w:val="20"/>
                <w:szCs w:val="20"/>
              </w:rPr>
              <w:t xml:space="preserve"> </w:t>
            </w:r>
            <w:r w:rsidR="009E79EA" w:rsidRPr="009E79EA">
              <w:rPr>
                <w:rFonts w:ascii="Times New Roman" w:hAnsi="Times New Roman" w:cs="Times New Roman"/>
                <w:sz w:val="20"/>
                <w:szCs w:val="20"/>
              </w:rPr>
              <w:t>7,45</w:t>
            </w:r>
            <w:r w:rsidR="00BF6E89" w:rsidRPr="009E79EA">
              <w:rPr>
                <w:rFonts w:ascii="Times New Roman" w:hAnsi="Times New Roman" w:cs="Times New Roman"/>
                <w:sz w:val="20"/>
                <w:szCs w:val="20"/>
              </w:rPr>
              <w:t xml:space="preserve"> </w:t>
            </w:r>
            <w:r w:rsidRPr="009E79EA">
              <w:rPr>
                <w:rFonts w:ascii="Times New Roman" w:hAnsi="Times New Roman" w:cs="Times New Roman"/>
                <w:sz w:val="20"/>
                <w:szCs w:val="20"/>
              </w:rPr>
              <w:t xml:space="preserve">%, </w:t>
            </w:r>
          </w:p>
          <w:p w14:paraId="0C80C208" w14:textId="53ACA232" w:rsidR="00C874A3" w:rsidRDefault="005D6015" w:rsidP="005D6015">
            <w:pPr>
              <w:autoSpaceDE w:val="0"/>
              <w:autoSpaceDN w:val="0"/>
              <w:spacing w:after="0"/>
              <w:ind w:firstLine="113"/>
              <w:jc w:val="both"/>
              <w:rPr>
                <w:rFonts w:ascii="Times New Roman" w:hAnsi="Times New Roman" w:cs="Times New Roman"/>
                <w:sz w:val="20"/>
                <w:szCs w:val="20"/>
              </w:rPr>
            </w:pPr>
            <w:r w:rsidRPr="007F63FF">
              <w:rPr>
                <w:rFonts w:ascii="Times New Roman" w:hAnsi="Times New Roman" w:cs="Times New Roman"/>
                <w:sz w:val="20"/>
                <w:szCs w:val="20"/>
              </w:rPr>
              <w:t xml:space="preserve">Совокупность значений, используемых в расчете, при определении </w:t>
            </w:r>
            <w:proofErr w:type="spellStart"/>
            <w:r w:rsidR="00B941F4" w:rsidRPr="007F63FF">
              <w:rPr>
                <w:rFonts w:ascii="Times New Roman" w:hAnsi="Times New Roman" w:cs="Times New Roman"/>
                <w:bCs/>
                <w:i/>
                <w:sz w:val="20"/>
                <w:szCs w:val="20"/>
              </w:rPr>
              <w:t>НМЦК</w:t>
            </w:r>
            <w:r w:rsidR="00B941F4" w:rsidRPr="007F63FF">
              <w:rPr>
                <w:rFonts w:ascii="Times New Roman" w:hAnsi="Times New Roman" w:cs="Times New Roman"/>
                <w:bCs/>
                <w:i/>
                <w:sz w:val="20"/>
                <w:szCs w:val="20"/>
                <w:vertAlign w:val="superscript"/>
              </w:rPr>
              <w:t>рын</w:t>
            </w:r>
            <w:proofErr w:type="spellEnd"/>
            <w:r w:rsidR="00B941F4" w:rsidRPr="007F63FF">
              <w:rPr>
                <w:rFonts w:ascii="Times New Roman" w:hAnsi="Times New Roman" w:cs="Times New Roman"/>
                <w:sz w:val="20"/>
                <w:szCs w:val="20"/>
              </w:rPr>
              <w:t xml:space="preserve"> </w:t>
            </w:r>
            <w:r w:rsidRPr="007F63FF">
              <w:rPr>
                <w:rFonts w:ascii="Times New Roman" w:hAnsi="Times New Roman" w:cs="Times New Roman"/>
                <w:sz w:val="20"/>
                <w:szCs w:val="20"/>
              </w:rPr>
              <w:t>считается однородной</w:t>
            </w:r>
            <w:r w:rsidR="00AA2C3F" w:rsidRPr="007F63FF">
              <w:rPr>
                <w:rFonts w:ascii="Times New Roman" w:hAnsi="Times New Roman" w:cs="Times New Roman"/>
                <w:sz w:val="20"/>
                <w:szCs w:val="20"/>
              </w:rPr>
              <w:t>.</w:t>
            </w:r>
          </w:p>
          <w:p w14:paraId="7AE81D4B" w14:textId="77777777" w:rsidR="00FE7AE6" w:rsidRDefault="00FE7AE6" w:rsidP="00FE7AE6">
            <w:pPr>
              <w:autoSpaceDE w:val="0"/>
              <w:autoSpaceDN w:val="0"/>
              <w:spacing w:after="0"/>
              <w:ind w:firstLine="113"/>
              <w:jc w:val="both"/>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p>
          <w:p w14:paraId="1B9D9FE9" w14:textId="77777777" w:rsidR="00FE7AE6" w:rsidRDefault="00FE7AE6" w:rsidP="00FE7AE6">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090C6E76" w14:textId="77777777" w:rsidR="00FE7AE6" w:rsidRDefault="00FE7AE6" w:rsidP="00FE7AE6">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Таким образом, НМЦК:</w:t>
            </w:r>
          </w:p>
          <w:tbl>
            <w:tblPr>
              <w:tblW w:w="4688" w:type="pct"/>
              <w:tblCellSpacing w:w="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72"/>
              <w:gridCol w:w="3000"/>
              <w:gridCol w:w="749"/>
              <w:gridCol w:w="647"/>
              <w:gridCol w:w="1239"/>
              <w:gridCol w:w="23"/>
              <w:gridCol w:w="1233"/>
              <w:gridCol w:w="23"/>
            </w:tblGrid>
            <w:tr w:rsidR="00F12711" w:rsidRPr="008C134A" w14:paraId="0D716710" w14:textId="77777777" w:rsidTr="00B971BA">
              <w:trPr>
                <w:tblCellSpacing w:w="0" w:type="dxa"/>
              </w:trPr>
              <w:tc>
                <w:tcPr>
                  <w:tcW w:w="472" w:type="dxa"/>
                  <w:vAlign w:val="center"/>
                  <w:hideMark/>
                </w:tcPr>
                <w:p w14:paraId="5F01597E" w14:textId="77777777" w:rsidR="00F12711" w:rsidRPr="008C134A" w:rsidRDefault="00F12711" w:rsidP="00C14D25">
                  <w:pPr>
                    <w:jc w:val="center"/>
                    <w:rPr>
                      <w:rFonts w:ascii="Times New Roman" w:hAnsi="Times New Roman" w:cs="Times New Roman"/>
                      <w:bCs/>
                      <w:color w:val="000000"/>
                      <w:sz w:val="20"/>
                      <w:szCs w:val="20"/>
                    </w:rPr>
                  </w:pPr>
                  <w:r w:rsidRPr="008C134A">
                    <w:rPr>
                      <w:rFonts w:ascii="Times New Roman" w:hAnsi="Times New Roman" w:cs="Times New Roman"/>
                      <w:bCs/>
                      <w:color w:val="000000"/>
                      <w:sz w:val="20"/>
                      <w:szCs w:val="20"/>
                    </w:rPr>
                    <w:t xml:space="preserve">N </w:t>
                  </w:r>
                  <w:proofErr w:type="gramStart"/>
                  <w:r w:rsidRPr="008C134A">
                    <w:rPr>
                      <w:rFonts w:ascii="Times New Roman" w:hAnsi="Times New Roman" w:cs="Times New Roman"/>
                      <w:bCs/>
                      <w:color w:val="000000"/>
                      <w:sz w:val="20"/>
                      <w:szCs w:val="20"/>
                    </w:rPr>
                    <w:t>п</w:t>
                  </w:r>
                  <w:proofErr w:type="gramEnd"/>
                  <w:r w:rsidRPr="008C134A">
                    <w:rPr>
                      <w:rFonts w:ascii="Times New Roman" w:hAnsi="Times New Roman" w:cs="Times New Roman"/>
                      <w:bCs/>
                      <w:color w:val="000000"/>
                      <w:sz w:val="20"/>
                      <w:szCs w:val="20"/>
                    </w:rPr>
                    <w:t xml:space="preserve">/п </w:t>
                  </w:r>
                </w:p>
              </w:tc>
              <w:tc>
                <w:tcPr>
                  <w:tcW w:w="3000" w:type="dxa"/>
                  <w:vAlign w:val="center"/>
                  <w:hideMark/>
                </w:tcPr>
                <w:p w14:paraId="51D33015" w14:textId="77777777" w:rsidR="00F12711" w:rsidRPr="008C134A" w:rsidRDefault="00F12711" w:rsidP="004B6BD2">
                  <w:pPr>
                    <w:jc w:val="both"/>
                    <w:rPr>
                      <w:rFonts w:ascii="Times New Roman" w:hAnsi="Times New Roman" w:cs="Times New Roman"/>
                      <w:bCs/>
                      <w:sz w:val="20"/>
                      <w:szCs w:val="20"/>
                    </w:rPr>
                  </w:pPr>
                  <w:r w:rsidRPr="008C134A">
                    <w:rPr>
                      <w:rFonts w:ascii="Times New Roman" w:hAnsi="Times New Roman" w:cs="Times New Roman"/>
                      <w:bCs/>
                      <w:sz w:val="20"/>
                      <w:szCs w:val="20"/>
                    </w:rPr>
                    <w:t xml:space="preserve">Наименование и техническая характеристика Товара </w:t>
                  </w:r>
                </w:p>
              </w:tc>
              <w:tc>
                <w:tcPr>
                  <w:tcW w:w="749" w:type="dxa"/>
                  <w:vAlign w:val="center"/>
                  <w:hideMark/>
                </w:tcPr>
                <w:p w14:paraId="2DE87264" w14:textId="77777777" w:rsidR="00F12711" w:rsidRPr="008C134A" w:rsidRDefault="00F12711" w:rsidP="00C14D25">
                  <w:pPr>
                    <w:jc w:val="center"/>
                    <w:rPr>
                      <w:rFonts w:ascii="Times New Roman" w:hAnsi="Times New Roman" w:cs="Times New Roman"/>
                      <w:bCs/>
                      <w:color w:val="000000"/>
                      <w:sz w:val="20"/>
                      <w:szCs w:val="20"/>
                    </w:rPr>
                  </w:pPr>
                  <w:proofErr w:type="spellStart"/>
                  <w:r w:rsidRPr="008C134A">
                    <w:rPr>
                      <w:rFonts w:ascii="Times New Roman" w:hAnsi="Times New Roman" w:cs="Times New Roman"/>
                      <w:bCs/>
                      <w:color w:val="000000"/>
                      <w:sz w:val="20"/>
                      <w:szCs w:val="20"/>
                    </w:rPr>
                    <w:t>Ед</w:t>
                  </w:r>
                  <w:proofErr w:type="gramStart"/>
                  <w:r w:rsidRPr="008C134A">
                    <w:rPr>
                      <w:rFonts w:ascii="Times New Roman" w:hAnsi="Times New Roman" w:cs="Times New Roman"/>
                      <w:bCs/>
                      <w:color w:val="000000"/>
                      <w:sz w:val="20"/>
                      <w:szCs w:val="20"/>
                    </w:rPr>
                    <w:t>.и</w:t>
                  </w:r>
                  <w:proofErr w:type="gramEnd"/>
                  <w:r w:rsidRPr="008C134A">
                    <w:rPr>
                      <w:rFonts w:ascii="Times New Roman" w:hAnsi="Times New Roman" w:cs="Times New Roman"/>
                      <w:bCs/>
                      <w:color w:val="000000"/>
                      <w:sz w:val="20"/>
                      <w:szCs w:val="20"/>
                    </w:rPr>
                    <w:t>зм</w:t>
                  </w:r>
                  <w:proofErr w:type="spellEnd"/>
                  <w:r w:rsidRPr="008C134A">
                    <w:rPr>
                      <w:rFonts w:ascii="Times New Roman" w:hAnsi="Times New Roman" w:cs="Times New Roman"/>
                      <w:bCs/>
                      <w:color w:val="000000"/>
                      <w:sz w:val="20"/>
                      <w:szCs w:val="20"/>
                    </w:rPr>
                    <w:t xml:space="preserve">. </w:t>
                  </w:r>
                </w:p>
              </w:tc>
              <w:tc>
                <w:tcPr>
                  <w:tcW w:w="647" w:type="dxa"/>
                  <w:vAlign w:val="center"/>
                  <w:hideMark/>
                </w:tcPr>
                <w:p w14:paraId="49793B39" w14:textId="77777777" w:rsidR="00F12711" w:rsidRPr="008C134A" w:rsidRDefault="00F12711" w:rsidP="00C14D25">
                  <w:pPr>
                    <w:jc w:val="center"/>
                    <w:rPr>
                      <w:rFonts w:ascii="Times New Roman" w:hAnsi="Times New Roman" w:cs="Times New Roman"/>
                      <w:bCs/>
                      <w:color w:val="000000"/>
                      <w:sz w:val="20"/>
                      <w:szCs w:val="20"/>
                    </w:rPr>
                  </w:pPr>
                  <w:r w:rsidRPr="008C134A">
                    <w:rPr>
                      <w:rFonts w:ascii="Times New Roman" w:hAnsi="Times New Roman" w:cs="Times New Roman"/>
                      <w:bCs/>
                      <w:color w:val="000000"/>
                      <w:sz w:val="20"/>
                      <w:szCs w:val="20"/>
                    </w:rPr>
                    <w:t xml:space="preserve">Кол-во </w:t>
                  </w:r>
                </w:p>
              </w:tc>
              <w:tc>
                <w:tcPr>
                  <w:tcW w:w="1262" w:type="dxa"/>
                  <w:gridSpan w:val="2"/>
                  <w:vAlign w:val="center"/>
                  <w:hideMark/>
                </w:tcPr>
                <w:p w14:paraId="4AE1CBD4" w14:textId="77777777" w:rsidR="00F12711" w:rsidRPr="008C134A" w:rsidRDefault="00F12711" w:rsidP="00C14D25">
                  <w:pPr>
                    <w:jc w:val="center"/>
                    <w:rPr>
                      <w:rFonts w:ascii="Times New Roman" w:hAnsi="Times New Roman" w:cs="Times New Roman"/>
                      <w:bCs/>
                      <w:color w:val="000000"/>
                      <w:sz w:val="20"/>
                      <w:szCs w:val="20"/>
                    </w:rPr>
                  </w:pPr>
                  <w:r w:rsidRPr="008C134A">
                    <w:rPr>
                      <w:rFonts w:ascii="Times New Roman" w:hAnsi="Times New Roman" w:cs="Times New Roman"/>
                      <w:bCs/>
                      <w:color w:val="000000"/>
                      <w:sz w:val="20"/>
                      <w:szCs w:val="20"/>
                    </w:rPr>
                    <w:t xml:space="preserve">Цена единицы с НДС (руб.) </w:t>
                  </w:r>
                </w:p>
              </w:tc>
              <w:tc>
                <w:tcPr>
                  <w:tcW w:w="1256" w:type="dxa"/>
                  <w:gridSpan w:val="2"/>
                  <w:vAlign w:val="center"/>
                  <w:hideMark/>
                </w:tcPr>
                <w:p w14:paraId="535560DA" w14:textId="77777777" w:rsidR="00F12711" w:rsidRPr="008C134A" w:rsidRDefault="00F12711" w:rsidP="00C14D25">
                  <w:pPr>
                    <w:jc w:val="center"/>
                    <w:rPr>
                      <w:rFonts w:ascii="Times New Roman" w:hAnsi="Times New Roman" w:cs="Times New Roman"/>
                      <w:bCs/>
                      <w:color w:val="000000"/>
                      <w:sz w:val="20"/>
                      <w:szCs w:val="20"/>
                    </w:rPr>
                  </w:pPr>
                  <w:r w:rsidRPr="008C134A">
                    <w:rPr>
                      <w:rFonts w:ascii="Times New Roman" w:hAnsi="Times New Roman" w:cs="Times New Roman"/>
                      <w:bCs/>
                      <w:color w:val="000000"/>
                      <w:sz w:val="20"/>
                      <w:szCs w:val="20"/>
                    </w:rPr>
                    <w:t xml:space="preserve">Сумма с НДС (руб.) </w:t>
                  </w:r>
                </w:p>
              </w:tc>
            </w:tr>
            <w:tr w:rsidR="00F12711" w:rsidRPr="008C134A" w14:paraId="52927B11" w14:textId="77777777" w:rsidTr="00E02438">
              <w:trPr>
                <w:tblCellSpacing w:w="0" w:type="dxa"/>
              </w:trPr>
              <w:tc>
                <w:tcPr>
                  <w:tcW w:w="472" w:type="dxa"/>
                  <w:vAlign w:val="center"/>
                  <w:hideMark/>
                </w:tcPr>
                <w:p w14:paraId="528B7873" w14:textId="77777777" w:rsidR="00F12711" w:rsidRPr="008C134A" w:rsidRDefault="00F12711" w:rsidP="00C14D25">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 xml:space="preserve">1 </w:t>
                  </w:r>
                </w:p>
              </w:tc>
              <w:tc>
                <w:tcPr>
                  <w:tcW w:w="3000" w:type="dxa"/>
                  <w:vAlign w:val="center"/>
                </w:tcPr>
                <w:p w14:paraId="4B98B0FD" w14:textId="08DA5308" w:rsidR="00F12711" w:rsidRPr="008C134A" w:rsidRDefault="009E79EA" w:rsidP="006F07D4">
                  <w:pPr>
                    <w:pStyle w:val="1"/>
                    <w:shd w:val="clear" w:color="auto" w:fill="FFFFFF"/>
                    <w:spacing w:before="0" w:after="0"/>
                    <w:jc w:val="both"/>
                    <w:rPr>
                      <w:rFonts w:ascii="Times New Roman" w:hAnsi="Times New Roman" w:cs="Times New Roman"/>
                      <w:b w:val="0"/>
                      <w:color w:val="auto"/>
                      <w:sz w:val="20"/>
                      <w:szCs w:val="20"/>
                    </w:rPr>
                  </w:pPr>
                  <w:r w:rsidRPr="008C134A">
                    <w:rPr>
                      <w:rFonts w:ascii="Times New Roman" w:hAnsi="Times New Roman" w:cs="Times New Roman"/>
                      <w:b w:val="0"/>
                      <w:color w:val="000000"/>
                      <w:sz w:val="20"/>
                      <w:szCs w:val="20"/>
                    </w:rPr>
                    <w:t>Право использования программы для ЭВМ “</w:t>
                  </w:r>
                  <w:proofErr w:type="spellStart"/>
                  <w:r w:rsidRPr="008C134A">
                    <w:rPr>
                      <w:rFonts w:ascii="Times New Roman" w:hAnsi="Times New Roman" w:cs="Times New Roman"/>
                      <w:b w:val="0"/>
                      <w:color w:val="000000"/>
                      <w:sz w:val="20"/>
                      <w:szCs w:val="20"/>
                    </w:rPr>
                    <w:t>Контур</w:t>
                  </w:r>
                  <w:proofErr w:type="gramStart"/>
                  <w:r w:rsidRPr="008C134A">
                    <w:rPr>
                      <w:rFonts w:ascii="Times New Roman" w:hAnsi="Times New Roman" w:cs="Times New Roman"/>
                      <w:b w:val="0"/>
                      <w:color w:val="000000"/>
                      <w:sz w:val="20"/>
                      <w:szCs w:val="20"/>
                    </w:rPr>
                    <w:t>.Э</w:t>
                  </w:r>
                  <w:proofErr w:type="gramEnd"/>
                  <w:r w:rsidRPr="008C134A">
                    <w:rPr>
                      <w:rFonts w:ascii="Times New Roman" w:hAnsi="Times New Roman" w:cs="Times New Roman"/>
                      <w:b w:val="0"/>
                      <w:color w:val="000000"/>
                      <w:sz w:val="20"/>
                      <w:szCs w:val="20"/>
                    </w:rPr>
                    <w:t>кстерн</w:t>
                  </w:r>
                  <w:proofErr w:type="spellEnd"/>
                  <w:r w:rsidRPr="008C134A">
                    <w:rPr>
                      <w:rFonts w:ascii="Times New Roman" w:hAnsi="Times New Roman" w:cs="Times New Roman"/>
                      <w:b w:val="0"/>
                      <w:color w:val="000000"/>
                      <w:sz w:val="20"/>
                      <w:szCs w:val="20"/>
                    </w:rPr>
                    <w:t>” в режиме “Обслуживающая бухгалтерия” по тарифному плану “Бюджетная организация” на 2 года, 1+4 абонента, с применением встроенных в сертификат/ключевой контейнер СКЗИ “</w:t>
                  </w:r>
                  <w:proofErr w:type="spellStart"/>
                  <w:r w:rsidRPr="008C134A">
                    <w:rPr>
                      <w:rFonts w:ascii="Times New Roman" w:hAnsi="Times New Roman" w:cs="Times New Roman"/>
                      <w:b w:val="0"/>
                      <w:color w:val="000000"/>
                      <w:sz w:val="20"/>
                      <w:szCs w:val="20"/>
                    </w:rPr>
                    <w:t>КриптоПро</w:t>
                  </w:r>
                  <w:proofErr w:type="spellEnd"/>
                  <w:r w:rsidRPr="008C134A">
                    <w:rPr>
                      <w:rFonts w:ascii="Times New Roman" w:hAnsi="Times New Roman" w:cs="Times New Roman"/>
                      <w:b w:val="0"/>
                      <w:color w:val="000000"/>
                      <w:sz w:val="20"/>
                      <w:szCs w:val="20"/>
                    </w:rPr>
                    <w:t xml:space="preserve"> CSP” (порядковый номер реестровой записи в РРПО 523)</w:t>
                  </w:r>
                </w:p>
              </w:tc>
              <w:tc>
                <w:tcPr>
                  <w:tcW w:w="749" w:type="dxa"/>
                  <w:vAlign w:val="center"/>
                  <w:hideMark/>
                </w:tcPr>
                <w:p w14:paraId="3BCAB240" w14:textId="41D51A46" w:rsidR="00F12711" w:rsidRPr="008C134A" w:rsidRDefault="006F07D4" w:rsidP="00C14D25">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шт.</w:t>
                  </w:r>
                  <w:r w:rsidR="00F12711" w:rsidRPr="008C134A">
                    <w:rPr>
                      <w:rFonts w:ascii="Times New Roman" w:hAnsi="Times New Roman" w:cs="Times New Roman"/>
                      <w:color w:val="000000"/>
                      <w:sz w:val="20"/>
                      <w:szCs w:val="20"/>
                    </w:rPr>
                    <w:t xml:space="preserve"> </w:t>
                  </w:r>
                </w:p>
              </w:tc>
              <w:tc>
                <w:tcPr>
                  <w:tcW w:w="647" w:type="dxa"/>
                  <w:vAlign w:val="center"/>
                </w:tcPr>
                <w:p w14:paraId="6A252102" w14:textId="4CDF312B" w:rsidR="00F12711" w:rsidRPr="008C134A" w:rsidRDefault="009E79EA" w:rsidP="00DB46E0">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1</w:t>
                  </w:r>
                </w:p>
              </w:tc>
              <w:tc>
                <w:tcPr>
                  <w:tcW w:w="1262" w:type="dxa"/>
                  <w:gridSpan w:val="2"/>
                  <w:vAlign w:val="center"/>
                </w:tcPr>
                <w:p w14:paraId="2D7028D0" w14:textId="295E19C4" w:rsidR="00F12711" w:rsidRPr="008C134A" w:rsidRDefault="008C134A" w:rsidP="00C14D25">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34406,13</w:t>
                  </w:r>
                </w:p>
              </w:tc>
              <w:tc>
                <w:tcPr>
                  <w:tcW w:w="1256" w:type="dxa"/>
                  <w:gridSpan w:val="2"/>
                  <w:vAlign w:val="center"/>
                </w:tcPr>
                <w:p w14:paraId="42DA7A4C" w14:textId="06345016" w:rsidR="00F12711" w:rsidRPr="008C134A" w:rsidRDefault="008C134A" w:rsidP="00C14D25">
                  <w:pPr>
                    <w:jc w:val="right"/>
                    <w:rPr>
                      <w:rFonts w:ascii="Times New Roman" w:hAnsi="Times New Roman" w:cs="Times New Roman"/>
                      <w:color w:val="000000"/>
                      <w:sz w:val="20"/>
                      <w:szCs w:val="20"/>
                    </w:rPr>
                  </w:pPr>
                  <w:r w:rsidRPr="008C134A">
                    <w:rPr>
                      <w:rFonts w:ascii="Times New Roman" w:hAnsi="Times New Roman" w:cs="Times New Roman"/>
                      <w:color w:val="000000"/>
                      <w:sz w:val="20"/>
                      <w:szCs w:val="20"/>
                    </w:rPr>
                    <w:t>34406,13</w:t>
                  </w:r>
                </w:p>
              </w:tc>
            </w:tr>
            <w:tr w:rsidR="009E79EA" w:rsidRPr="008C134A" w14:paraId="440B8940" w14:textId="77777777" w:rsidTr="00E02438">
              <w:trPr>
                <w:tblCellSpacing w:w="0" w:type="dxa"/>
              </w:trPr>
              <w:tc>
                <w:tcPr>
                  <w:tcW w:w="472" w:type="dxa"/>
                  <w:vAlign w:val="center"/>
                </w:tcPr>
                <w:p w14:paraId="582AD17A" w14:textId="36AC28DC" w:rsidR="009E79EA" w:rsidRPr="008C134A" w:rsidRDefault="009E79EA" w:rsidP="00C14D25">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2</w:t>
                  </w:r>
                </w:p>
              </w:tc>
              <w:tc>
                <w:tcPr>
                  <w:tcW w:w="3000" w:type="dxa"/>
                  <w:vAlign w:val="center"/>
                </w:tcPr>
                <w:p w14:paraId="7DB32868" w14:textId="05A85D10" w:rsidR="009E79EA" w:rsidRPr="008C134A" w:rsidRDefault="009E79EA" w:rsidP="006F07D4">
                  <w:pPr>
                    <w:pStyle w:val="1"/>
                    <w:shd w:val="clear" w:color="auto" w:fill="FFFFFF"/>
                    <w:spacing w:before="0" w:after="0"/>
                    <w:jc w:val="both"/>
                    <w:rPr>
                      <w:rFonts w:ascii="Times New Roman" w:hAnsi="Times New Roman" w:cs="Times New Roman"/>
                      <w:b w:val="0"/>
                      <w:sz w:val="20"/>
                      <w:szCs w:val="20"/>
                    </w:rPr>
                  </w:pPr>
                  <w:r w:rsidRPr="008C134A">
                    <w:rPr>
                      <w:rFonts w:ascii="Times New Roman" w:hAnsi="Times New Roman" w:cs="Times New Roman"/>
                      <w:b w:val="0"/>
                      <w:color w:val="000000"/>
                      <w:sz w:val="20"/>
                      <w:szCs w:val="20"/>
                    </w:rPr>
                    <w:t>Услуги по сопровождению программы для ЭВМ “</w:t>
                  </w:r>
                  <w:proofErr w:type="spellStart"/>
                  <w:r w:rsidRPr="008C134A">
                    <w:rPr>
                      <w:rFonts w:ascii="Times New Roman" w:hAnsi="Times New Roman" w:cs="Times New Roman"/>
                      <w:b w:val="0"/>
                      <w:color w:val="000000"/>
                      <w:sz w:val="20"/>
                      <w:szCs w:val="20"/>
                    </w:rPr>
                    <w:t>Контур</w:t>
                  </w:r>
                  <w:proofErr w:type="gramStart"/>
                  <w:r w:rsidRPr="008C134A">
                    <w:rPr>
                      <w:rFonts w:ascii="Times New Roman" w:hAnsi="Times New Roman" w:cs="Times New Roman"/>
                      <w:b w:val="0"/>
                      <w:color w:val="000000"/>
                      <w:sz w:val="20"/>
                      <w:szCs w:val="20"/>
                    </w:rPr>
                    <w:t>.Э</w:t>
                  </w:r>
                  <w:proofErr w:type="gramEnd"/>
                  <w:r w:rsidRPr="008C134A">
                    <w:rPr>
                      <w:rFonts w:ascii="Times New Roman" w:hAnsi="Times New Roman" w:cs="Times New Roman"/>
                      <w:b w:val="0"/>
                      <w:color w:val="000000"/>
                      <w:sz w:val="20"/>
                      <w:szCs w:val="20"/>
                    </w:rPr>
                    <w:t>кстерн</w:t>
                  </w:r>
                  <w:proofErr w:type="spellEnd"/>
                  <w:r w:rsidRPr="008C134A">
                    <w:rPr>
                      <w:rFonts w:ascii="Times New Roman" w:hAnsi="Times New Roman" w:cs="Times New Roman"/>
                      <w:b w:val="0"/>
                      <w:color w:val="000000"/>
                      <w:sz w:val="20"/>
                      <w:szCs w:val="20"/>
                    </w:rPr>
                    <w:t>” (техническая поддержка в виде абонентского обслуживания) в режиме “Обслуживающая бухгалтерия” по тарифному плану “Бюджетная организация”, 1+4 абонента, на 2 года</w:t>
                  </w:r>
                </w:p>
              </w:tc>
              <w:tc>
                <w:tcPr>
                  <w:tcW w:w="749" w:type="dxa"/>
                  <w:vAlign w:val="center"/>
                </w:tcPr>
                <w:p w14:paraId="5D221DFB" w14:textId="3866AAD4" w:rsidR="009E79EA" w:rsidRPr="008C134A" w:rsidRDefault="008C134A" w:rsidP="00C14D25">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шт</w:t>
                  </w:r>
                  <w:r w:rsidR="009E79EA" w:rsidRPr="008C134A">
                    <w:rPr>
                      <w:rFonts w:ascii="Times New Roman" w:hAnsi="Times New Roman" w:cs="Times New Roman"/>
                      <w:color w:val="000000"/>
                      <w:sz w:val="20"/>
                      <w:szCs w:val="20"/>
                    </w:rPr>
                    <w:t>.</w:t>
                  </w:r>
                </w:p>
              </w:tc>
              <w:tc>
                <w:tcPr>
                  <w:tcW w:w="647" w:type="dxa"/>
                  <w:vAlign w:val="center"/>
                </w:tcPr>
                <w:p w14:paraId="00E51E4C" w14:textId="01931EA7" w:rsidR="009E79EA" w:rsidRPr="008C134A" w:rsidRDefault="008C134A" w:rsidP="00DB46E0">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1</w:t>
                  </w:r>
                </w:p>
              </w:tc>
              <w:tc>
                <w:tcPr>
                  <w:tcW w:w="1262" w:type="dxa"/>
                  <w:gridSpan w:val="2"/>
                  <w:vAlign w:val="center"/>
                </w:tcPr>
                <w:p w14:paraId="70C8039A" w14:textId="628D8FE7" w:rsidR="009E79EA" w:rsidRPr="008C134A" w:rsidRDefault="008C134A" w:rsidP="00C14D25">
                  <w:pPr>
                    <w:jc w:val="center"/>
                    <w:rPr>
                      <w:rFonts w:ascii="Times New Roman" w:hAnsi="Times New Roman" w:cs="Times New Roman"/>
                      <w:color w:val="000000"/>
                      <w:sz w:val="20"/>
                      <w:szCs w:val="20"/>
                    </w:rPr>
                  </w:pPr>
                  <w:r w:rsidRPr="008C134A">
                    <w:rPr>
                      <w:rFonts w:ascii="Times New Roman" w:hAnsi="Times New Roman" w:cs="Times New Roman"/>
                      <w:color w:val="000000"/>
                      <w:sz w:val="20"/>
                      <w:szCs w:val="20"/>
                    </w:rPr>
                    <w:t>10493,87</w:t>
                  </w:r>
                </w:p>
              </w:tc>
              <w:tc>
                <w:tcPr>
                  <w:tcW w:w="1256" w:type="dxa"/>
                  <w:gridSpan w:val="2"/>
                  <w:vAlign w:val="center"/>
                </w:tcPr>
                <w:p w14:paraId="443F1B6A" w14:textId="08B70B1F" w:rsidR="009E79EA" w:rsidRPr="008C134A" w:rsidRDefault="008C134A" w:rsidP="00C14D25">
                  <w:pPr>
                    <w:jc w:val="right"/>
                    <w:rPr>
                      <w:rFonts w:ascii="Times New Roman" w:hAnsi="Times New Roman" w:cs="Times New Roman"/>
                      <w:color w:val="000000"/>
                      <w:sz w:val="20"/>
                      <w:szCs w:val="20"/>
                    </w:rPr>
                  </w:pPr>
                  <w:r w:rsidRPr="008C134A">
                    <w:rPr>
                      <w:rFonts w:ascii="Times New Roman" w:hAnsi="Times New Roman" w:cs="Times New Roman"/>
                      <w:color w:val="000000"/>
                      <w:sz w:val="20"/>
                      <w:szCs w:val="20"/>
                    </w:rPr>
                    <w:t>10493,87</w:t>
                  </w:r>
                </w:p>
              </w:tc>
            </w:tr>
            <w:tr w:rsidR="00F12711" w:rsidRPr="008C134A" w14:paraId="13A3B87D" w14:textId="77777777" w:rsidTr="00B971BA">
              <w:trPr>
                <w:gridAfter w:val="1"/>
                <w:wAfter w:w="23" w:type="dxa"/>
                <w:tblCellSpacing w:w="0" w:type="dxa"/>
              </w:trPr>
              <w:tc>
                <w:tcPr>
                  <w:tcW w:w="6107" w:type="dxa"/>
                  <w:gridSpan w:val="5"/>
                  <w:vAlign w:val="center"/>
                  <w:hideMark/>
                </w:tcPr>
                <w:p w14:paraId="6E86DABD" w14:textId="77777777" w:rsidR="00F12711" w:rsidRPr="008C134A" w:rsidRDefault="00F12711" w:rsidP="00DB46E0">
                  <w:pPr>
                    <w:spacing w:after="0"/>
                    <w:jc w:val="both"/>
                    <w:rPr>
                      <w:rFonts w:ascii="Times New Roman" w:hAnsi="Times New Roman" w:cs="Times New Roman"/>
                      <w:sz w:val="20"/>
                      <w:szCs w:val="20"/>
                    </w:rPr>
                  </w:pPr>
                  <w:r w:rsidRPr="008C134A">
                    <w:rPr>
                      <w:rFonts w:ascii="Times New Roman" w:hAnsi="Times New Roman" w:cs="Times New Roman"/>
                      <w:sz w:val="20"/>
                      <w:szCs w:val="20"/>
                    </w:rPr>
                    <w:t xml:space="preserve">Итого: </w:t>
                  </w:r>
                </w:p>
              </w:tc>
              <w:tc>
                <w:tcPr>
                  <w:tcW w:w="1256" w:type="dxa"/>
                  <w:gridSpan w:val="2"/>
                  <w:vAlign w:val="center"/>
                  <w:hideMark/>
                </w:tcPr>
                <w:p w14:paraId="46826684" w14:textId="3456D415" w:rsidR="00F12711" w:rsidRPr="008C134A" w:rsidRDefault="008C134A" w:rsidP="00DB46E0">
                  <w:pPr>
                    <w:spacing w:after="0"/>
                    <w:jc w:val="right"/>
                    <w:rPr>
                      <w:rFonts w:ascii="Times New Roman" w:hAnsi="Times New Roman" w:cs="Times New Roman"/>
                      <w:color w:val="000000"/>
                      <w:sz w:val="20"/>
                      <w:szCs w:val="20"/>
                    </w:rPr>
                  </w:pPr>
                  <w:r w:rsidRPr="008C134A">
                    <w:rPr>
                      <w:rFonts w:ascii="Times New Roman" w:hAnsi="Times New Roman" w:cs="Times New Roman"/>
                      <w:color w:val="000000"/>
                      <w:sz w:val="20"/>
                      <w:szCs w:val="20"/>
                    </w:rPr>
                    <w:t>44900</w:t>
                  </w:r>
                  <w:r w:rsidR="00FE7AE6" w:rsidRPr="008C134A">
                    <w:rPr>
                      <w:rFonts w:ascii="Times New Roman" w:hAnsi="Times New Roman" w:cs="Times New Roman"/>
                      <w:color w:val="000000"/>
                      <w:sz w:val="20"/>
                      <w:szCs w:val="20"/>
                    </w:rPr>
                    <w:t>,00</w:t>
                  </w:r>
                </w:p>
              </w:tc>
            </w:tr>
          </w:tbl>
          <w:p w14:paraId="3F32AD23" w14:textId="751213BE" w:rsidR="00FB766D" w:rsidRPr="009415CC" w:rsidRDefault="00FB766D" w:rsidP="00F6199A">
            <w:pPr>
              <w:autoSpaceDE w:val="0"/>
              <w:autoSpaceDN w:val="0"/>
              <w:spacing w:after="0"/>
              <w:ind w:firstLine="113"/>
              <w:rPr>
                <w:rFonts w:ascii="Times New Roman" w:eastAsia="Times New Roman" w:hAnsi="Times New Roman" w:cs="Times New Roman"/>
                <w:sz w:val="20"/>
                <w:szCs w:val="20"/>
              </w:rPr>
            </w:pP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035AF7F1"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3E690E5"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1370"/>
    <w:rsid w:val="000451CA"/>
    <w:rsid w:val="000636E3"/>
    <w:rsid w:val="00081EF7"/>
    <w:rsid w:val="000923D2"/>
    <w:rsid w:val="000A58E4"/>
    <w:rsid w:val="000C1D8B"/>
    <w:rsid w:val="000E28EA"/>
    <w:rsid w:val="00102361"/>
    <w:rsid w:val="00105B1B"/>
    <w:rsid w:val="00113A07"/>
    <w:rsid w:val="00116E49"/>
    <w:rsid w:val="00117428"/>
    <w:rsid w:val="001234ED"/>
    <w:rsid w:val="00127C06"/>
    <w:rsid w:val="001376F3"/>
    <w:rsid w:val="00162B47"/>
    <w:rsid w:val="001808E6"/>
    <w:rsid w:val="00183C7A"/>
    <w:rsid w:val="00194EA8"/>
    <w:rsid w:val="00197510"/>
    <w:rsid w:val="001B16DA"/>
    <w:rsid w:val="001C4400"/>
    <w:rsid w:val="001E17D2"/>
    <w:rsid w:val="00261B36"/>
    <w:rsid w:val="00266AA4"/>
    <w:rsid w:val="002A0EF0"/>
    <w:rsid w:val="002A6573"/>
    <w:rsid w:val="002B3FDF"/>
    <w:rsid w:val="002B7AD5"/>
    <w:rsid w:val="002C02E3"/>
    <w:rsid w:val="002D6FEA"/>
    <w:rsid w:val="002E4BA7"/>
    <w:rsid w:val="0030293E"/>
    <w:rsid w:val="00307ADE"/>
    <w:rsid w:val="003158B8"/>
    <w:rsid w:val="00360016"/>
    <w:rsid w:val="00370D20"/>
    <w:rsid w:val="00375EC9"/>
    <w:rsid w:val="00387301"/>
    <w:rsid w:val="00396F15"/>
    <w:rsid w:val="00397A87"/>
    <w:rsid w:val="003A2659"/>
    <w:rsid w:val="003B7AB0"/>
    <w:rsid w:val="003C53D0"/>
    <w:rsid w:val="003E184D"/>
    <w:rsid w:val="00411D8D"/>
    <w:rsid w:val="00412127"/>
    <w:rsid w:val="004161C3"/>
    <w:rsid w:val="00416D8A"/>
    <w:rsid w:val="00417E15"/>
    <w:rsid w:val="0042671D"/>
    <w:rsid w:val="004341E8"/>
    <w:rsid w:val="004419E9"/>
    <w:rsid w:val="004557CF"/>
    <w:rsid w:val="0046078A"/>
    <w:rsid w:val="00466237"/>
    <w:rsid w:val="004A61D6"/>
    <w:rsid w:val="004A75E1"/>
    <w:rsid w:val="004B0161"/>
    <w:rsid w:val="004B26BB"/>
    <w:rsid w:val="004B4474"/>
    <w:rsid w:val="004B6BD2"/>
    <w:rsid w:val="004C31C2"/>
    <w:rsid w:val="004C5C45"/>
    <w:rsid w:val="004D2179"/>
    <w:rsid w:val="004E1C39"/>
    <w:rsid w:val="004F5979"/>
    <w:rsid w:val="00507431"/>
    <w:rsid w:val="00521BD6"/>
    <w:rsid w:val="00532F3C"/>
    <w:rsid w:val="00555901"/>
    <w:rsid w:val="00557F8B"/>
    <w:rsid w:val="0056099B"/>
    <w:rsid w:val="00576DAA"/>
    <w:rsid w:val="00587FEC"/>
    <w:rsid w:val="005963BC"/>
    <w:rsid w:val="005A15C0"/>
    <w:rsid w:val="005B2035"/>
    <w:rsid w:val="005B4FE1"/>
    <w:rsid w:val="005D6015"/>
    <w:rsid w:val="005E64E2"/>
    <w:rsid w:val="00604A75"/>
    <w:rsid w:val="0061008D"/>
    <w:rsid w:val="0061133F"/>
    <w:rsid w:val="006128E2"/>
    <w:rsid w:val="006331EA"/>
    <w:rsid w:val="00653A17"/>
    <w:rsid w:val="006819C9"/>
    <w:rsid w:val="00684E52"/>
    <w:rsid w:val="006A1BC8"/>
    <w:rsid w:val="006B0A3A"/>
    <w:rsid w:val="006E6BB9"/>
    <w:rsid w:val="006F07D4"/>
    <w:rsid w:val="006F0869"/>
    <w:rsid w:val="006F21B3"/>
    <w:rsid w:val="006F3746"/>
    <w:rsid w:val="006F48FC"/>
    <w:rsid w:val="00710D72"/>
    <w:rsid w:val="00710E28"/>
    <w:rsid w:val="00717FA4"/>
    <w:rsid w:val="00721B69"/>
    <w:rsid w:val="00730587"/>
    <w:rsid w:val="00742011"/>
    <w:rsid w:val="00756986"/>
    <w:rsid w:val="00766BDA"/>
    <w:rsid w:val="00785D73"/>
    <w:rsid w:val="00794B7E"/>
    <w:rsid w:val="007A53A1"/>
    <w:rsid w:val="007C08EA"/>
    <w:rsid w:val="007D3004"/>
    <w:rsid w:val="007D328C"/>
    <w:rsid w:val="007E4E8F"/>
    <w:rsid w:val="007F50A8"/>
    <w:rsid w:val="007F63FF"/>
    <w:rsid w:val="007F7D36"/>
    <w:rsid w:val="00827884"/>
    <w:rsid w:val="0083353E"/>
    <w:rsid w:val="008406CD"/>
    <w:rsid w:val="00850558"/>
    <w:rsid w:val="00852883"/>
    <w:rsid w:val="00862952"/>
    <w:rsid w:val="0086397C"/>
    <w:rsid w:val="008710D9"/>
    <w:rsid w:val="00881B7A"/>
    <w:rsid w:val="008A3E0A"/>
    <w:rsid w:val="008A50C3"/>
    <w:rsid w:val="008B24AA"/>
    <w:rsid w:val="008B3404"/>
    <w:rsid w:val="008C134A"/>
    <w:rsid w:val="008E7D7B"/>
    <w:rsid w:val="008F7C13"/>
    <w:rsid w:val="0091129B"/>
    <w:rsid w:val="00922624"/>
    <w:rsid w:val="009415CC"/>
    <w:rsid w:val="00950D85"/>
    <w:rsid w:val="00954E07"/>
    <w:rsid w:val="00963F86"/>
    <w:rsid w:val="009668E6"/>
    <w:rsid w:val="009719FB"/>
    <w:rsid w:val="00971D77"/>
    <w:rsid w:val="00977151"/>
    <w:rsid w:val="00980331"/>
    <w:rsid w:val="00983EFE"/>
    <w:rsid w:val="00990033"/>
    <w:rsid w:val="009A41B6"/>
    <w:rsid w:val="009B018F"/>
    <w:rsid w:val="009B03D4"/>
    <w:rsid w:val="009B0705"/>
    <w:rsid w:val="009C0704"/>
    <w:rsid w:val="009E79EA"/>
    <w:rsid w:val="00A05B36"/>
    <w:rsid w:val="00A11505"/>
    <w:rsid w:val="00A12B96"/>
    <w:rsid w:val="00A362FD"/>
    <w:rsid w:val="00A825B6"/>
    <w:rsid w:val="00AA2C3F"/>
    <w:rsid w:val="00AB0722"/>
    <w:rsid w:val="00AB6F60"/>
    <w:rsid w:val="00AC75FE"/>
    <w:rsid w:val="00AD3B3A"/>
    <w:rsid w:val="00B132DD"/>
    <w:rsid w:val="00B17BF7"/>
    <w:rsid w:val="00B342B8"/>
    <w:rsid w:val="00B71312"/>
    <w:rsid w:val="00B71DF6"/>
    <w:rsid w:val="00B805BF"/>
    <w:rsid w:val="00B82ABC"/>
    <w:rsid w:val="00B941F4"/>
    <w:rsid w:val="00B971BA"/>
    <w:rsid w:val="00BA4043"/>
    <w:rsid w:val="00BB591A"/>
    <w:rsid w:val="00BB6402"/>
    <w:rsid w:val="00BC7389"/>
    <w:rsid w:val="00BF1899"/>
    <w:rsid w:val="00BF389F"/>
    <w:rsid w:val="00BF5F15"/>
    <w:rsid w:val="00BF6E89"/>
    <w:rsid w:val="00C03ABD"/>
    <w:rsid w:val="00C06978"/>
    <w:rsid w:val="00C23FCE"/>
    <w:rsid w:val="00C26439"/>
    <w:rsid w:val="00C26972"/>
    <w:rsid w:val="00C27C9B"/>
    <w:rsid w:val="00C56617"/>
    <w:rsid w:val="00C65F1E"/>
    <w:rsid w:val="00C75FA5"/>
    <w:rsid w:val="00C874A3"/>
    <w:rsid w:val="00C951EE"/>
    <w:rsid w:val="00C95708"/>
    <w:rsid w:val="00CB48E8"/>
    <w:rsid w:val="00CD1B6F"/>
    <w:rsid w:val="00CE74A9"/>
    <w:rsid w:val="00D22BFA"/>
    <w:rsid w:val="00D24ABA"/>
    <w:rsid w:val="00D31DBA"/>
    <w:rsid w:val="00D44438"/>
    <w:rsid w:val="00D51FD6"/>
    <w:rsid w:val="00D74E5F"/>
    <w:rsid w:val="00D9498E"/>
    <w:rsid w:val="00D95BCC"/>
    <w:rsid w:val="00DB46E0"/>
    <w:rsid w:val="00DC03F4"/>
    <w:rsid w:val="00DC3CA9"/>
    <w:rsid w:val="00DD2152"/>
    <w:rsid w:val="00DD25F4"/>
    <w:rsid w:val="00E02438"/>
    <w:rsid w:val="00E20F57"/>
    <w:rsid w:val="00E2390F"/>
    <w:rsid w:val="00E27920"/>
    <w:rsid w:val="00E51CB9"/>
    <w:rsid w:val="00E542F4"/>
    <w:rsid w:val="00E663C1"/>
    <w:rsid w:val="00E76EC5"/>
    <w:rsid w:val="00EA5257"/>
    <w:rsid w:val="00EA6F99"/>
    <w:rsid w:val="00EE1145"/>
    <w:rsid w:val="00F12711"/>
    <w:rsid w:val="00F12C58"/>
    <w:rsid w:val="00F17B11"/>
    <w:rsid w:val="00F255FF"/>
    <w:rsid w:val="00F31336"/>
    <w:rsid w:val="00F3318E"/>
    <w:rsid w:val="00F51DA6"/>
    <w:rsid w:val="00F53913"/>
    <w:rsid w:val="00F6199A"/>
    <w:rsid w:val="00F71533"/>
    <w:rsid w:val="00F84852"/>
    <w:rsid w:val="00FA6765"/>
    <w:rsid w:val="00FB766D"/>
    <w:rsid w:val="00FE7AE6"/>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uiPriority w:val="9"/>
    <w:semiHidden/>
    <w:unhideWhenUsed/>
    <w:qFormat/>
    <w:rsid w:val="006F07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character" w:customStyle="1" w:styleId="20">
    <w:name w:val="Заголовок 2 Знак"/>
    <w:basedOn w:val="a0"/>
    <w:link w:val="2"/>
    <w:uiPriority w:val="9"/>
    <w:semiHidden/>
    <w:rsid w:val="006F07D4"/>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6F07D4"/>
    <w:rPr>
      <w:color w:val="0000FF"/>
      <w:u w:val="single"/>
    </w:rPr>
  </w:style>
  <w:style w:type="character" w:customStyle="1" w:styleId="organictitlecontentspan">
    <w:name w:val="organictitlecontentspan"/>
    <w:basedOn w:val="a0"/>
    <w:rsid w:val="006F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uiPriority w:val="9"/>
    <w:semiHidden/>
    <w:unhideWhenUsed/>
    <w:qFormat/>
    <w:rsid w:val="006F07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character" w:customStyle="1" w:styleId="20">
    <w:name w:val="Заголовок 2 Знак"/>
    <w:basedOn w:val="a0"/>
    <w:link w:val="2"/>
    <w:uiPriority w:val="9"/>
    <w:semiHidden/>
    <w:rsid w:val="006F07D4"/>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6F07D4"/>
    <w:rPr>
      <w:color w:val="0000FF"/>
      <w:u w:val="single"/>
    </w:rPr>
  </w:style>
  <w:style w:type="character" w:customStyle="1" w:styleId="organictitlecontentspan">
    <w:name w:val="organictitlecontentspan"/>
    <w:basedOn w:val="a0"/>
    <w:rsid w:val="006F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393">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284771018">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46099664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780994451">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056666086">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398164850">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9157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A430A-6C8C-459D-9EA7-D7E102E8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2</cp:revision>
  <cp:lastPrinted>2026-07-02T04:40:00Z</cp:lastPrinted>
  <dcterms:created xsi:type="dcterms:W3CDTF">2026-07-02T04:47:00Z</dcterms:created>
  <dcterms:modified xsi:type="dcterms:W3CDTF">2026-07-02T04:47:00Z</dcterms:modified>
</cp:coreProperties>
</file>