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DC31B" w14:textId="77777777" w:rsidR="0087461B" w:rsidRPr="00687E10" w:rsidRDefault="0087461B" w:rsidP="00687E10">
      <w:pPr>
        <w:widowControl w:val="0"/>
        <w:tabs>
          <w:tab w:val="left" w:pos="993"/>
          <w:tab w:val="left" w:pos="4253"/>
          <w:tab w:val="left" w:pos="7513"/>
          <w:tab w:val="left" w:pos="7655"/>
          <w:tab w:val="left" w:pos="7797"/>
        </w:tabs>
        <w:spacing w:after="0" w:line="0" w:lineRule="atLeast"/>
        <w:ind w:firstLine="567"/>
        <w:contextualSpacing/>
        <w:jc w:val="center"/>
        <w:rPr>
          <w:b/>
        </w:rPr>
      </w:pPr>
      <w:bookmarkStart w:id="0" w:name="_Hlk146535884"/>
      <w:r w:rsidRPr="00687E10">
        <w:rPr>
          <w:b/>
        </w:rPr>
        <w:t>Техническое задание</w:t>
      </w:r>
    </w:p>
    <w:p w14:paraId="4EEFFFF8" w14:textId="49C8CF2C" w:rsidR="0087461B" w:rsidRPr="00687E10" w:rsidRDefault="0087461B" w:rsidP="00687E10">
      <w:pPr>
        <w:widowControl w:val="0"/>
        <w:spacing w:after="0" w:line="0" w:lineRule="atLeast"/>
        <w:ind w:firstLine="567"/>
        <w:jc w:val="center"/>
        <w:rPr>
          <w:b/>
        </w:rPr>
      </w:pPr>
      <w:r w:rsidRPr="00687E10">
        <w:rPr>
          <w:b/>
        </w:rPr>
        <w:t xml:space="preserve">на передачу неисключительных прав на программное обеспечение </w:t>
      </w:r>
    </w:p>
    <w:p w14:paraId="03129EC1" w14:textId="640C824F" w:rsidR="0087461B" w:rsidRPr="00687E10" w:rsidRDefault="0087461B" w:rsidP="00687E10">
      <w:pPr>
        <w:widowControl w:val="0"/>
        <w:tabs>
          <w:tab w:val="left" w:pos="4253"/>
          <w:tab w:val="left" w:pos="7513"/>
          <w:tab w:val="left" w:pos="7655"/>
          <w:tab w:val="left" w:pos="7797"/>
        </w:tabs>
        <w:spacing w:after="0" w:line="0" w:lineRule="atLeast"/>
        <w:ind w:firstLine="567"/>
        <w:contextualSpacing/>
        <w:jc w:val="center"/>
        <w:rPr>
          <w:b/>
        </w:rPr>
      </w:pPr>
    </w:p>
    <w:p w14:paraId="3F4E1786" w14:textId="44EFB27B" w:rsidR="00FC05C5" w:rsidRPr="00A2102E" w:rsidRDefault="00D8463D" w:rsidP="00847ECE">
      <w:pPr>
        <w:widowControl w:val="0"/>
        <w:tabs>
          <w:tab w:val="left" w:pos="7655"/>
          <w:tab w:val="left" w:pos="7797"/>
        </w:tabs>
        <w:spacing w:after="0" w:line="0" w:lineRule="atLeast"/>
        <w:ind w:firstLine="709"/>
        <w:rPr>
          <w:b/>
        </w:rPr>
      </w:pPr>
      <w:r>
        <w:rPr>
          <w:b/>
        </w:rPr>
        <w:t>1</w:t>
      </w:r>
      <w:r w:rsidR="00491371" w:rsidRPr="00A2102E">
        <w:rPr>
          <w:b/>
        </w:rPr>
        <w:t xml:space="preserve">. </w:t>
      </w:r>
      <w:r w:rsidR="00FC05C5" w:rsidRPr="00A2102E">
        <w:rPr>
          <w:b/>
        </w:rPr>
        <w:t>Общие положения</w:t>
      </w:r>
    </w:p>
    <w:p w14:paraId="2121E80C" w14:textId="348E532D" w:rsidR="00FC05C5" w:rsidRPr="00687E10" w:rsidRDefault="00D8463D" w:rsidP="00847ECE">
      <w:pPr>
        <w:pStyle w:val="4"/>
        <w:spacing w:before="0" w:after="0" w:line="240" w:lineRule="auto"/>
        <w:ind w:firstLine="709"/>
      </w:pPr>
      <w:r>
        <w:t>1.</w:t>
      </w:r>
      <w:r w:rsidR="004A552B">
        <w:t>1.</w:t>
      </w:r>
      <w:r w:rsidR="00FC05C5" w:rsidRPr="00A70336">
        <w:t> </w:t>
      </w:r>
      <w:r w:rsidR="00FC05C5" w:rsidRPr="00687E10">
        <w:t xml:space="preserve">Срок </w:t>
      </w:r>
      <w:r w:rsidR="00946708" w:rsidRPr="00687E10">
        <w:t xml:space="preserve">передачи </w:t>
      </w:r>
      <w:r w:rsidR="0041629F" w:rsidRPr="00687E10">
        <w:t>неисключительных прав</w:t>
      </w:r>
      <w:r w:rsidR="0041629F">
        <w:t xml:space="preserve"> </w:t>
      </w:r>
      <w:r w:rsidR="0041629F" w:rsidRPr="00687E10">
        <w:t xml:space="preserve">на </w:t>
      </w:r>
      <w:r w:rsidR="0041629F">
        <w:t>использование программного обеспечения</w:t>
      </w:r>
      <w:r w:rsidR="004A552B">
        <w:t>:</w:t>
      </w:r>
      <w:r w:rsidR="0041629F" w:rsidRPr="00BD4301">
        <w:t xml:space="preserve"> </w:t>
      </w:r>
      <w:r w:rsidR="00FC05C5" w:rsidRPr="00687E10">
        <w:t xml:space="preserve">в течение </w:t>
      </w:r>
      <w:r w:rsidR="00D85A0D">
        <w:t>1</w:t>
      </w:r>
      <w:r w:rsidR="009137C0">
        <w:t>0</w:t>
      </w:r>
      <w:r w:rsidR="00946708" w:rsidRPr="00687E10">
        <w:t xml:space="preserve"> (</w:t>
      </w:r>
      <w:r w:rsidR="00D85A0D">
        <w:t>десяти</w:t>
      </w:r>
      <w:bookmarkStart w:id="1" w:name="_GoBack"/>
      <w:bookmarkEnd w:id="1"/>
      <w:r w:rsidR="00FC05C5" w:rsidRPr="00687E10">
        <w:t>) дней с даты заключения</w:t>
      </w:r>
      <w:r w:rsidR="005D6FDC">
        <w:t xml:space="preserve"> Контракта</w:t>
      </w:r>
      <w:r w:rsidR="00FC05C5" w:rsidRPr="00687E10">
        <w:t>.</w:t>
      </w:r>
    </w:p>
    <w:p w14:paraId="3D1AACEB" w14:textId="739D88EE" w:rsidR="00FC05C5" w:rsidRPr="00687E10" w:rsidRDefault="00D8463D" w:rsidP="00847ECE">
      <w:pPr>
        <w:widowControl w:val="0"/>
        <w:tabs>
          <w:tab w:val="left" w:pos="4253"/>
          <w:tab w:val="left" w:pos="7513"/>
          <w:tab w:val="left" w:pos="7655"/>
          <w:tab w:val="left" w:pos="7797"/>
        </w:tabs>
        <w:spacing w:after="0" w:line="0" w:lineRule="atLeast"/>
        <w:ind w:firstLine="709"/>
        <w:contextualSpacing/>
      </w:pPr>
      <w:r>
        <w:t>1.</w:t>
      </w:r>
      <w:r w:rsidR="000224E2" w:rsidRPr="00A70336">
        <w:t>3</w:t>
      </w:r>
      <w:r w:rsidR="00FC05C5" w:rsidRPr="00687E10">
        <w:t xml:space="preserve">. Срок гарантии </w:t>
      </w:r>
      <w:r w:rsidR="00B83D4C">
        <w:t>Исполнителя</w:t>
      </w:r>
      <w:r w:rsidR="00B83D4C" w:rsidRPr="00687E10">
        <w:t xml:space="preserve"> </w:t>
      </w:r>
      <w:r w:rsidR="00FC05C5" w:rsidRPr="00687E10">
        <w:t xml:space="preserve">на передаваемые </w:t>
      </w:r>
      <w:r w:rsidR="00946708" w:rsidRPr="00687E10">
        <w:t xml:space="preserve">неисключительные </w:t>
      </w:r>
      <w:r w:rsidR="00AE0431" w:rsidRPr="00687E10">
        <w:t>прав</w:t>
      </w:r>
      <w:r w:rsidR="00AE0431">
        <w:t xml:space="preserve">а </w:t>
      </w:r>
      <w:r w:rsidR="00AE0431" w:rsidRPr="00687E10">
        <w:t xml:space="preserve">на </w:t>
      </w:r>
      <w:r w:rsidR="00841305">
        <w:t xml:space="preserve">использование </w:t>
      </w:r>
      <w:r w:rsidR="00B83D4C">
        <w:t>программного обеспечения (далее также – ПО)</w:t>
      </w:r>
      <w:r w:rsidR="005D6FDC">
        <w:t xml:space="preserve"> </w:t>
      </w:r>
      <w:r w:rsidR="00AE0431" w:rsidRPr="00BD4301">
        <w:t>для осуществления контроля и фильтрации сетевых пакетов</w:t>
      </w:r>
      <w:r w:rsidR="00FC05C5" w:rsidRPr="00687E10">
        <w:t xml:space="preserve">: </w:t>
      </w:r>
      <w:r w:rsidR="006039CD">
        <w:rPr>
          <w:b/>
          <w:bCs/>
          <w:u w:val="single"/>
        </w:rPr>
        <w:t>бессрочный</w:t>
      </w:r>
      <w:r w:rsidR="00946708" w:rsidRPr="00687E10">
        <w:t>.</w:t>
      </w:r>
      <w:r w:rsidR="00FC05C5" w:rsidRPr="00687E10">
        <w:t xml:space="preserve"> </w:t>
      </w:r>
    </w:p>
    <w:p w14:paraId="49AEEA14" w14:textId="48893ED6" w:rsidR="00A70336" w:rsidRDefault="00D8463D" w:rsidP="00847ECE">
      <w:pPr>
        <w:widowControl w:val="0"/>
        <w:tabs>
          <w:tab w:val="left" w:pos="4253"/>
          <w:tab w:val="left" w:pos="7513"/>
          <w:tab w:val="left" w:pos="7655"/>
          <w:tab w:val="left" w:pos="7797"/>
        </w:tabs>
        <w:spacing w:after="0" w:line="0" w:lineRule="atLeast"/>
        <w:ind w:firstLine="709"/>
        <w:contextualSpacing/>
      </w:pPr>
      <w:r>
        <w:t>1.</w:t>
      </w:r>
      <w:r w:rsidR="000224E2" w:rsidRPr="00A70336">
        <w:t>4</w:t>
      </w:r>
      <w:r w:rsidR="00FC05C5" w:rsidRPr="00A70336">
        <w:t>.</w:t>
      </w:r>
      <w:r w:rsidR="00FC05C5" w:rsidRPr="00687E10">
        <w:t xml:space="preserve"> Территория использования ПО – Российская Федерация. </w:t>
      </w:r>
    </w:p>
    <w:p w14:paraId="543C75ED" w14:textId="2F728AEB" w:rsidR="005C67EF" w:rsidRDefault="005C67EF" w:rsidP="00847ECE">
      <w:pPr>
        <w:widowControl w:val="0"/>
        <w:tabs>
          <w:tab w:val="left" w:pos="4253"/>
          <w:tab w:val="left" w:pos="7513"/>
          <w:tab w:val="left" w:pos="7655"/>
          <w:tab w:val="left" w:pos="7797"/>
        </w:tabs>
        <w:spacing w:after="0" w:line="0" w:lineRule="atLeast"/>
        <w:ind w:firstLine="709"/>
        <w:contextualSpacing/>
      </w:pPr>
      <w:r>
        <w:t>1.5. Способ передачи прав – в виде сертификата с ключами активации на бумажном носителе с указанным сроком действия</w:t>
      </w:r>
      <w:r w:rsidR="00CF7811">
        <w:t>, а дистрибутив программного обеспечения на компакт-диске.</w:t>
      </w:r>
    </w:p>
    <w:p w14:paraId="58482220" w14:textId="06B5DDFD" w:rsidR="00991545" w:rsidRDefault="00991545" w:rsidP="000C3EA5">
      <w:pPr>
        <w:widowControl w:val="0"/>
        <w:tabs>
          <w:tab w:val="left" w:pos="4253"/>
          <w:tab w:val="left" w:pos="7513"/>
          <w:tab w:val="left" w:pos="7655"/>
          <w:tab w:val="left" w:pos="7797"/>
        </w:tabs>
        <w:spacing w:after="0" w:line="0" w:lineRule="atLeast"/>
        <w:ind w:firstLine="709"/>
        <w:contextualSpacing/>
      </w:pPr>
      <w:r>
        <w:t xml:space="preserve">1.6. </w:t>
      </w:r>
      <w:r w:rsidRPr="00DF55D9">
        <w:t xml:space="preserve">Адрес передачи сертификата с ключами активации на бумажном носителе и компакт-диска: </w:t>
      </w:r>
      <w:r w:rsidR="000C3EA5" w:rsidRPr="00DF55D9">
        <w:t>125</w:t>
      </w:r>
      <w:r w:rsidR="000C3EA5">
        <w:t>993, ГСП-3, Москва, Малый Гнездниковский пер., д. 7/6, стр. 1, 2</w:t>
      </w:r>
    </w:p>
    <w:p w14:paraId="4A567498" w14:textId="77777777" w:rsidR="00991545" w:rsidRPr="00A70336" w:rsidRDefault="00991545" w:rsidP="00847ECE">
      <w:pPr>
        <w:widowControl w:val="0"/>
        <w:tabs>
          <w:tab w:val="left" w:pos="4253"/>
          <w:tab w:val="left" w:pos="7513"/>
          <w:tab w:val="left" w:pos="7655"/>
          <w:tab w:val="left" w:pos="7797"/>
        </w:tabs>
        <w:spacing w:after="0" w:line="0" w:lineRule="atLeast"/>
        <w:ind w:firstLine="709"/>
        <w:contextualSpacing/>
      </w:pPr>
    </w:p>
    <w:p w14:paraId="66B2D502" w14:textId="3E9872FE" w:rsidR="00491371" w:rsidRPr="00A2102E" w:rsidRDefault="00D8463D" w:rsidP="00847ECE">
      <w:pPr>
        <w:widowControl w:val="0"/>
        <w:spacing w:after="0" w:line="0" w:lineRule="atLeast"/>
        <w:ind w:firstLine="709"/>
        <w:rPr>
          <w:b/>
        </w:rPr>
      </w:pPr>
      <w:r>
        <w:rPr>
          <w:b/>
        </w:rPr>
        <w:t>2</w:t>
      </w:r>
      <w:r w:rsidR="00491371" w:rsidRPr="00A2102E">
        <w:rPr>
          <w:b/>
        </w:rPr>
        <w:t xml:space="preserve">. </w:t>
      </w:r>
      <w:r w:rsidR="00B83D4C">
        <w:rPr>
          <w:b/>
        </w:rPr>
        <w:t>Порядок передачи ПО</w:t>
      </w:r>
      <w:r w:rsidR="005C67EF">
        <w:rPr>
          <w:b/>
        </w:rPr>
        <w:t>.</w:t>
      </w:r>
    </w:p>
    <w:p w14:paraId="63FFA38F" w14:textId="7817431E" w:rsidR="00FC6F76" w:rsidRPr="00A70336" w:rsidRDefault="00A65E2E" w:rsidP="00847ECE">
      <w:pPr>
        <w:widowControl w:val="0"/>
        <w:spacing w:after="0" w:line="0" w:lineRule="atLeast"/>
        <w:ind w:firstLine="709"/>
        <w:contextualSpacing/>
        <w:rPr>
          <w:rFonts w:eastAsia="Calibri"/>
          <w:color w:val="000000"/>
        </w:rPr>
      </w:pPr>
      <w:r w:rsidRPr="00A70336">
        <w:rPr>
          <w:rFonts w:eastAsia="Calibri"/>
          <w:color w:val="000000"/>
        </w:rPr>
        <w:t xml:space="preserve">Датой передачи Прав является дата </w:t>
      </w:r>
      <w:r w:rsidR="00B83D4C">
        <w:rPr>
          <w:rFonts w:eastAsia="Calibri"/>
          <w:color w:val="000000"/>
        </w:rPr>
        <w:t>подписания Заказчиком документа о приемке</w:t>
      </w:r>
      <w:r w:rsidRPr="00A70336">
        <w:rPr>
          <w:rFonts w:eastAsia="Calibri"/>
          <w:color w:val="000000"/>
        </w:rPr>
        <w:t xml:space="preserve">. Срок действия Прав – </w:t>
      </w:r>
      <w:r w:rsidR="006039CD">
        <w:rPr>
          <w:rFonts w:eastAsia="Calibri"/>
          <w:color w:val="000000"/>
        </w:rPr>
        <w:t>бессрочный</w:t>
      </w:r>
      <w:r w:rsidR="00986736" w:rsidRPr="00A70336">
        <w:rPr>
          <w:rFonts w:eastAsia="Calibri"/>
          <w:color w:val="000000"/>
        </w:rPr>
        <w:t>.</w:t>
      </w:r>
    </w:p>
    <w:p w14:paraId="66C65137" w14:textId="1C057564" w:rsidR="007612EF" w:rsidRPr="00D42A9F" w:rsidRDefault="007612EF" w:rsidP="00847ECE">
      <w:pPr>
        <w:widowControl w:val="0"/>
        <w:tabs>
          <w:tab w:val="left" w:pos="4253"/>
          <w:tab w:val="left" w:pos="7513"/>
          <w:tab w:val="left" w:pos="7655"/>
          <w:tab w:val="left" w:pos="7797"/>
        </w:tabs>
        <w:spacing w:after="0" w:line="0" w:lineRule="atLeast"/>
        <w:ind w:firstLine="709"/>
        <w:contextualSpacing/>
      </w:pPr>
      <w:r w:rsidRPr="00D42A9F">
        <w:t>2</w:t>
      </w:r>
      <w:r w:rsidR="00D8463D" w:rsidRPr="00D42A9F">
        <w:t>.2</w:t>
      </w:r>
      <w:r w:rsidRPr="00D42A9F">
        <w:t>. Предоставление комплекта документации</w:t>
      </w:r>
      <w:r w:rsidR="005C67EF">
        <w:t>:</w:t>
      </w:r>
    </w:p>
    <w:p w14:paraId="32CD23F5" w14:textId="63C8FB41" w:rsidR="00687E10" w:rsidRDefault="00D8463D" w:rsidP="00847ECE">
      <w:pPr>
        <w:widowControl w:val="0"/>
        <w:spacing w:after="0" w:line="0" w:lineRule="atLeast"/>
        <w:ind w:right="20" w:firstLine="709"/>
        <w:rPr>
          <w:rFonts w:eastAsia="Calibri"/>
          <w:color w:val="000000"/>
        </w:rPr>
      </w:pPr>
      <w:r>
        <w:t>2.</w:t>
      </w:r>
      <w:r w:rsidR="007612EF" w:rsidRPr="00687E10">
        <w:t xml:space="preserve">2.1. </w:t>
      </w:r>
      <w:r w:rsidR="00B83D4C">
        <w:rPr>
          <w:rFonts w:eastAsia="Calibri"/>
          <w:color w:val="000000"/>
        </w:rPr>
        <w:t>Исполнитель</w:t>
      </w:r>
      <w:r w:rsidR="00B83D4C" w:rsidRPr="00687E10">
        <w:rPr>
          <w:rFonts w:eastAsia="Calibri"/>
          <w:color w:val="000000"/>
        </w:rPr>
        <w:t xml:space="preserve"> </w:t>
      </w:r>
      <w:r w:rsidR="007612EF" w:rsidRPr="00687E10">
        <w:rPr>
          <w:rFonts w:eastAsia="Calibri"/>
          <w:color w:val="000000"/>
        </w:rPr>
        <w:t xml:space="preserve">предоставляет установочные файлы (дистрибутив) программных </w:t>
      </w:r>
      <w:r w:rsidR="005C67EF">
        <w:rPr>
          <w:rFonts w:eastAsia="Calibri"/>
          <w:color w:val="000000"/>
        </w:rPr>
        <w:t>продуктов на информационном носителе в виде компакт-диска</w:t>
      </w:r>
      <w:r w:rsidR="006039CD">
        <w:rPr>
          <w:rFonts w:eastAsia="Calibri"/>
          <w:color w:val="000000"/>
        </w:rPr>
        <w:t xml:space="preserve"> и формуляра.</w:t>
      </w:r>
    </w:p>
    <w:p w14:paraId="226E082A" w14:textId="4F401AA0" w:rsidR="007612EF" w:rsidRPr="00687E10" w:rsidRDefault="0089019E" w:rsidP="00C77A91">
      <w:pPr>
        <w:spacing w:after="0"/>
        <w:ind w:firstLine="567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2.2.2. </w:t>
      </w:r>
      <w:r w:rsidR="00B83D4C">
        <w:rPr>
          <w:rFonts w:eastAsia="Calibri"/>
          <w:color w:val="000000"/>
        </w:rPr>
        <w:t>Исполнитель</w:t>
      </w:r>
      <w:r w:rsidR="00B83D4C" w:rsidRPr="00687E10">
        <w:rPr>
          <w:rFonts w:eastAsia="Calibri"/>
          <w:color w:val="000000"/>
        </w:rPr>
        <w:t xml:space="preserve"> </w:t>
      </w:r>
      <w:r w:rsidR="005C67EF" w:rsidRPr="00687E10">
        <w:rPr>
          <w:rFonts w:eastAsia="Calibri"/>
          <w:color w:val="000000"/>
        </w:rPr>
        <w:t>предоставляет</w:t>
      </w:r>
      <w:r w:rsidR="005C67EF">
        <w:rPr>
          <w:rFonts w:eastAsia="Calibri"/>
          <w:color w:val="000000"/>
        </w:rPr>
        <w:t xml:space="preserve"> сертификат на бумажном носителе, где </w:t>
      </w:r>
      <w:r w:rsidR="004043EA">
        <w:rPr>
          <w:rFonts w:eastAsia="Calibri"/>
          <w:color w:val="000000"/>
        </w:rPr>
        <w:t xml:space="preserve">указана </w:t>
      </w:r>
      <w:r w:rsidR="005C67EF">
        <w:rPr>
          <w:rFonts w:eastAsia="Calibri"/>
          <w:color w:val="000000"/>
        </w:rPr>
        <w:t>следующая информация</w:t>
      </w:r>
      <w:r w:rsidR="007612EF" w:rsidRPr="00687E10">
        <w:rPr>
          <w:rFonts w:eastAsia="Calibri"/>
          <w:color w:val="000000"/>
        </w:rPr>
        <w:t>:</w:t>
      </w:r>
    </w:p>
    <w:p w14:paraId="43BB03BB" w14:textId="694A56D2" w:rsidR="005C67EF" w:rsidRDefault="0089019E" w:rsidP="00847ECE">
      <w:pPr>
        <w:spacing w:after="0"/>
        <w:ind w:firstLine="709"/>
      </w:pPr>
      <w:r>
        <w:rPr>
          <w:rFonts w:eastAsia="Calibri"/>
          <w:color w:val="000000"/>
        </w:rPr>
        <w:t xml:space="preserve">- </w:t>
      </w:r>
      <w:r w:rsidR="005C67EF" w:rsidRPr="00BD4301">
        <w:t>наименование</w:t>
      </w:r>
      <w:r w:rsidR="005D6FDC">
        <w:t xml:space="preserve"> </w:t>
      </w:r>
      <w:r w:rsidR="00B83D4C">
        <w:t>Заказчика (Лицензиата, если исполнитель является правообладателем ПО, или Сублицензиата, если Исполнитель не является правообладателем</w:t>
      </w:r>
      <w:r w:rsidR="004043EA">
        <w:t>)</w:t>
      </w:r>
      <w:r w:rsidR="005C67EF" w:rsidRPr="00BD4301">
        <w:t>, в пользу которого выдан ключ;</w:t>
      </w:r>
    </w:p>
    <w:p w14:paraId="6574911F" w14:textId="5051BFBE" w:rsidR="0089019E" w:rsidRPr="005C67EF" w:rsidRDefault="005C67EF" w:rsidP="00847ECE">
      <w:pPr>
        <w:spacing w:after="0"/>
        <w:ind w:firstLine="709"/>
      </w:pPr>
      <w:r>
        <w:t xml:space="preserve">- </w:t>
      </w:r>
      <w:r w:rsidRPr="00BD4301">
        <w:t>ключ активации (уникальный идентификационный номер)</w:t>
      </w:r>
      <w:r w:rsidR="007612EF" w:rsidRPr="005C67EF">
        <w:rPr>
          <w:rFonts w:eastAsia="Calibri"/>
          <w:color w:val="000000"/>
        </w:rPr>
        <w:t>;</w:t>
      </w:r>
    </w:p>
    <w:p w14:paraId="00CA380F" w14:textId="0CAFE0AE" w:rsidR="007612EF" w:rsidRDefault="0089019E" w:rsidP="00847ECE">
      <w:pPr>
        <w:widowControl w:val="0"/>
        <w:spacing w:after="0" w:line="0" w:lineRule="atLeast"/>
        <w:ind w:right="20"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="005C67EF" w:rsidRPr="00BD4301">
        <w:t>наименование</w:t>
      </w:r>
      <w:r w:rsidR="005D6FDC">
        <w:t xml:space="preserve"> ПО</w:t>
      </w:r>
      <w:r w:rsidR="005C67EF">
        <w:t>, для которого предоставляется право на использование</w:t>
      </w:r>
      <w:r w:rsidR="005C67EF" w:rsidRPr="00BD4301">
        <w:t xml:space="preserve"> по сертификату</w:t>
      </w:r>
      <w:r w:rsidR="007612EF" w:rsidRPr="00687E10">
        <w:rPr>
          <w:rFonts w:eastAsia="Calibri"/>
          <w:color w:val="000000"/>
        </w:rPr>
        <w:t>;</w:t>
      </w:r>
    </w:p>
    <w:p w14:paraId="1FC3C85C" w14:textId="0DD24146" w:rsidR="005C67EF" w:rsidRDefault="005C67EF" w:rsidP="00847ECE">
      <w:pPr>
        <w:spacing w:after="0"/>
        <w:ind w:firstLine="709"/>
      </w:pPr>
      <w:r>
        <w:rPr>
          <w:rFonts w:eastAsia="Calibri"/>
          <w:color w:val="000000"/>
        </w:rPr>
        <w:t>-</w:t>
      </w:r>
      <w:r w:rsidRPr="005C67EF">
        <w:t xml:space="preserve"> </w:t>
      </w:r>
      <w:r w:rsidRPr="00BD4301">
        <w:t>тип технической поддержки, общее кол-во экземпляров продукта для поддержки</w:t>
      </w:r>
      <w:r>
        <w:t>;</w:t>
      </w:r>
    </w:p>
    <w:p w14:paraId="21121DDF" w14:textId="12F880DC" w:rsidR="007612EF" w:rsidRPr="00687E10" w:rsidRDefault="0089019E" w:rsidP="00847ECE">
      <w:pPr>
        <w:widowControl w:val="0"/>
        <w:spacing w:after="0" w:line="0" w:lineRule="atLeast"/>
        <w:ind w:right="20"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="005C67EF" w:rsidRPr="00BD4301">
        <w:t>срок действия ключа</w:t>
      </w:r>
      <w:r w:rsidR="00CF7811">
        <w:t xml:space="preserve"> технической поддержки</w:t>
      </w:r>
      <w:r w:rsidR="000224E2">
        <w:rPr>
          <w:rFonts w:eastAsia="Calibri"/>
          <w:color w:val="000000"/>
        </w:rPr>
        <w:t>.</w:t>
      </w:r>
    </w:p>
    <w:p w14:paraId="51C480BB" w14:textId="77777777" w:rsidR="007612EF" w:rsidRPr="00687E10" w:rsidRDefault="007612EF" w:rsidP="00847ECE">
      <w:pPr>
        <w:widowControl w:val="0"/>
        <w:spacing w:after="0" w:line="0" w:lineRule="atLeast"/>
        <w:ind w:right="20" w:firstLine="709"/>
        <w:rPr>
          <w:rFonts w:eastAsia="Calibri"/>
          <w:color w:val="000000"/>
        </w:rPr>
      </w:pPr>
    </w:p>
    <w:p w14:paraId="4FF73FD3" w14:textId="454B3030" w:rsidR="007612EF" w:rsidRPr="00687E10" w:rsidRDefault="007612EF" w:rsidP="00847ECE">
      <w:pPr>
        <w:widowControl w:val="0"/>
        <w:spacing w:after="0" w:line="0" w:lineRule="atLeast"/>
        <w:ind w:right="20" w:firstLine="709"/>
        <w:rPr>
          <w:rFonts w:eastAsia="Calibri"/>
          <w:b/>
          <w:color w:val="000000"/>
        </w:rPr>
      </w:pPr>
      <w:r w:rsidRPr="00687E10">
        <w:rPr>
          <w:rFonts w:eastAsia="Calibri"/>
          <w:b/>
          <w:color w:val="000000"/>
        </w:rPr>
        <w:t>3. Условия предоставления лицензии</w:t>
      </w:r>
    </w:p>
    <w:p w14:paraId="272DF4F9" w14:textId="77777777" w:rsidR="004043EA" w:rsidRPr="004043EA" w:rsidRDefault="007612EF" w:rsidP="004043EA">
      <w:pPr>
        <w:widowControl w:val="0"/>
        <w:spacing w:after="0" w:line="0" w:lineRule="atLeast"/>
        <w:ind w:right="20" w:firstLine="709"/>
        <w:rPr>
          <w:rFonts w:eastAsia="Calibri"/>
          <w:color w:val="000000"/>
        </w:rPr>
      </w:pPr>
      <w:r w:rsidRPr="00687E10">
        <w:rPr>
          <w:rFonts w:eastAsia="Calibri"/>
          <w:color w:val="000000"/>
        </w:rPr>
        <w:t xml:space="preserve">3.1. </w:t>
      </w:r>
      <w:r w:rsidR="004043EA" w:rsidRPr="004043EA">
        <w:rPr>
          <w:rFonts w:eastAsia="Calibri"/>
          <w:color w:val="000000"/>
        </w:rPr>
        <w:t>В случае, если Исполнитель не является правообладателем ПО, Исполнитель (Лицензиат) предоставляет Заказчику (Сублицензиату): распечатанный текст лицензионного соглашения с правообладателем, определяющий условия использования Сублицензиатом ПО и подтверждающее права Сублицензиата на гарантийное сопровождение (с обязательным указанием наименования, версии, лицензионных номеров и пр. данных)</w:t>
      </w:r>
    </w:p>
    <w:p w14:paraId="172340E1" w14:textId="53C81536" w:rsidR="008E41C6" w:rsidRPr="00A70336" w:rsidRDefault="004043EA" w:rsidP="004043EA">
      <w:pPr>
        <w:widowControl w:val="0"/>
        <w:spacing w:after="0" w:line="0" w:lineRule="atLeast"/>
        <w:ind w:right="20" w:firstLine="709"/>
        <w:rPr>
          <w:rFonts w:eastAsia="Calibri"/>
          <w:color w:val="000000"/>
        </w:rPr>
      </w:pPr>
      <w:r w:rsidRPr="004043EA">
        <w:rPr>
          <w:rFonts w:eastAsia="Calibri"/>
          <w:color w:val="000000"/>
        </w:rPr>
        <w:t>Иные документы, подтверждающие, что Лицензиат действует в переделах прав и полномочий, предоставленных ему правообладателем ПО, и на момент передачи Прав Сублицензиату обладает ими в полном объеме (в том числе правом заключать сублицензионные договоры).</w:t>
      </w:r>
    </w:p>
    <w:p w14:paraId="416E5536" w14:textId="3B695E06" w:rsidR="00617FE9" w:rsidRPr="00A70336" w:rsidRDefault="00F1727E" w:rsidP="00847ECE">
      <w:pPr>
        <w:widowControl w:val="0"/>
        <w:spacing w:after="0" w:line="0" w:lineRule="atLeast"/>
        <w:ind w:right="20" w:firstLine="709"/>
        <w:rPr>
          <w:rFonts w:eastAsia="Calibri"/>
          <w:color w:val="000000"/>
        </w:rPr>
      </w:pPr>
      <w:r w:rsidRPr="00A70336">
        <w:rPr>
          <w:rFonts w:eastAsia="Calibri"/>
          <w:color w:val="000000"/>
        </w:rPr>
        <w:t xml:space="preserve">3.2. </w:t>
      </w:r>
      <w:r w:rsidR="004043EA">
        <w:rPr>
          <w:rFonts w:eastAsia="Calibri"/>
          <w:color w:val="000000"/>
        </w:rPr>
        <w:t>Заказчик</w:t>
      </w:r>
      <w:r w:rsidR="00617FE9" w:rsidRPr="00A70336">
        <w:rPr>
          <w:rFonts w:eastAsia="Calibri"/>
          <w:color w:val="000000"/>
        </w:rPr>
        <w:t xml:space="preserve"> получает лицензионный ключ для активации программного продукта, а также письма и сообщения по электронной почте, связанные с активацией лицензии.</w:t>
      </w:r>
    </w:p>
    <w:p w14:paraId="1EAAE7FD" w14:textId="1C1BD042" w:rsidR="0043110D" w:rsidRPr="00A70336" w:rsidRDefault="00F1727E" w:rsidP="00847ECE">
      <w:pPr>
        <w:widowControl w:val="0"/>
        <w:spacing w:after="0" w:line="0" w:lineRule="atLeast"/>
        <w:ind w:right="20" w:firstLine="709"/>
        <w:rPr>
          <w:rFonts w:eastAsia="Calibri"/>
          <w:color w:val="000000"/>
        </w:rPr>
      </w:pPr>
      <w:r w:rsidRPr="00A70336">
        <w:rPr>
          <w:rFonts w:eastAsia="Calibri"/>
          <w:color w:val="000000"/>
        </w:rPr>
        <w:t>3.3</w:t>
      </w:r>
      <w:r w:rsidR="00617FE9" w:rsidRPr="00A70336">
        <w:rPr>
          <w:rFonts w:eastAsia="Calibri"/>
          <w:color w:val="000000"/>
        </w:rPr>
        <w:t xml:space="preserve">. </w:t>
      </w:r>
      <w:r w:rsidR="0043110D" w:rsidRPr="00A70336">
        <w:rPr>
          <w:rFonts w:eastAsia="Calibri"/>
          <w:color w:val="000000"/>
        </w:rPr>
        <w:t>ПО должно быть адаптированное для использования в Российской Федерации.</w:t>
      </w:r>
    </w:p>
    <w:p w14:paraId="0C927B37" w14:textId="580414D6" w:rsidR="0043110D" w:rsidRDefault="00F1727E" w:rsidP="00847ECE">
      <w:pPr>
        <w:widowControl w:val="0"/>
        <w:spacing w:after="0" w:line="0" w:lineRule="atLeast"/>
        <w:ind w:right="20" w:firstLine="709"/>
        <w:rPr>
          <w:bCs/>
        </w:rPr>
      </w:pPr>
      <w:r w:rsidRPr="00A70336">
        <w:rPr>
          <w:rFonts w:eastAsia="Calibri"/>
          <w:color w:val="000000"/>
        </w:rPr>
        <w:t>3.5</w:t>
      </w:r>
      <w:r w:rsidR="0043110D" w:rsidRPr="00A70336">
        <w:rPr>
          <w:rFonts w:eastAsia="Calibri"/>
          <w:color w:val="000000"/>
        </w:rPr>
        <w:t xml:space="preserve">. </w:t>
      </w:r>
      <w:r w:rsidR="004043EA">
        <w:rPr>
          <w:rFonts w:eastAsia="Calibri"/>
          <w:color w:val="000000"/>
        </w:rPr>
        <w:t>Исполнитель</w:t>
      </w:r>
      <w:r w:rsidR="004043EA" w:rsidRPr="00A70336">
        <w:rPr>
          <w:rFonts w:eastAsia="Calibri"/>
          <w:color w:val="000000"/>
        </w:rPr>
        <w:t xml:space="preserve"> </w:t>
      </w:r>
      <w:r w:rsidR="0043110D" w:rsidRPr="00A70336">
        <w:rPr>
          <w:rFonts w:eastAsia="Calibri"/>
          <w:color w:val="000000"/>
        </w:rPr>
        <w:t xml:space="preserve">передает </w:t>
      </w:r>
      <w:r w:rsidR="004043EA">
        <w:rPr>
          <w:rFonts w:eastAsia="Calibri"/>
          <w:color w:val="000000"/>
        </w:rPr>
        <w:t>Заказчику</w:t>
      </w:r>
      <w:r w:rsidR="004043EA" w:rsidRPr="00A70336">
        <w:rPr>
          <w:rFonts w:eastAsia="Calibri"/>
          <w:color w:val="000000"/>
        </w:rPr>
        <w:t xml:space="preserve"> </w:t>
      </w:r>
      <w:r w:rsidR="0043110D" w:rsidRPr="00A70336">
        <w:rPr>
          <w:rFonts w:eastAsia="Calibri"/>
          <w:color w:val="000000"/>
        </w:rPr>
        <w:t xml:space="preserve">сводную информацию (оформленную в виде текстового документа на бланке </w:t>
      </w:r>
      <w:r w:rsidR="004043EA">
        <w:rPr>
          <w:rFonts w:eastAsia="Calibri"/>
          <w:color w:val="000000"/>
        </w:rPr>
        <w:t>Исполнителя</w:t>
      </w:r>
      <w:r w:rsidR="004043EA" w:rsidRPr="00A70336" w:rsidDel="004043EA">
        <w:rPr>
          <w:rFonts w:eastAsia="Calibri"/>
          <w:color w:val="000000"/>
        </w:rPr>
        <w:t xml:space="preserve"> </w:t>
      </w:r>
      <w:r w:rsidR="0043110D" w:rsidRPr="00A70336">
        <w:rPr>
          <w:rFonts w:eastAsia="Calibri"/>
          <w:color w:val="000000"/>
        </w:rPr>
        <w:t>по поставляемым</w:t>
      </w:r>
      <w:r w:rsidR="0043110D" w:rsidRPr="0043110D">
        <w:rPr>
          <w:bCs/>
        </w:rPr>
        <w:t xml:space="preserve"> лицензиям (с обязательным указанием наименования, версии, лицензионных номеров и пр. данных).</w:t>
      </w:r>
    </w:p>
    <w:p w14:paraId="39DF94A4" w14:textId="6173FB49" w:rsidR="0059396E" w:rsidRDefault="0059396E" w:rsidP="00847ECE">
      <w:pPr>
        <w:widowControl w:val="0"/>
        <w:spacing w:after="0" w:line="0" w:lineRule="atLeast"/>
        <w:ind w:right="20" w:firstLine="709"/>
        <w:rPr>
          <w:bCs/>
        </w:rPr>
      </w:pPr>
    </w:p>
    <w:p w14:paraId="56E99B29" w14:textId="4354DC3B" w:rsidR="00491371" w:rsidRDefault="0059396E" w:rsidP="0059396E">
      <w:pPr>
        <w:widowControl w:val="0"/>
        <w:spacing w:after="0" w:line="0" w:lineRule="atLeast"/>
        <w:ind w:right="20" w:firstLine="709"/>
        <w:rPr>
          <w:b/>
          <w:color w:val="000000"/>
        </w:rPr>
      </w:pPr>
      <w:r>
        <w:rPr>
          <w:b/>
          <w:color w:val="000000"/>
        </w:rPr>
        <w:t>4</w:t>
      </w:r>
      <w:r w:rsidR="00491371" w:rsidRPr="00A2102E">
        <w:rPr>
          <w:b/>
          <w:color w:val="000000"/>
        </w:rPr>
        <w:t xml:space="preserve">. Требования к </w:t>
      </w:r>
      <w:r w:rsidR="005C67EF">
        <w:rPr>
          <w:b/>
          <w:color w:val="000000"/>
        </w:rPr>
        <w:t>эквиваленту.</w:t>
      </w:r>
    </w:p>
    <w:p w14:paraId="15ED39B7" w14:textId="4CAC0E56" w:rsidR="005C67EF" w:rsidRPr="00BD4301" w:rsidRDefault="0059396E" w:rsidP="0059396E">
      <w:pPr>
        <w:ind w:firstLine="709"/>
        <w:rPr>
          <w:rFonts w:eastAsia="Calibri"/>
          <w:lang w:eastAsia="en-US"/>
        </w:rPr>
      </w:pPr>
      <w:r>
        <w:t>4</w:t>
      </w:r>
      <w:r w:rsidR="005C67EF">
        <w:t xml:space="preserve">.1. </w:t>
      </w:r>
      <w:r w:rsidR="00B83D4C">
        <w:t xml:space="preserve">Поставка эквивалента не допускается </w:t>
      </w:r>
      <w:r w:rsidRPr="0059396E">
        <w:rPr>
          <w:rFonts w:eastAsia="Calibri"/>
        </w:rPr>
        <w:t xml:space="preserve">в связи с необходимостью обеспечения совместимости ПО с оборудованием </w:t>
      </w:r>
      <w:r w:rsidR="004043EA">
        <w:rPr>
          <w:rFonts w:eastAsia="Calibri"/>
        </w:rPr>
        <w:t>Заказчика</w:t>
      </w:r>
      <w:r w:rsidRPr="0059396E">
        <w:rPr>
          <w:rFonts w:eastAsia="Calibri"/>
        </w:rPr>
        <w:t xml:space="preserve">, используемым в </w:t>
      </w:r>
      <w:r w:rsidR="00810953">
        <w:rPr>
          <w:rFonts w:eastAsia="Calibri"/>
        </w:rPr>
        <w:t>сети</w:t>
      </w:r>
      <w:r>
        <w:rPr>
          <w:rFonts w:eastAsia="Calibri"/>
        </w:rPr>
        <w:t xml:space="preserve"> № </w:t>
      </w:r>
      <w:r w:rsidR="00810953" w:rsidRPr="00810953">
        <w:rPr>
          <w:rFonts w:eastAsia="Calibri"/>
        </w:rPr>
        <w:t xml:space="preserve">VipNet </w:t>
      </w:r>
      <w:r>
        <w:rPr>
          <w:rFonts w:eastAsia="Calibri"/>
        </w:rPr>
        <w:t>6435</w:t>
      </w:r>
      <w:r w:rsidRPr="0059396E">
        <w:rPr>
          <w:rFonts w:eastAsia="Calibri"/>
        </w:rPr>
        <w:t>.</w:t>
      </w:r>
    </w:p>
    <w:p w14:paraId="0E26AE6E" w14:textId="35D9028B" w:rsidR="0059396E" w:rsidRPr="00C77A91" w:rsidRDefault="004043EA" w:rsidP="0059396E">
      <w:pPr>
        <w:ind w:firstLine="709"/>
        <w:rPr>
          <w:b/>
        </w:rPr>
      </w:pPr>
      <w:r w:rsidRPr="00C77A91">
        <w:rPr>
          <w:b/>
        </w:rPr>
        <w:t>5. Требования к Исполнителю</w:t>
      </w:r>
    </w:p>
    <w:p w14:paraId="48CBD987" w14:textId="59476D11" w:rsidR="005C67EF" w:rsidRDefault="004043EA" w:rsidP="0059396E">
      <w:pPr>
        <w:ind w:firstLine="709"/>
      </w:pPr>
      <w:r w:rsidRPr="004043EA">
        <w:lastRenderedPageBreak/>
        <w:t>В соответствии с Федеральным законом от 4 мая 2011 г. № 99-ФЗ «О лицензировании отдельных видов деятельности», постановлением Правительства Российской Федерации от 16 апреля 2012 г. № 313</w:t>
      </w:r>
      <w:r>
        <w:t xml:space="preserve">, Исполнитель </w:t>
      </w:r>
      <w:r w:rsidR="005C67EF" w:rsidRPr="00BD4301">
        <w:t>должен иметь действующую лицензию ФСБ России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на следующие виды работ (услуг):</w:t>
      </w:r>
    </w:p>
    <w:p w14:paraId="24300E74" w14:textId="120CE074" w:rsidR="00C77A91" w:rsidRPr="00BD4301" w:rsidRDefault="00C77A91" w:rsidP="0059396E">
      <w:pPr>
        <w:ind w:firstLine="709"/>
      </w:pPr>
      <w:r>
        <w:t>- Передача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безопасности Российской Федерации.</w:t>
      </w:r>
    </w:p>
    <w:bookmarkEnd w:id="0"/>
    <w:p w14:paraId="3558421E" w14:textId="28F70A45" w:rsidR="005C67EF" w:rsidRPr="00A2102E" w:rsidRDefault="005C67EF" w:rsidP="0059396E">
      <w:pPr>
        <w:ind w:firstLine="709"/>
        <w:outlineLvl w:val="0"/>
        <w:rPr>
          <w:b/>
          <w:color w:val="000000"/>
        </w:rPr>
      </w:pPr>
    </w:p>
    <w:sectPr w:rsidR="005C67EF" w:rsidRPr="00A2102E" w:rsidSect="006462E1">
      <w:footnotePr>
        <w:numRestart w:val="eachPage"/>
      </w:footnotePr>
      <w:pgSz w:w="11906" w:h="16838" w:code="9"/>
      <w:pgMar w:top="719" w:right="850" w:bottom="899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C3B7B8" w16cid:durableId="2D9D81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4D39E" w14:textId="77777777" w:rsidR="00153F3A" w:rsidRDefault="00153F3A">
      <w:pPr>
        <w:spacing w:after="0"/>
      </w:pPr>
      <w:r>
        <w:separator/>
      </w:r>
    </w:p>
  </w:endnote>
  <w:endnote w:type="continuationSeparator" w:id="0">
    <w:p w14:paraId="6043FAA1" w14:textId="77777777" w:rsidR="00153F3A" w:rsidRDefault="00153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BBA86" w14:textId="77777777" w:rsidR="00153F3A" w:rsidRDefault="00153F3A">
      <w:pPr>
        <w:spacing w:after="0"/>
      </w:pPr>
      <w:r>
        <w:separator/>
      </w:r>
    </w:p>
  </w:footnote>
  <w:footnote w:type="continuationSeparator" w:id="0">
    <w:p w14:paraId="71F9CBE2" w14:textId="77777777" w:rsidR="00153F3A" w:rsidRDefault="00153F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6C3"/>
    <w:multiLevelType w:val="hybridMultilevel"/>
    <w:tmpl w:val="6E52B5F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E5B75EF"/>
    <w:multiLevelType w:val="hybridMultilevel"/>
    <w:tmpl w:val="A65A3B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875CBD"/>
    <w:multiLevelType w:val="hybridMultilevel"/>
    <w:tmpl w:val="3336FBA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8BD164D"/>
    <w:multiLevelType w:val="hybridMultilevel"/>
    <w:tmpl w:val="0308A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66C10"/>
    <w:multiLevelType w:val="multilevel"/>
    <w:tmpl w:val="814240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4224" w:hanging="108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6156" w:hanging="144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8088" w:hanging="1800"/>
      </w:pPr>
    </w:lvl>
  </w:abstractNum>
  <w:abstractNum w:abstractNumId="5" w15:restartNumberingAfterBreak="0">
    <w:nsid w:val="39041B40"/>
    <w:multiLevelType w:val="hybridMultilevel"/>
    <w:tmpl w:val="8548A0A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C8D3743"/>
    <w:multiLevelType w:val="hybridMultilevel"/>
    <w:tmpl w:val="1152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85F5A"/>
    <w:multiLevelType w:val="hybridMultilevel"/>
    <w:tmpl w:val="1152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86493"/>
    <w:multiLevelType w:val="multilevel"/>
    <w:tmpl w:val="F65A99B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8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48C504AE"/>
    <w:multiLevelType w:val="hybridMultilevel"/>
    <w:tmpl w:val="8416B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116DF"/>
    <w:multiLevelType w:val="hybridMultilevel"/>
    <w:tmpl w:val="10780D7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05174A3"/>
    <w:multiLevelType w:val="hybridMultilevel"/>
    <w:tmpl w:val="D3C60D5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525A1C08"/>
    <w:multiLevelType w:val="hybridMultilevel"/>
    <w:tmpl w:val="3DF2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576F4"/>
    <w:multiLevelType w:val="hybridMultilevel"/>
    <w:tmpl w:val="9FE45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E29D5"/>
    <w:multiLevelType w:val="multilevel"/>
    <w:tmpl w:val="070248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364CA6"/>
    <w:multiLevelType w:val="hybridMultilevel"/>
    <w:tmpl w:val="080618C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4555608"/>
    <w:multiLevelType w:val="hybridMultilevel"/>
    <w:tmpl w:val="8016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14508"/>
    <w:multiLevelType w:val="hybridMultilevel"/>
    <w:tmpl w:val="DD408E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812D35"/>
    <w:multiLevelType w:val="hybridMultilevel"/>
    <w:tmpl w:val="4AD8CF54"/>
    <w:lvl w:ilvl="0" w:tplc="9200B2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F2282"/>
    <w:multiLevelType w:val="hybridMultilevel"/>
    <w:tmpl w:val="21F4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F6B61"/>
    <w:multiLevelType w:val="multilevel"/>
    <w:tmpl w:val="EF540E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13"/>
  </w:num>
  <w:num w:numId="5">
    <w:abstractNumId w:val="17"/>
  </w:num>
  <w:num w:numId="6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9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BA"/>
    <w:rsid w:val="000224E2"/>
    <w:rsid w:val="00087F8F"/>
    <w:rsid w:val="000A5ECF"/>
    <w:rsid w:val="000B4CE7"/>
    <w:rsid w:val="000C3EA5"/>
    <w:rsid w:val="000E3810"/>
    <w:rsid w:val="001056D6"/>
    <w:rsid w:val="001166B4"/>
    <w:rsid w:val="00135027"/>
    <w:rsid w:val="00153F3A"/>
    <w:rsid w:val="001859E6"/>
    <w:rsid w:val="001E6295"/>
    <w:rsid w:val="002413FD"/>
    <w:rsid w:val="00245C39"/>
    <w:rsid w:val="002A70CB"/>
    <w:rsid w:val="002C70A8"/>
    <w:rsid w:val="002E5642"/>
    <w:rsid w:val="002E6320"/>
    <w:rsid w:val="002F66DB"/>
    <w:rsid w:val="00311C58"/>
    <w:rsid w:val="003B085E"/>
    <w:rsid w:val="003B2BBF"/>
    <w:rsid w:val="003B64B6"/>
    <w:rsid w:val="004043EA"/>
    <w:rsid w:val="0041629F"/>
    <w:rsid w:val="0043110D"/>
    <w:rsid w:val="00436DE3"/>
    <w:rsid w:val="004566D1"/>
    <w:rsid w:val="004600BB"/>
    <w:rsid w:val="00491371"/>
    <w:rsid w:val="004A552B"/>
    <w:rsid w:val="004F3523"/>
    <w:rsid w:val="00504C95"/>
    <w:rsid w:val="0053790F"/>
    <w:rsid w:val="00542E39"/>
    <w:rsid w:val="00544557"/>
    <w:rsid w:val="00556649"/>
    <w:rsid w:val="00577FD5"/>
    <w:rsid w:val="0059396E"/>
    <w:rsid w:val="005C67EF"/>
    <w:rsid w:val="005D6FDC"/>
    <w:rsid w:val="005F65B3"/>
    <w:rsid w:val="006039CD"/>
    <w:rsid w:val="00617FE9"/>
    <w:rsid w:val="00672042"/>
    <w:rsid w:val="00687E10"/>
    <w:rsid w:val="006E43EA"/>
    <w:rsid w:val="006F4437"/>
    <w:rsid w:val="00723839"/>
    <w:rsid w:val="007427A9"/>
    <w:rsid w:val="007612EF"/>
    <w:rsid w:val="0079203D"/>
    <w:rsid w:val="007A1A4E"/>
    <w:rsid w:val="007C274A"/>
    <w:rsid w:val="00810953"/>
    <w:rsid w:val="0081751B"/>
    <w:rsid w:val="00841305"/>
    <w:rsid w:val="00847ECE"/>
    <w:rsid w:val="0085277A"/>
    <w:rsid w:val="0087461B"/>
    <w:rsid w:val="0089019E"/>
    <w:rsid w:val="00891DD2"/>
    <w:rsid w:val="008B5F57"/>
    <w:rsid w:val="008E3515"/>
    <w:rsid w:val="008E41C6"/>
    <w:rsid w:val="00910C7F"/>
    <w:rsid w:val="009137C0"/>
    <w:rsid w:val="00926CE4"/>
    <w:rsid w:val="0093228E"/>
    <w:rsid w:val="0093233C"/>
    <w:rsid w:val="00937EDC"/>
    <w:rsid w:val="00944748"/>
    <w:rsid w:val="00946708"/>
    <w:rsid w:val="00986736"/>
    <w:rsid w:val="00991545"/>
    <w:rsid w:val="009A4CCB"/>
    <w:rsid w:val="009A4F5B"/>
    <w:rsid w:val="009B6660"/>
    <w:rsid w:val="00A2102E"/>
    <w:rsid w:val="00A65E2E"/>
    <w:rsid w:val="00A70336"/>
    <w:rsid w:val="00A765CD"/>
    <w:rsid w:val="00A76D74"/>
    <w:rsid w:val="00AA0EC8"/>
    <w:rsid w:val="00AA3A23"/>
    <w:rsid w:val="00AA7C32"/>
    <w:rsid w:val="00AE0431"/>
    <w:rsid w:val="00AE28BE"/>
    <w:rsid w:val="00B06805"/>
    <w:rsid w:val="00B46DD7"/>
    <w:rsid w:val="00B57310"/>
    <w:rsid w:val="00B83135"/>
    <w:rsid w:val="00B83D4C"/>
    <w:rsid w:val="00B9302E"/>
    <w:rsid w:val="00BC4C24"/>
    <w:rsid w:val="00C479C2"/>
    <w:rsid w:val="00C47DBA"/>
    <w:rsid w:val="00C60FEB"/>
    <w:rsid w:val="00C765CA"/>
    <w:rsid w:val="00C7761E"/>
    <w:rsid w:val="00C77A91"/>
    <w:rsid w:val="00C93683"/>
    <w:rsid w:val="00CC404E"/>
    <w:rsid w:val="00CD7457"/>
    <w:rsid w:val="00CF7811"/>
    <w:rsid w:val="00D04FAB"/>
    <w:rsid w:val="00D42A9F"/>
    <w:rsid w:val="00D60B68"/>
    <w:rsid w:val="00D75BE0"/>
    <w:rsid w:val="00D77A42"/>
    <w:rsid w:val="00D8463D"/>
    <w:rsid w:val="00D85A0D"/>
    <w:rsid w:val="00DC0AC5"/>
    <w:rsid w:val="00DD6C04"/>
    <w:rsid w:val="00DF55D9"/>
    <w:rsid w:val="00E02F61"/>
    <w:rsid w:val="00E04627"/>
    <w:rsid w:val="00E22478"/>
    <w:rsid w:val="00E45DF6"/>
    <w:rsid w:val="00E4717D"/>
    <w:rsid w:val="00E502BE"/>
    <w:rsid w:val="00E636A3"/>
    <w:rsid w:val="00E92D7A"/>
    <w:rsid w:val="00E9337B"/>
    <w:rsid w:val="00EF2A98"/>
    <w:rsid w:val="00F1727E"/>
    <w:rsid w:val="00F30CBB"/>
    <w:rsid w:val="00F75570"/>
    <w:rsid w:val="00F9639D"/>
    <w:rsid w:val="00FC05C5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8BC3"/>
  <w15:chartTrackingRefBased/>
  <w15:docId w15:val="{C1DEDE95-5A99-494E-B1B5-F4F1D161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color w:val="000000"/>
        <w:kern w:val="24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EF"/>
    <w:pPr>
      <w:spacing w:after="60" w:line="240" w:lineRule="auto"/>
      <w:jc w:val="both"/>
    </w:pPr>
    <w:rPr>
      <w:rFonts w:eastAsia="Times New Roman"/>
      <w:b w:val="0"/>
      <w:color w:val="auto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6F76"/>
    <w:pPr>
      <w:tabs>
        <w:tab w:val="center" w:pos="4153"/>
        <w:tab w:val="right" w:pos="8306"/>
      </w:tabs>
    </w:pPr>
    <w:rPr>
      <w:noProof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C6F76"/>
    <w:rPr>
      <w:rFonts w:eastAsia="Times New Roman"/>
      <w:b w:val="0"/>
      <w:noProof/>
      <w:color w:val="auto"/>
      <w:kern w:val="0"/>
      <w:szCs w:val="24"/>
      <w:lang w:val="x-none" w:eastAsia="x-none"/>
    </w:rPr>
  </w:style>
  <w:style w:type="character" w:customStyle="1" w:styleId="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FC6F76"/>
    <w:rPr>
      <w:b w:val="0"/>
      <w:bCs/>
      <w:kern w:val="28"/>
      <w:sz w:val="36"/>
      <w:szCs w:val="36"/>
      <w:lang w:val="ru-RU" w:eastAsia="ru-RU"/>
    </w:rPr>
  </w:style>
  <w:style w:type="paragraph" w:styleId="a5">
    <w:name w:val="No Spacing"/>
    <w:uiPriority w:val="1"/>
    <w:qFormat/>
    <w:rsid w:val="00FC6F76"/>
    <w:pPr>
      <w:spacing w:after="0" w:line="240" w:lineRule="auto"/>
      <w:jc w:val="both"/>
    </w:pPr>
    <w:rPr>
      <w:rFonts w:eastAsia="Times New Roman"/>
      <w:b w:val="0"/>
      <w:color w:val="auto"/>
      <w:kern w:val="0"/>
      <w:szCs w:val="24"/>
      <w:lang w:eastAsia="ru-RU"/>
    </w:rPr>
  </w:style>
  <w:style w:type="paragraph" w:styleId="a6">
    <w:name w:val="List Paragraph"/>
    <w:aliases w:val="Bullet List,FooterText,numbered,ПС - Нумерованный,ТЗ список,Абзац списка литеральный"/>
    <w:basedOn w:val="a"/>
    <w:link w:val="a7"/>
    <w:uiPriority w:val="34"/>
    <w:qFormat/>
    <w:rsid w:val="002F66DB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ПС - Нумерованный Знак,ТЗ список Знак,Абзац списка литеральный Знак"/>
    <w:link w:val="a6"/>
    <w:uiPriority w:val="34"/>
    <w:locked/>
    <w:rsid w:val="0079203D"/>
    <w:rPr>
      <w:rFonts w:eastAsia="Times New Roman"/>
      <w:b w:val="0"/>
      <w:color w:val="auto"/>
      <w:kern w:val="0"/>
      <w:szCs w:val="24"/>
      <w:lang w:eastAsia="ru-RU"/>
    </w:rPr>
  </w:style>
  <w:style w:type="character" w:styleId="a8">
    <w:name w:val="Hyperlink"/>
    <w:uiPriority w:val="99"/>
    <w:rsid w:val="00FC05C5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502B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02B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02BE"/>
    <w:rPr>
      <w:rFonts w:eastAsia="Times New Roman"/>
      <w:b w:val="0"/>
      <w:color w:val="auto"/>
      <w:kern w:val="0"/>
      <w:sz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02B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02BE"/>
    <w:rPr>
      <w:rFonts w:eastAsia="Times New Roman"/>
      <w:b/>
      <w:bCs/>
      <w:color w:val="auto"/>
      <w:kern w:val="0"/>
      <w:sz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2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2BE"/>
    <w:rPr>
      <w:rFonts w:ascii="Segoe UI" w:eastAsia="Times New Roman" w:hAnsi="Segoe UI" w:cs="Segoe UI"/>
      <w:b w:val="0"/>
      <w:color w:val="auto"/>
      <w:kern w:val="0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891DD2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891DD2"/>
    <w:rPr>
      <w:rFonts w:eastAsia="Times New Roman"/>
      <w:b w:val="0"/>
      <w:color w:val="auto"/>
      <w:kern w:val="0"/>
      <w:szCs w:val="24"/>
      <w:lang w:eastAsia="ru-RU"/>
    </w:rPr>
  </w:style>
  <w:style w:type="paragraph" w:customStyle="1" w:styleId="4">
    <w:name w:val="4. Текст"/>
    <w:basedOn w:val="aa"/>
    <w:link w:val="40"/>
    <w:autoRedefine/>
    <w:uiPriority w:val="99"/>
    <w:rsid w:val="005C67EF"/>
    <w:pPr>
      <w:widowControl w:val="0"/>
      <w:spacing w:before="60" w:line="288" w:lineRule="auto"/>
      <w:ind w:firstLine="567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C67EF"/>
    <w:rPr>
      <w:rFonts w:eastAsia="Times New Roman"/>
      <w:b w:val="0"/>
      <w:bCs/>
      <w:spacing w:val="2"/>
      <w:kern w:val="0"/>
      <w:szCs w:val="24"/>
      <w:lang w:eastAsia="ru-RU"/>
    </w:rPr>
  </w:style>
  <w:style w:type="character" w:customStyle="1" w:styleId="apple-converted-space">
    <w:name w:val="apple-converted-space"/>
    <w:basedOn w:val="a0"/>
    <w:rsid w:val="00AE28BE"/>
  </w:style>
  <w:style w:type="paragraph" w:styleId="af2">
    <w:name w:val="Normal (Web)"/>
    <w:basedOn w:val="a"/>
    <w:uiPriority w:val="99"/>
    <w:semiHidden/>
    <w:unhideWhenUsed/>
    <w:rsid w:val="004043E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CEDA7-15AD-4CFB-A3FC-4F9012A7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a2da</dc:creator>
  <cp:keywords/>
  <dc:description/>
  <cp:lastModifiedBy>Ветров Михаил Игоревич</cp:lastModifiedBy>
  <cp:revision>5</cp:revision>
  <dcterms:created xsi:type="dcterms:W3CDTF">2026-04-30T12:36:00Z</dcterms:created>
  <dcterms:modified xsi:type="dcterms:W3CDTF">2026-05-26T08:27:00Z</dcterms:modified>
</cp:coreProperties>
</file>