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rPr>
          <w:rFonts w:ascii="Arial" w:hAnsi="Arial" w:cs="Arial"/>
        </w:rPr>
      </w:pPr>
      <w:r>
        <w:rPr>
          <w:rFonts w:ascii="Arial" w:hAnsi="Arial" w:cs="Arial"/>
        </w:rPr>
        <w:t xml:space="preserve">Договор № 17</w:t>
      </w:r>
      <w:r>
        <w:rPr>
          <w:rFonts w:ascii="Arial" w:hAnsi="Arial" w:cs="Arial"/>
        </w:rPr>
      </w:r>
    </w:p>
    <w:p>
      <w:pPr>
        <w:pStyle w:val="909"/>
        <w:rPr>
          <w:rFonts w:ascii="Arial" w:hAnsi="Arial" w:cs="Arial"/>
        </w:rPr>
      </w:pPr>
      <w:r>
        <w:rPr>
          <w:rFonts w:ascii="Arial" w:hAnsi="Arial" w:cs="Arial"/>
        </w:rPr>
        <w:t xml:space="preserve">на оказание услуг по пультовой охране с помощью средств охранной и пожарной сигнализаций с выводом на пульт централизованного наблюдения </w:t>
      </w:r>
      <w:r>
        <w:rPr>
          <w:rFonts w:ascii="Arial" w:hAnsi="Arial" w:cs="Arial"/>
        </w:rPr>
      </w:r>
    </w:p>
    <w:p>
      <w:pPr>
        <w:pStyle w:val="90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908"/>
        <w:jc w:val="center"/>
      </w:pPr>
      <w:r>
        <w:rPr>
          <w:bCs/>
        </w:rPr>
        <w:t xml:space="preserve">г. Воркута                                                                                    </w:t>
      </w:r>
      <w:r>
        <w:rPr>
          <w:bCs/>
        </w:rPr>
        <w:t xml:space="preserve">                      </w:t>
      </w:r>
      <w:r>
        <w:fldChar w:fldCharType="begin"/>
      </w:r>
      <w:r>
        <w:instrText xml:space="preserve"> MERGEFIELD "Дата_договора" </w:instrText>
      </w:r>
      <w:r>
        <w:fldChar w:fldCharType="separate"/>
      </w:r>
      <w:r>
        <w:t xml:space="preserve">«___» ______________ 2026 г.</w:t>
      </w:r>
      <w:r>
        <w:fldChar w:fldCharType="end"/>
      </w:r>
      <w:r/>
    </w:p>
    <w:p>
      <w:pPr>
        <w:pStyle w:val="908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Общество с ограниченной ответственностью «Частное охранное предприятие «Феникс» (ООО «ЧОП «Феникс»)</w:t>
      </w:r>
      <w:r>
        <w:rPr>
          <w:sz w:val="21"/>
          <w:szCs w:val="21"/>
        </w:rPr>
        <w:t xml:space="preserve">, именуемое в дальнейшем Исполнитель, в лице директора </w:t>
      </w:r>
      <w:r>
        <w:rPr>
          <w:sz w:val="21"/>
          <w:szCs w:val="21"/>
        </w:rPr>
        <w:t xml:space="preserve">Лободаева Валерия Николаевича</w:t>
      </w:r>
      <w:r>
        <w:rPr>
          <w:sz w:val="21"/>
          <w:szCs w:val="21"/>
        </w:rPr>
        <w:t xml:space="preserve">, действующе</w:t>
      </w:r>
      <w:r>
        <w:rPr>
          <w:sz w:val="21"/>
          <w:szCs w:val="21"/>
        </w:rPr>
        <w:t xml:space="preserve">го</w:t>
      </w:r>
      <w:r>
        <w:rPr>
          <w:sz w:val="21"/>
          <w:szCs w:val="21"/>
        </w:rPr>
        <w:t xml:space="preserve"> на основании Устава и Лицензии  Управления Федеральной службы войск национальной гвардии Российской Федерации по Республике Коми на оказание  охранных услуг № Л056-00106-11/00030831</w:t>
      </w:r>
      <w:r>
        <w:rPr>
          <w:color w:val="000000"/>
          <w:sz w:val="21"/>
          <w:szCs w:val="21"/>
        </w:rPr>
        <w:t xml:space="preserve"> от 25 октября 2017 года</w:t>
      </w:r>
      <w:r>
        <w:rPr>
          <w:sz w:val="22"/>
          <w:szCs w:val="22"/>
        </w:rPr>
        <w:t xml:space="preserve"> </w:t>
      </w:r>
      <w:r>
        <w:rPr>
          <w:sz w:val="21"/>
          <w:szCs w:val="21"/>
        </w:rPr>
        <w:t xml:space="preserve">и предоставленной на срок до 25 мая 2031 года</w:t>
      </w:r>
      <w:r>
        <w:rPr>
          <w:sz w:val="21"/>
          <w:szCs w:val="21"/>
        </w:rPr>
        <w:t xml:space="preserve">,  с одной стороны, и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Печорс</w:t>
      </w:r>
      <w:r>
        <w:rPr>
          <w:b/>
          <w:sz w:val="21"/>
          <w:szCs w:val="21"/>
        </w:rPr>
        <w:t xml:space="preserve">кое управление Федеральной службы по экологическому, технологическому и атомному надзору (Печорское управление Ростехнадзора)</w:t>
      </w:r>
      <w:r>
        <w:rPr>
          <w:sz w:val="21"/>
          <w:szCs w:val="21"/>
        </w:rPr>
        <w:t xml:space="preserve">, именуемое в дальнейшем Заказчик, в лице исполняющего обязанности руководителя Мартынова Вячеслава Александровича, действующего  н</w:t>
      </w:r>
      <w:r>
        <w:rPr>
          <w:sz w:val="21"/>
          <w:szCs w:val="21"/>
        </w:rPr>
        <w:t xml:space="preserve">а основании Положения  с  другой стороны, с соблюдением требований Гражданского кодекса Российской Федерации, пункта 4 части 1 статьи 93 Федерального закона от 5 апреля 2013 г. № 44-ФЗ «О контрактной системе в сфере закупок товаров, работ, услуг для обеспе</w:t>
      </w:r>
      <w:r>
        <w:rPr>
          <w:sz w:val="21"/>
          <w:szCs w:val="21"/>
        </w:rPr>
        <w:t xml:space="preserve">чения государственных и муниципальных нужд» (далее – Федеральный закон № 44-ФЗ)  заключили настоящий  договор о нижеследующем:</w:t>
      </w:r>
      <w:r>
        <w:rPr>
          <w:sz w:val="21"/>
          <w:szCs w:val="21"/>
        </w:rPr>
      </w:r>
    </w:p>
    <w:p>
      <w:pPr>
        <w:ind w:firstLine="709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</w:r>
      <w:r>
        <w:rPr>
          <w:bCs/>
          <w:sz w:val="21"/>
          <w:szCs w:val="21"/>
        </w:rPr>
      </w:r>
    </w:p>
    <w:p>
      <w:pPr>
        <w:ind w:firstLine="709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1. ОБЩЕЕ ПОЛОЖЕНИЕ</w:t>
      </w:r>
      <w:r>
        <w:rPr>
          <w:bCs/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1.1.  Исполнитель по заданию Заказчика обязуется в установленный Договором срок оказать услуги частных охранн</w:t>
      </w:r>
      <w:r>
        <w:rPr>
          <w:sz w:val="21"/>
          <w:szCs w:val="21"/>
        </w:rPr>
        <w:t xml:space="preserve">ых служб (далее – услуги), а именно: Заказчик передает, а Исполнитель принимает под охрану объекты (материальные ценности), перечисленные в прилагаемом Перечне (Приложение № 1) охраняемых объектов, а Заказчик обязуется принять оказанные услуги и оплатить и</w:t>
      </w:r>
      <w:r>
        <w:rPr>
          <w:sz w:val="21"/>
          <w:szCs w:val="21"/>
        </w:rPr>
        <w:t xml:space="preserve">х.</w:t>
      </w:r>
      <w:r>
        <w:rPr>
          <w:sz w:val="21"/>
          <w:szCs w:val="21"/>
        </w:rPr>
      </w:r>
    </w:p>
    <w:p>
      <w:pPr>
        <w:ind w:firstLine="709"/>
        <w:jc w:val="both"/>
        <w:rPr>
          <w:bCs/>
          <w:iCs/>
          <w:sz w:val="21"/>
          <w:szCs w:val="21"/>
        </w:rPr>
      </w:pPr>
      <w:r>
        <w:rPr>
          <w:sz w:val="21"/>
          <w:szCs w:val="21"/>
        </w:rPr>
        <w:t xml:space="preserve">Вид охраны – </w:t>
      </w:r>
      <w:r>
        <w:rPr>
          <w:bCs/>
          <w:sz w:val="21"/>
          <w:szCs w:val="21"/>
        </w:rPr>
        <w:t xml:space="preserve">Пультовая.</w:t>
      </w:r>
      <w:r>
        <w:rPr>
          <w:bCs/>
          <w:iCs/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1.2. Объекты, передаваемые под охрану, должны отвечать следующим требованиям: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1.2.1. Вход в здание, где находятся охраняемые помещения, с наступлением темноты должен освещаться так, чтобы он был доступен наблюдению нарядов Исполн</w:t>
      </w:r>
      <w:r>
        <w:rPr>
          <w:sz w:val="21"/>
          <w:szCs w:val="21"/>
        </w:rPr>
        <w:t xml:space="preserve">ителя. Освещение охраняемого объекта не производится при введении особого положения.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1.2.2. Складирование каких-либо материалов внутри охраняемого объекта может производиться не ближе 1,5 метров от окон, витрин, некапитальных стен, ограждения.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1.2.3. Оружи</w:t>
      </w:r>
      <w:r>
        <w:rPr>
          <w:sz w:val="21"/>
          <w:szCs w:val="21"/>
        </w:rPr>
        <w:t xml:space="preserve">е, боеприпасы, денежные средства, наркотические препараты и ювелирные изделия хранятся в сейфах или металлических ящиках, надежно закрепленных к полу и оборудованных средствами охранно-пожарной сигнализации (далее – ОПС), в обособленных помещениях.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1.2.4. </w:t>
      </w:r>
      <w:r>
        <w:rPr>
          <w:sz w:val="21"/>
          <w:szCs w:val="21"/>
        </w:rPr>
        <w:t xml:space="preserve">Стены, крыши, потолки, чердачные и слуховые окна, люки и двери помещений, в которых хранятся товарно-материальные ценности, должны находиться в исправном состоянии и отвечать предъявляемым требованиям данной категории объектов.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1.2.5. Объекты должны быть о</w:t>
      </w:r>
      <w:r>
        <w:rPr>
          <w:sz w:val="21"/>
          <w:szCs w:val="21"/>
        </w:rPr>
        <w:t xml:space="preserve">борудованы техническими средствами охраны, согласно трехсторонним актам обследования объектов. На объектах должен быть обеспечен свободный доступ Исполнителю к установленным приборам ОПС и средствам пожаротушения.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1.3. Охрана объектов осуществляется в дни </w:t>
      </w:r>
      <w:r>
        <w:rPr>
          <w:sz w:val="21"/>
          <w:szCs w:val="21"/>
        </w:rPr>
        <w:t xml:space="preserve">и часы, указанные в прилагаемом к Договору перечне объектов (Приложение № 1 к настоящему Договору), являющемся неотъемлемой частью Договора, сдаваемых под охрану материально-ответственными лицами, имеющих право на открытие и сдачу объекта на пульт Исполнит</w:t>
      </w:r>
      <w:r>
        <w:rPr>
          <w:sz w:val="21"/>
          <w:szCs w:val="21"/>
        </w:rPr>
        <w:t xml:space="preserve">еля, согласно списка, предоставляемого Заказчиком Исполнителе при заключении Договора (не менее двух человек с указанием домашнего адреса, телефона).</w:t>
      </w:r>
      <w:r>
        <w:rPr>
          <w:sz w:val="21"/>
          <w:szCs w:val="21"/>
        </w:rPr>
      </w:r>
    </w:p>
    <w:p>
      <w:pPr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2. ОБЯЗАННОСТИ СТОРОН</w:t>
      </w:r>
      <w:r>
        <w:rPr>
          <w:bCs/>
          <w:sz w:val="21"/>
          <w:szCs w:val="21"/>
        </w:rPr>
      </w:r>
    </w:p>
    <w:p>
      <w:pPr>
        <w:ind w:firstLine="709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2.1. Обязанности Исполнителя:</w:t>
      </w:r>
      <w:r>
        <w:rPr>
          <w:bCs/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2.1.1. Организовать и обеспечить охрану товарно-матери</w:t>
      </w:r>
      <w:r>
        <w:rPr>
          <w:sz w:val="21"/>
          <w:szCs w:val="21"/>
        </w:rPr>
        <w:t xml:space="preserve">альных ценностей Заказчика, принятых под охрану, от расхищения и пресекать проникновение посторонних лиц на охраняемые объекты в охраняемое время.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 2.1.2. При наличии признаков проникновения на Объект посторонних лиц, а также при срабатывании средств сигна</w:t>
      </w:r>
      <w:r>
        <w:rPr>
          <w:sz w:val="21"/>
          <w:szCs w:val="21"/>
        </w:rPr>
        <w:t xml:space="preserve">лизации и не взятии на пульт немедленно вызвать Заказчика или его официального представителя, и обеспечить неприкосновенность места происшествия. Осуществлять охрану объекта постом охраны до прибытия Заказчика, но не более 2-х часов.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2.1.3. При поступлении</w:t>
      </w:r>
      <w:r>
        <w:rPr>
          <w:sz w:val="21"/>
          <w:szCs w:val="21"/>
        </w:rPr>
        <w:t xml:space="preserve"> с объекта сигнала Тревога в период времени, указанного в Приложение № 1 к настоящему Договору, незамедлительно направить к нему группу немедленного реагирования (далее - ГНР) для выяснения причин срабатывания сигнализации и принятия мер к задержанию лиц, </w:t>
      </w:r>
      <w:r>
        <w:rPr>
          <w:sz w:val="21"/>
          <w:szCs w:val="21"/>
        </w:rPr>
        <w:t xml:space="preserve">совершающих противоправные действия.  Порядок действия ГНР при выезде осуществляется в соответствии с Законом РФ о частной детективной и охранной деятельности в Российской Федерации № 2487-1 от 11.03.1992г.</w:t>
      </w:r>
      <w:r>
        <w:rPr>
          <w:sz w:val="21"/>
          <w:szCs w:val="21"/>
        </w:rPr>
      </w:r>
    </w:p>
    <w:p>
      <w:pPr>
        <w:pStyle w:val="918"/>
        <w:ind w:firstLine="709"/>
        <w:spacing w:line="240" w:lineRule="auto"/>
        <w:widowControl/>
        <w:rPr>
          <w:rStyle w:val="919"/>
          <w:rFonts w:ascii="Times New Roman" w:hAnsi="Times New Roman" w:cs="Times New Roman"/>
          <w:sz w:val="21"/>
          <w:szCs w:val="21"/>
        </w:rPr>
      </w:pPr>
      <w:r>
        <w:rPr>
          <w:rStyle w:val="919"/>
          <w:rFonts w:ascii="Times New Roman" w:hAnsi="Times New Roman" w:cs="Times New Roman"/>
          <w:sz w:val="21"/>
          <w:szCs w:val="21"/>
        </w:rPr>
        <w:t xml:space="preserve">2.1.4. Исполнитель обязуется сохранять в тайне и </w:t>
      </w:r>
      <w:r>
        <w:rPr>
          <w:rStyle w:val="919"/>
          <w:rFonts w:ascii="Times New Roman" w:hAnsi="Times New Roman" w:cs="Times New Roman"/>
          <w:sz w:val="21"/>
          <w:szCs w:val="21"/>
        </w:rPr>
        <w:t xml:space="preserve">не передавать иным лицам без письменного согласия Заказчика конфиденциальную информацию, касающуюся настоящего Договора, и персональные данные физических лиц, полученные от Заказчика. К конфиденциальной информации в контексте настоящего Договора относится,</w:t>
      </w:r>
      <w:r>
        <w:rPr>
          <w:rStyle w:val="919"/>
          <w:rFonts w:ascii="Times New Roman" w:hAnsi="Times New Roman" w:cs="Times New Roman"/>
          <w:sz w:val="21"/>
          <w:szCs w:val="21"/>
        </w:rPr>
        <w:t xml:space="preserve"> в частности, информация, касающаяся предмета, цены и условий Договора, хода его выполнения. К персональным данным в соответствии с действующим законодательством относится любая информация, относящаяся к прямо или косвенно определенному или определяемому ф</w:t>
      </w:r>
      <w:r>
        <w:rPr>
          <w:rStyle w:val="919"/>
          <w:rFonts w:ascii="Times New Roman" w:hAnsi="Times New Roman" w:cs="Times New Roman"/>
          <w:sz w:val="21"/>
          <w:szCs w:val="21"/>
        </w:rPr>
        <w:t xml:space="preserve">изическому лицу (субъекту персональных данных), в частности, сведения о работниках Исполнителя, их фамилия, имя, </w:t>
      </w:r>
      <w:r>
        <w:rPr>
          <w:rStyle w:val="919"/>
          <w:rFonts w:ascii="Times New Roman" w:hAnsi="Times New Roman" w:cs="Times New Roman"/>
          <w:sz w:val="21"/>
          <w:szCs w:val="21"/>
        </w:rPr>
        <w:t xml:space="preserve">отчество, занимаемая должность, домашний адрес, номера домашнего и сотового телефонов, паспортные данные, иные сведения, не отнесённые к общедо</w:t>
      </w:r>
      <w:r>
        <w:rPr>
          <w:rStyle w:val="919"/>
          <w:rFonts w:ascii="Times New Roman" w:hAnsi="Times New Roman" w:cs="Times New Roman"/>
          <w:sz w:val="21"/>
          <w:szCs w:val="21"/>
        </w:rPr>
        <w:t xml:space="preserve">ступным в соответствии с законодательством. Доступ к персональным данным предоставляется Исполнителю в объемах, необходимых для исполнения настоящего Договора. Обработка конфиденциальной информации и персональных данных осуществляется Исполнителем исключит</w:t>
      </w:r>
      <w:r>
        <w:rPr>
          <w:rStyle w:val="919"/>
          <w:rFonts w:ascii="Times New Roman" w:hAnsi="Times New Roman" w:cs="Times New Roman"/>
          <w:sz w:val="21"/>
          <w:szCs w:val="21"/>
        </w:rPr>
        <w:t xml:space="preserve">ельно в целях исполнения настоящего договора. Исполнитель обязуется соблюдать конфиденциальность персональных данных, безопасность персональных данных при их обработке в рамках выполнения настоящего Договора. Обязательства, касающиеся соблюдения условий ко</w:t>
      </w:r>
      <w:r>
        <w:rPr>
          <w:rStyle w:val="919"/>
          <w:rFonts w:ascii="Times New Roman" w:hAnsi="Times New Roman" w:cs="Times New Roman"/>
          <w:sz w:val="21"/>
          <w:szCs w:val="21"/>
        </w:rPr>
        <w:t xml:space="preserve">нфиденциальности, действуют без ограничения срока и сохраняют свою силу после истечения срока действия настоящего Договора.</w:t>
      </w:r>
      <w:r>
        <w:rPr>
          <w:rStyle w:val="919"/>
          <w:rFonts w:ascii="Times New Roman" w:hAnsi="Times New Roman" w:cs="Times New Roman"/>
          <w:sz w:val="21"/>
          <w:szCs w:val="21"/>
        </w:rPr>
      </w:r>
    </w:p>
    <w:p>
      <w:pPr>
        <w:pStyle w:val="918"/>
        <w:ind w:firstLine="709"/>
        <w:spacing w:line="240" w:lineRule="auto"/>
        <w:widowControl/>
        <w:rPr>
          <w:rStyle w:val="919"/>
          <w:rFonts w:ascii="Times New Roman" w:hAnsi="Times New Roman" w:cs="Times New Roman"/>
          <w:sz w:val="21"/>
          <w:szCs w:val="21"/>
        </w:rPr>
      </w:pPr>
      <w:r>
        <w:rPr>
          <w:rStyle w:val="919"/>
          <w:rFonts w:ascii="Times New Roman" w:hAnsi="Times New Roman" w:cs="Times New Roman"/>
          <w:sz w:val="21"/>
          <w:szCs w:val="21"/>
        </w:rPr>
        <w:t xml:space="preserve">2.1.5. Исполнитель подтверждает свое соответствие единым требованиям, установленным частью 1 статьи 31 федерального закона от 05.04.2013 № 44-ФЗ.</w:t>
      </w:r>
      <w:r>
        <w:rPr>
          <w:rStyle w:val="919"/>
          <w:rFonts w:ascii="Times New Roman" w:hAnsi="Times New Roman" w:cs="Times New Roman"/>
          <w:sz w:val="21"/>
          <w:szCs w:val="21"/>
        </w:rPr>
      </w:r>
    </w:p>
    <w:p>
      <w:pPr>
        <w:ind w:firstLine="709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2.2.</w:t>
      </w:r>
      <w:r>
        <w:rPr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Обязанности Заказчика:</w:t>
      </w:r>
      <w:r>
        <w:rPr>
          <w:bCs/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2.2.1. Осуществлять сдачу и открытие объекта в дни и часы, указанные в прилагаемом</w:t>
      </w:r>
      <w:r>
        <w:rPr>
          <w:sz w:val="21"/>
          <w:szCs w:val="21"/>
        </w:rPr>
        <w:t xml:space="preserve"> к Договору Перечне объектов, материально-ответственными лицами, указанными в списке Заказчика. При замене лиц ответственных за сдачу объектов под охрану, а также изменение их адресных данных, Заказчик обязан в течение суток в письменной форме известить Ис</w:t>
      </w:r>
      <w:r>
        <w:rPr>
          <w:sz w:val="21"/>
          <w:szCs w:val="21"/>
        </w:rPr>
        <w:t xml:space="preserve">полнителя.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Материально-ответственное лицо, сдавшее под охрану объект, обязано находиться по указанному в списке домашнему адресу до открытия объекта и снятия с охраны или же сообщить дежурному пульта централизованной охраны (далее - ПЦО) о своем местонахож</w:t>
      </w:r>
      <w:r>
        <w:rPr>
          <w:sz w:val="21"/>
          <w:szCs w:val="21"/>
        </w:rPr>
        <w:t xml:space="preserve">дении (адрес, № телефона).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2.2.2. Создавать надлежащие условия для обеспечения сохранности товарно-материальных ценностей и содействовать Исполнителю при выполнении им своих задач. 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2.2.3. Перед сдачей объекта под охрану проверять, чтобы в охраняемом помещ</w:t>
      </w:r>
      <w:r>
        <w:rPr>
          <w:sz w:val="21"/>
          <w:szCs w:val="21"/>
        </w:rPr>
        <w:t xml:space="preserve">ении в нерабочее время не оставались посторонние лица и включенные электроприборы, и другие источники огня, а также проверять целостность охранной сигнализации. Соблюдать инструкции по эксплуатации технических средств охраны (далее ТСО) Приложение № 2 к на</w:t>
      </w:r>
      <w:r>
        <w:rPr>
          <w:sz w:val="21"/>
          <w:szCs w:val="21"/>
        </w:rPr>
        <w:t xml:space="preserve">стоящему Договору.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2.2.4. Закрывать на замки и пломбировать (опечатывать) наружные двери производственных и служебных помещений.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Пломбировать (опечатывать) при наличии тамбуров их внутренние двери. Запирать с наружи навесные замки помимо внутренних запоров</w:t>
      </w:r>
      <w:r>
        <w:rPr>
          <w:sz w:val="21"/>
          <w:szCs w:val="21"/>
        </w:rPr>
        <w:t xml:space="preserve"> и пломбировать (опечатывать) двери запасных входов.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2.2.5. Принимать меры к своевременному ремонту телефонной связи и сети электропитания, к которым подключена сигнализация. 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2.2.6. Включать охранную сигнализацию на объекте по окончании рабочего дня, а в </w:t>
      </w:r>
      <w:r>
        <w:rPr>
          <w:sz w:val="21"/>
          <w:szCs w:val="21"/>
        </w:rPr>
        <w:t xml:space="preserve">случае ее неисправности немедленно сообщить об этом Исполнителю и не оставлять объект до устранения неисправности или передачи объекта под охрану в установленном порядке. Через 5 минут после сообщения на пункт централизованной охраны о сдаче объекта под ох</w:t>
      </w:r>
      <w:r>
        <w:rPr>
          <w:sz w:val="21"/>
          <w:szCs w:val="21"/>
        </w:rPr>
        <w:t xml:space="preserve">рану, убедиться в том, что объект под охрану принят. 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2.2.7. При срабатывании средств сигнализации, проникновении на охраняемый объект и т.д. прибывать в течение 2-х часов к объекту по вызову Исполнителя для вскрытия и осмотра объектов, либо направлять с э</w:t>
      </w:r>
      <w:r>
        <w:rPr>
          <w:sz w:val="21"/>
          <w:szCs w:val="21"/>
        </w:rPr>
        <w:t xml:space="preserve">той целью своего уполномоченного представителя.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2.2.8. Сообщать за 15 суток о проведении капитального ремонта помещений и переоборудовании объекта, об изменении на них режима охраны, появление новых или изменение старых мест хранения ценностей, сдаче в аре</w:t>
      </w:r>
      <w:r>
        <w:rPr>
          <w:sz w:val="21"/>
          <w:szCs w:val="21"/>
        </w:rPr>
        <w:t xml:space="preserve">нду охраняемых мест и площадей другим Заказчикам, а также проведение мероприятий, вследствие которых может потребоваться изменение охраны или дислокации постов или отключение объекта с пульта охраны.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2.2.9. Сообщать о факте нарушения целостности охраняемых</w:t>
      </w:r>
      <w:r>
        <w:rPr>
          <w:sz w:val="21"/>
          <w:szCs w:val="21"/>
        </w:rPr>
        <w:t xml:space="preserve"> помещений или причинения ущерба повреждением имущества в дежурную часть органа внутренних дел, и до прибытия представителей оперативно-следственной группы обеспечить неприкосновенность места происшествия.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2.2.10. Снимать остатки товарно-материальных ценно</w:t>
      </w:r>
      <w:r>
        <w:rPr>
          <w:sz w:val="21"/>
          <w:szCs w:val="21"/>
        </w:rPr>
        <w:t xml:space="preserve">стей по определению причиненного ущерба кражей с обязательным присутствием ответственных представителей Исполнителя.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2.2.11. Право подписи актов технической укрепленности объекта от имени Заказчика предоставляется руководителям или представителем Заказчика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2.2.12. Не превышать лимитированный остаток в кассе, установленный банком.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2.2.13. Письменно, в течение трех дней, сообщать Исполнителю о реорганизации или ликвидации. О подаче заявления на признание Заказчика несостоятельным (банкротом), а также о други</w:t>
      </w:r>
      <w:r>
        <w:rPr>
          <w:sz w:val="21"/>
          <w:szCs w:val="21"/>
        </w:rPr>
        <w:t xml:space="preserve">х изменениях, затрагивающих отношения сторон по данному Договору.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2.2.14. Заказчик обязан строго соблюдать правила пользования и эксплуатации охранной сигнализации, не вносить изменений в схему блокировки объекта, не производить замену приборов и датчиков </w:t>
      </w:r>
      <w:r>
        <w:rPr>
          <w:sz w:val="21"/>
          <w:szCs w:val="21"/>
        </w:rPr>
        <w:t xml:space="preserve">без согласования с фирмой, обслуживающей технические средства охранной сигнализации. При закрытии объекта Заказчик обязан, убирать посторонние предметы, ограничивающие и закрывающие прибор, а именно: шторы, растения, стеллажи, шкафы, товары, стеклянные пер</w:t>
      </w:r>
      <w:r>
        <w:rPr>
          <w:sz w:val="21"/>
          <w:szCs w:val="21"/>
        </w:rPr>
        <w:t xml:space="preserve">егородки и т.п. Не разглашать посторонним лицам сведения о режиме охраны объекта и правила пользования техническими средствами охраны, а также присвоенные пультовые номера объекта.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2.3. При наличии тревожной сигнализации осуществлять пользование кнопкой тр</w:t>
      </w:r>
      <w:r>
        <w:rPr>
          <w:sz w:val="21"/>
          <w:szCs w:val="21"/>
        </w:rPr>
        <w:t xml:space="preserve">евожной сигнализации в следующих случаях:</w:t>
      </w:r>
      <w:r>
        <w:rPr>
          <w:sz w:val="21"/>
          <w:szCs w:val="21"/>
        </w:rPr>
      </w:r>
    </w:p>
    <w:p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- при непосредственном нападении на объект;</w:t>
      </w:r>
      <w:r>
        <w:rPr>
          <w:sz w:val="21"/>
          <w:szCs w:val="21"/>
        </w:rPr>
      </w:r>
    </w:p>
    <w:p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- при нанесении материального ущерба объекту;</w:t>
      </w:r>
      <w:r>
        <w:rPr>
          <w:sz w:val="21"/>
          <w:szCs w:val="21"/>
        </w:rPr>
      </w:r>
    </w:p>
    <w:p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при обнаружении подозрительных предметов на прилегающей к объекту территории;</w:t>
      </w:r>
      <w:r>
        <w:rPr>
          <w:sz w:val="21"/>
          <w:szCs w:val="21"/>
        </w:rPr>
      </w:r>
    </w:p>
    <w:p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при попытке совершить кражу материальных</w:t>
      </w:r>
      <w:r>
        <w:rPr>
          <w:sz w:val="21"/>
          <w:szCs w:val="21"/>
        </w:rPr>
        <w:t xml:space="preserve"> ценностей на объекте;</w:t>
      </w:r>
      <w:r>
        <w:rPr>
          <w:sz w:val="21"/>
          <w:szCs w:val="21"/>
        </w:rPr>
      </w:r>
    </w:p>
    <w:p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при наступлении критических ситуаций;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2.4. Производить проверку работы тревожной кнопки совместно с оперативным дежурным пульта ежедневно, сообщив дежурному код объекта, фамилию проверяющего Приложение № 3;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2.5. Не пользоваться кно</w:t>
      </w:r>
      <w:r>
        <w:rPr>
          <w:sz w:val="21"/>
          <w:szCs w:val="21"/>
        </w:rPr>
        <w:t xml:space="preserve">пкой тревожной сигнализации без надобности;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2.6. Оплатить штраф за ложный выезд ГНР при случайном нажатии КТС по действующим тарифам в течение 10 дней с момента выписки Акта на штраф;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3. ЦЕНА ДОГОВОРА И РАСЧЕТЫ</w:t>
      </w:r>
      <w:r>
        <w:rPr>
          <w:bCs/>
          <w:sz w:val="21"/>
          <w:szCs w:val="21"/>
        </w:rPr>
      </w:r>
    </w:p>
    <w:p>
      <w:pPr>
        <w:pStyle w:val="908"/>
        <w:ind w:firstLine="709"/>
        <w:rPr>
          <w:color w:val="000000"/>
          <w:sz w:val="21"/>
          <w:szCs w:val="21"/>
          <w:highlight w:val="white"/>
        </w:rPr>
      </w:pPr>
      <w:r>
        <w:rPr>
          <w:color w:val="000000"/>
          <w:sz w:val="21"/>
          <w:szCs w:val="21"/>
          <w:highlight w:val="white"/>
        </w:rPr>
        <w:t xml:space="preserve">3.1. </w:t>
      </w:r>
      <w:r>
        <w:rPr>
          <w:color w:val="000000"/>
          <w:sz w:val="21"/>
          <w:szCs w:val="21"/>
          <w:highlight w:val="white"/>
        </w:rPr>
        <w:t xml:space="preserve">Ежемесячная сумма, подлежащая оплате по Договору, составляет 8000 (восемь тысяч) рублей 00 копеек. Сумма, подлежащая оплате за срок действия Договора, составляет 96 000 (девяносто шесть тысяч) рублей 00 копеек</w:t>
      </w:r>
      <w:r>
        <w:rPr>
          <w:color w:val="000000"/>
          <w:sz w:val="21"/>
          <w:szCs w:val="21"/>
          <w:highlight w:val="none"/>
        </w:rPr>
        <w:t xml:space="preserve">, НДС-нет.</w:t>
      </w:r>
      <w:r>
        <w:rPr>
          <w:color w:val="000000"/>
          <w:sz w:val="21"/>
          <w:szCs w:val="21"/>
          <w:highlight w:val="white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3.2. Источник финансирования Заказчика: Феде</w:t>
      </w:r>
      <w:r>
        <w:rPr>
          <w:sz w:val="21"/>
          <w:szCs w:val="21"/>
        </w:rPr>
        <w:t xml:space="preserve">ральный бюджет. КБК:49804011040390020244 (косгу 226). Оплата производится ежемесячно.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Цена договора является твердой и определяется на весь срок исполнения договора. 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3.2.1. Исполнитель предоставляет за оказанные услуги ежемесячно счет и два экземпляра акт</w:t>
      </w:r>
      <w:r>
        <w:rPr>
          <w:sz w:val="21"/>
          <w:szCs w:val="21"/>
        </w:rPr>
        <w:t xml:space="preserve">а выполненных работ до 05 числа месяца, следующего за расчетным. «Заказчик» ежемесячно осуществляет оплату за услуги в течение 7 (семи) рабочих дней с даты подписания акта выполненных работ. Заказчик подписывает акт выполненных работ в течение 20 (двадцати</w:t>
      </w:r>
      <w:r>
        <w:rPr>
          <w:sz w:val="21"/>
          <w:szCs w:val="21"/>
        </w:rPr>
        <w:t xml:space="preserve">) рабочих дней с даты предоставления Исполнителем. Один экземпляр акта выполненных работ необходимо вернуть Исполнителю. 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3.2.2</w:t>
      </w:r>
      <w:r>
        <w:rPr>
          <w:sz w:val="21"/>
          <w:szCs w:val="21"/>
        </w:rPr>
        <w:t xml:space="preserve">. Услуги считаются оказанными после подписания акта приема-сдачи услуг «Заказчиком» или его уполномоченным представителем. В случае, если в периоде, в который «Заказчик» заявляет о факте неоказания услуг охраны, в протоколе пульта централизованного наблюде</w:t>
      </w:r>
      <w:r>
        <w:rPr>
          <w:sz w:val="21"/>
          <w:szCs w:val="21"/>
        </w:rPr>
        <w:t xml:space="preserve">ния Охранного предприятия зафиксирована работа прибора охраны (снятие, постановка, тревога, суточный сигнал, нажатие тревожной кнопки), услуги охраны считаются оказанными.</w:t>
      </w:r>
      <w:r>
        <w:rPr>
          <w:sz w:val="21"/>
          <w:szCs w:val="21"/>
        </w:rPr>
      </w:r>
    </w:p>
    <w:p>
      <w:pPr>
        <w:pStyle w:val="908"/>
        <w:numPr>
          <w:ilvl w:val="0"/>
          <w:numId w:val="12"/>
        </w:numPr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ОТВЕТСТВЕННОСТЬ СТОРОН</w:t>
      </w:r>
      <w:r>
        <w:rPr>
          <w:bCs/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4.1. Исполнитель несет материальную ответственность за ущерб: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4.1.1. Нанесенный уничтожением, повреждением, кражами товарно-материальных ценностей, имущества Заказчика посторонними лицами, проникшими на охраняемый объект в охраняемое время в результате ненадлежащего выполнения Исполнителем принятых по договору обяза</w:t>
      </w:r>
      <w:r>
        <w:rPr>
          <w:sz w:val="21"/>
          <w:szCs w:val="21"/>
        </w:rPr>
        <w:t xml:space="preserve">тельств.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4.2. Факты уничтожения или повреждения имущества путем кражи, либо вследствие пожара или в силу других причин, допущенных по вине работников Исполнителя, устанавливается органами дознания, следствием и судом.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4.2.1. О факте нарушения целостности о</w:t>
      </w:r>
      <w:r>
        <w:rPr>
          <w:sz w:val="21"/>
          <w:szCs w:val="21"/>
        </w:rPr>
        <w:t xml:space="preserve">храняемых помещений или причинения ущерба повреждением имущества Исполнитель сообщает в дежурную часть органа внутренних дел и Заказчику. До прибытия оперативно-следственной группы органа внутренних дел Исполнитель обеспечивает неприкосновенность места про</w:t>
      </w:r>
      <w:r>
        <w:rPr>
          <w:sz w:val="21"/>
          <w:szCs w:val="21"/>
        </w:rPr>
        <w:t xml:space="preserve">исшествия.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4.2.2. При наличии заявления Заказчика (письменно или телефонограммой) о причиненном ущербе ответственные представители Исполнителя обязаны участвовать в определении размера ущерба и снятии остатков товарно-материальных ценностей, которые сопост</w:t>
      </w:r>
      <w:r>
        <w:rPr>
          <w:sz w:val="21"/>
          <w:szCs w:val="21"/>
        </w:rPr>
        <w:t xml:space="preserve">авляются с данными бухгалтерского учета на день происшествия.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Снятие остатков товарно-материальных ценностей должно быть произведено по прибытии представителей сторон на место происшествия.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4.2.3. Возмещение Заказчику причиненного по вине Исполнителя ущерб</w:t>
      </w:r>
      <w:r>
        <w:rPr>
          <w:sz w:val="21"/>
          <w:szCs w:val="21"/>
        </w:rPr>
        <w:t xml:space="preserve">а производится на основании решения суда. Размер ущерба должен быть подтвержден соответствующими документами расчетами стоимости похищенных или поврежденных товарно-материальных ценностей, расходов, произведенных на восстановление поврежденного имущества, </w:t>
      </w:r>
      <w:r>
        <w:rPr>
          <w:sz w:val="21"/>
          <w:szCs w:val="21"/>
        </w:rPr>
        <w:t xml:space="preserve">а также похищенных денежных сумм. В случае обнаружения виновных лиц имущественный ущерб взыскивается с них Исполнителем. </w:t>
      </w:r>
      <w:r>
        <w:rPr>
          <w:sz w:val="21"/>
          <w:szCs w:val="21"/>
          <w:highlight w:val="white"/>
        </w:rPr>
        <w:t xml:space="preserve">Возмещение ущерба осуществляется через Страховое акционерное общество «ВСК»</w:t>
      </w:r>
      <w:r>
        <w:rPr>
          <w:color w:val="ff0000"/>
          <w:sz w:val="21"/>
          <w:szCs w:val="21"/>
          <w:highlight w:val="white"/>
        </w:rPr>
        <w:t xml:space="preserve"> </w:t>
      </w:r>
      <w:r>
        <w:rPr>
          <w:sz w:val="21"/>
          <w:szCs w:val="21"/>
          <w:highlight w:val="white"/>
        </w:rPr>
        <w:t xml:space="preserve">страховой полис № 26220С6000489 срок действия договора стра</w:t>
      </w:r>
      <w:r>
        <w:rPr>
          <w:sz w:val="21"/>
          <w:szCs w:val="21"/>
          <w:highlight w:val="white"/>
        </w:rPr>
        <w:t xml:space="preserve">хователя с 13 апреля 2026 года по 12 апреля 2027 года на сумму 8 000 000 (восемь миллионов) рублей. По окончании действия указанного договора Исполнитель обязуетс</w:t>
      </w:r>
      <w:r>
        <w:rPr>
          <w:sz w:val="21"/>
          <w:szCs w:val="21"/>
        </w:rPr>
        <w:t xml:space="preserve">я заключить новый договор со Страховщиком и проинформировать Заказчика об оформлении нового по</w:t>
      </w:r>
      <w:r>
        <w:rPr>
          <w:sz w:val="21"/>
          <w:szCs w:val="21"/>
        </w:rPr>
        <w:t xml:space="preserve">лиса.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4.2.4. При возвращении Заказчику похищенных товарно-материальных ценностей присутствие представителей Исполнителя является обязательным.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Стоимость возвращенных товарно-материальных ценностей исключается из общей суммы иска, представленного Заказчиком</w:t>
      </w:r>
      <w:r>
        <w:rPr>
          <w:sz w:val="21"/>
          <w:szCs w:val="21"/>
        </w:rPr>
        <w:t xml:space="preserve">, а ранее оплаченная сумма за эти ценности возвращается Исполнителю.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4.2.5. Исполнитель освобождается от ответственности лишь в случае, когда он докажет отсутствие своей вины.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4.2.6. Исполнитель не несет ответственности: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а) за имущественный ущерб, причинен</w:t>
      </w:r>
      <w:r>
        <w:rPr>
          <w:sz w:val="21"/>
          <w:szCs w:val="21"/>
        </w:rPr>
        <w:t xml:space="preserve">ный стихийными бедствиями.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б) за оставленное в охраняемом помещении личное имущество работников.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в) за кражу, а также хищение, совершенное путем грабежа или при разбойном нападении, денежных средств, оставленных в охраняемом помещении сверх сумм, которые З</w:t>
      </w:r>
      <w:r>
        <w:rPr>
          <w:sz w:val="21"/>
          <w:szCs w:val="21"/>
        </w:rPr>
        <w:t xml:space="preserve">аказчик вправе оставлять на объекте, а </w:t>
      </w:r>
      <w:r>
        <w:rPr>
          <w:sz w:val="21"/>
          <w:szCs w:val="21"/>
        </w:rPr>
        <w:t xml:space="preserve">также в случаях, когда денежные средства хранились не в сейфе или металлическом шкафу (ящике), прикрепленном к полу.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г) за ущерб, причиненный преступником внутри охраняемого помещения, если он проник в это помещение д</w:t>
      </w:r>
      <w:r>
        <w:rPr>
          <w:sz w:val="21"/>
          <w:szCs w:val="21"/>
        </w:rPr>
        <w:t xml:space="preserve">о его закрытия и покинул его в охраняемое время.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д) за кражу, а также хищение товарно-материальных ценностей другого Заказчика, арендующего охраняемые помещения, если с ним не заключен самостоятельный договор с Исполнителем.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е) за кражу, а также хищение, с</w:t>
      </w:r>
      <w:r>
        <w:rPr>
          <w:sz w:val="21"/>
          <w:szCs w:val="21"/>
        </w:rPr>
        <w:t xml:space="preserve">овершенное, путем грабежа или разбойного нападения товарно-материальных ценностей, если судом установлено, что они совершены в связи с невключением Заказчиком охранной сигнализации, не сдачей объекта под охрану, а также, если охрана не могла осуществляться</w:t>
      </w:r>
      <w:r>
        <w:rPr>
          <w:sz w:val="21"/>
          <w:szCs w:val="21"/>
        </w:rPr>
        <w:t xml:space="preserve"> по техническим причинам, не зависящим от Исполнителя.</w:t>
      </w:r>
      <w:r>
        <w:rPr>
          <w:sz w:val="21"/>
          <w:szCs w:val="21"/>
        </w:rPr>
      </w:r>
    </w:p>
    <w:p>
      <w:pPr>
        <w:pStyle w:val="908"/>
        <w:ind w:firstLine="709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ж) за невыполнение инструкции по эксплуатации ТСО Приложение № 2 к настоящему Договору.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 з) за кражу, а также хищение товарно-материальных ценностей, если установлено, что    они соверше</w:t>
      </w:r>
      <w:r>
        <w:rPr>
          <w:sz w:val="21"/>
          <w:szCs w:val="21"/>
        </w:rPr>
        <w:t xml:space="preserve">ны по причине неисправности технических средств охраны либо при несвоевременном поступлении сигнала Тревога на пульт централизованного наблюдения ПЦО.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 и) за ущерб, в случае необеспечения Заказчиком эксплуатационного обслуживания ОПС обслуживающей организа</w:t>
      </w:r>
      <w:r>
        <w:rPr>
          <w:sz w:val="21"/>
          <w:szCs w:val="21"/>
        </w:rPr>
        <w:t xml:space="preserve">цией.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4.3. Заказчик несет ответственность: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за правильность эксплуатации средств охраны, материально ответственными лицами;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за обеспечение закрытия окон, дверей, других запирающих устройств;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за проверку помещения на наличие посторонних лиц;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за своев</w:t>
      </w:r>
      <w:r>
        <w:rPr>
          <w:sz w:val="21"/>
          <w:szCs w:val="21"/>
        </w:rPr>
        <w:t xml:space="preserve">ременное перезакрытие объекта в случае получения сигнала тревога.</w:t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908"/>
        <w:numPr>
          <w:ilvl w:val="0"/>
          <w:numId w:val="10"/>
        </w:numPr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ДОПОЛНИТЕЛЬНЫЕ УСЛОВИЯ</w:t>
      </w:r>
      <w:r>
        <w:rPr>
          <w:bCs/>
          <w:sz w:val="21"/>
          <w:szCs w:val="21"/>
        </w:rPr>
      </w:r>
    </w:p>
    <w:p>
      <w:pPr>
        <w:pStyle w:val="908"/>
        <w:numPr>
          <w:ilvl w:val="1"/>
          <w:numId w:val="10"/>
        </w:numPr>
        <w:ind w:left="0" w:firstLine="709"/>
        <w:tabs>
          <w:tab w:val="num" w:pos="-142" w:leader="none"/>
          <w:tab w:val="clear" w:pos="36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Исполнитель имеет право приостанавливать действие Договора или расторгнуть его в одностороннем порядке в случаях: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5.1.1. Если Заказчик не производит оплату за услуги </w:t>
      </w:r>
      <w:r>
        <w:rPr>
          <w:sz w:val="21"/>
          <w:szCs w:val="21"/>
        </w:rPr>
        <w:t xml:space="preserve">охраны свыше 2 месяцев.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5.1.2. Возникли технические причины, препятствующие продолжению охраны объекта.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5.1.3. Если Заказчик не обеспечил эксплуатационное обслуживание ОПС обслуживающей организацией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5.1.4. При возникновении спора о праве собственности или </w:t>
      </w:r>
      <w:r>
        <w:rPr>
          <w:sz w:val="21"/>
          <w:szCs w:val="21"/>
        </w:rPr>
        <w:t xml:space="preserve">управления охраняемого имущества, до принятия окончательного решения в судебном порядке.</w:t>
      </w:r>
      <w:r>
        <w:rPr>
          <w:sz w:val="21"/>
          <w:szCs w:val="21"/>
        </w:rPr>
      </w:r>
    </w:p>
    <w:p>
      <w:pPr>
        <w:pStyle w:val="908"/>
        <w:ind w:firstLine="709"/>
        <w:rPr>
          <w:sz w:val="21"/>
          <w:szCs w:val="21"/>
        </w:rPr>
      </w:pPr>
      <w:r>
        <w:rPr>
          <w:sz w:val="21"/>
          <w:szCs w:val="21"/>
        </w:rPr>
        <w:t xml:space="preserve">5.2. При отказе от охраны отдельных объектов или досрочном расторжении Договора заинтересованная сторона обязана предупредить об этом другую сторону, в письменном виде</w:t>
      </w:r>
      <w:r>
        <w:rPr>
          <w:sz w:val="21"/>
          <w:szCs w:val="21"/>
        </w:rPr>
        <w:t xml:space="preserve"> не менее чем за 15 суток.</w:t>
      </w:r>
      <w:r>
        <w:rPr>
          <w:sz w:val="21"/>
          <w:szCs w:val="21"/>
        </w:rPr>
      </w:r>
    </w:p>
    <w:p>
      <w:pPr>
        <w:pStyle w:val="908"/>
        <w:ind w:firstLine="709"/>
        <w:tabs>
          <w:tab w:val="num" w:pos="0" w:leader="none"/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5.3. Обстоятельства непреодолимой силы.</w:t>
      </w:r>
      <w:r>
        <w:rPr>
          <w:sz w:val="21"/>
          <w:szCs w:val="21"/>
        </w:rPr>
      </w:r>
    </w:p>
    <w:p>
      <w:pPr>
        <w:pStyle w:val="908"/>
        <w:ind w:firstLine="709"/>
        <w:tabs>
          <w:tab w:val="num" w:pos="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5.3.1. Исполнитель освобождается от ответственности за неисполнение или ненадлежащее исполнение обязательств по Договору, если это явилось следствием обстоятельств непреодолимой силы, возни</w:t>
      </w:r>
      <w:r>
        <w:rPr>
          <w:sz w:val="21"/>
          <w:szCs w:val="21"/>
        </w:rPr>
        <w:t xml:space="preserve">кших после заключения Договора, как-то: стихийные бедствия, снежные завалы, заносы и перекрытия дорог, к охраняемому объекту образовавшиеся вследствие плохих погодных условий, объявления штормового предупреждения, наводнения, землетрясения, военные действи</w:t>
      </w:r>
      <w:r>
        <w:rPr>
          <w:sz w:val="21"/>
          <w:szCs w:val="21"/>
        </w:rPr>
        <w:t xml:space="preserve">я любого характера,  и другие явления, препятствующие выполнению условий настоящего Договора.</w:t>
      </w:r>
      <w:r>
        <w:rPr>
          <w:sz w:val="21"/>
          <w:szCs w:val="21"/>
        </w:rPr>
      </w:r>
    </w:p>
    <w:p>
      <w:pPr>
        <w:pStyle w:val="908"/>
        <w:ind w:firstLine="709"/>
        <w:tabs>
          <w:tab w:val="num" w:pos="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5.3.2. При возникновении обстоятельств, указанных в п.5.3.1. и невозможностью охраны с помощью ПЦН Заказчик обязан организовать охрану собственными силами. В случ</w:t>
      </w:r>
      <w:r>
        <w:rPr>
          <w:sz w:val="21"/>
          <w:szCs w:val="21"/>
        </w:rPr>
        <w:t xml:space="preserve">ае действия обстоятельств непреодолимой силы свыше 1-го дня выполнение обязательств по Договору приостанавливается до устранения данных обстоятельств.</w:t>
      </w:r>
      <w:r>
        <w:rPr>
          <w:sz w:val="21"/>
          <w:szCs w:val="21"/>
        </w:rPr>
      </w:r>
    </w:p>
    <w:p>
      <w:pPr>
        <w:pStyle w:val="908"/>
        <w:ind w:firstLine="709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5.4. Услуги Исполнителя по осуществлению экстренного выезда группы немедленного реагирования (ГНР) при ср</w:t>
      </w:r>
      <w:r>
        <w:rPr>
          <w:bCs/>
          <w:sz w:val="21"/>
          <w:szCs w:val="21"/>
        </w:rPr>
        <w:t xml:space="preserve">абатывании кнопки тревожной сигнализации (КТС) с целью    пресечения преступлений и правонарушений, оплачиваются Заказчиком по установленным тарифам. В период охраны кнопкой тревожной сигнализации Исполнитель не несет материальной ответственности за ущерб,</w:t>
      </w:r>
      <w:r>
        <w:rPr>
          <w:bCs/>
          <w:sz w:val="21"/>
          <w:szCs w:val="21"/>
        </w:rPr>
        <w:t xml:space="preserve"> причиненный посторонними лицами.</w:t>
      </w:r>
      <w:r>
        <w:rPr>
          <w:bCs/>
          <w:sz w:val="21"/>
          <w:szCs w:val="21"/>
        </w:rPr>
      </w:r>
    </w:p>
    <w:p>
      <w:pPr>
        <w:pStyle w:val="908"/>
        <w:ind w:firstLine="709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6. СРОК ДЕЙСТВИЯ ДОГОВОРА</w:t>
      </w:r>
      <w:r>
        <w:rPr>
          <w:sz w:val="21"/>
          <w:szCs w:val="21"/>
        </w:rPr>
      </w:r>
    </w:p>
    <w:p>
      <w:pPr>
        <w:pStyle w:val="908"/>
        <w:ind w:firstLine="709"/>
        <w:jc w:val="center"/>
        <w:rPr>
          <w:bCs/>
          <w:sz w:val="21"/>
          <w:szCs w:val="21"/>
        </w:rPr>
      </w:pPr>
      <w:r>
        <w:rPr>
          <w:sz w:val="21"/>
          <w:szCs w:val="21"/>
        </w:rPr>
        <w:t xml:space="preserve">ОСНОВАНИЯ ИЗМЕНЕНИЯ И РАСТОРЖЕНИЯ ДОГОВОРА</w:t>
      </w:r>
      <w:r>
        <w:rPr>
          <w:bCs/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6.1. Настоящий Договор вступает в силу с момента подписания, распространяет своё действие на правоотношения Сторон с 01 января 2027 г</w:t>
      </w:r>
      <w:r>
        <w:rPr>
          <w:sz w:val="21"/>
          <w:szCs w:val="21"/>
        </w:rPr>
        <w:t xml:space="preserve">. и действует до 31 декабря 2027 г., а в части оплаты - до полного выполнения сторонами обязательств.</w:t>
      </w:r>
      <w:r>
        <w:rPr>
          <w:sz w:val="21"/>
          <w:szCs w:val="21"/>
        </w:rPr>
      </w:r>
    </w:p>
    <w:p>
      <w:pPr>
        <w:ind w:firstLine="709"/>
        <w:jc w:val="both"/>
        <w:rPr>
          <w:bCs/>
          <w:sz w:val="21"/>
          <w:szCs w:val="21"/>
        </w:rPr>
      </w:pPr>
      <w:r>
        <w:rPr>
          <w:sz w:val="21"/>
          <w:szCs w:val="21"/>
        </w:rPr>
        <w:t xml:space="preserve">6.2. При расторжении отношений ранее установленного срока, Договор считается расторгнутым не ранее чем через 15 дней, со дня получения другой стороной пис</w:t>
      </w:r>
      <w:r>
        <w:rPr>
          <w:sz w:val="21"/>
          <w:szCs w:val="21"/>
        </w:rPr>
        <w:t xml:space="preserve">ьменного уведомления о расторжении договора.</w:t>
      </w:r>
      <w:r>
        <w:rPr>
          <w:bCs/>
          <w:sz w:val="21"/>
          <w:szCs w:val="21"/>
        </w:rPr>
      </w:r>
    </w:p>
    <w:p>
      <w:pPr>
        <w:pStyle w:val="908"/>
        <w:ind w:firstLine="709"/>
        <w:tabs>
          <w:tab w:val="left" w:pos="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 6.3. При изменении, каких-либо условий новые условия фиксируются путем подписания дополнительного соглашения к настоящему Договору или оформлением нового договора. </w:t>
      </w:r>
      <w:r>
        <w:rPr>
          <w:sz w:val="21"/>
          <w:szCs w:val="21"/>
        </w:rPr>
      </w:r>
    </w:p>
    <w:p>
      <w:pPr>
        <w:pStyle w:val="908"/>
        <w:ind w:firstLine="709"/>
        <w:tabs>
          <w:tab w:val="left" w:pos="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6.4.  Все споры, вытекающие из данного догово</w:t>
      </w:r>
      <w:r>
        <w:rPr>
          <w:sz w:val="21"/>
          <w:szCs w:val="21"/>
        </w:rPr>
        <w:t xml:space="preserve">ра, подлежат разрешению в Арбитражном суде Республики Коми.</w:t>
      </w:r>
      <w:r>
        <w:rPr>
          <w:sz w:val="21"/>
          <w:szCs w:val="21"/>
        </w:rPr>
      </w:r>
    </w:p>
    <w:p>
      <w:pPr>
        <w:pStyle w:val="908"/>
        <w:ind w:firstLine="709"/>
        <w:tabs>
          <w:tab w:val="left" w:pos="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6.5.  Договор с приложениями составляется в 2-х экземплярах, каждый из которых имеет равную юридическую силу, по одному для каждой Стороны. </w:t>
      </w:r>
      <w:r>
        <w:rPr>
          <w:sz w:val="21"/>
          <w:szCs w:val="21"/>
        </w:rPr>
      </w:r>
    </w:p>
    <w:p>
      <w:pPr>
        <w:pStyle w:val="908"/>
        <w:ind w:firstLine="709"/>
        <w:tabs>
          <w:tab w:val="left" w:pos="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6.6. Неотъемлемой частью Договора являются следующие пр</w:t>
      </w:r>
      <w:r>
        <w:rPr>
          <w:sz w:val="21"/>
          <w:szCs w:val="21"/>
        </w:rPr>
        <w:t xml:space="preserve">иложения:</w:t>
      </w:r>
      <w:r>
        <w:rPr>
          <w:sz w:val="21"/>
          <w:szCs w:val="21"/>
        </w:rPr>
      </w:r>
    </w:p>
    <w:p>
      <w:pPr>
        <w:pStyle w:val="908"/>
        <w:ind w:firstLine="709"/>
        <w:tabs>
          <w:tab w:val="left" w:pos="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Приложение № 1 – Перечень охраняемых объектов и стоимости оказания услуг; </w:t>
      </w:r>
      <w:r>
        <w:rPr>
          <w:sz w:val="21"/>
          <w:szCs w:val="21"/>
        </w:rPr>
      </w:r>
    </w:p>
    <w:p>
      <w:pPr>
        <w:pStyle w:val="908"/>
        <w:ind w:firstLine="709"/>
        <w:tabs>
          <w:tab w:val="left" w:pos="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Приложение № 2 – Инструкция по эксплуатации ТСО;</w:t>
      </w:r>
      <w:r>
        <w:rPr>
          <w:sz w:val="21"/>
          <w:szCs w:val="21"/>
        </w:rPr>
      </w:r>
    </w:p>
    <w:p>
      <w:pPr>
        <w:pStyle w:val="908"/>
        <w:jc w:val="center"/>
        <w:tabs>
          <w:tab w:val="left" w:pos="0" w:leader="none"/>
        </w:tabs>
        <w:rPr>
          <w:bCs/>
          <w:sz w:val="21"/>
          <w:szCs w:val="21"/>
        </w:rPr>
      </w:pPr>
      <w:r>
        <w:rPr>
          <w:bCs/>
          <w:sz w:val="21"/>
          <w:szCs w:val="21"/>
        </w:rPr>
      </w:r>
      <w:r>
        <w:rPr>
          <w:bCs/>
          <w:sz w:val="21"/>
          <w:szCs w:val="21"/>
        </w:rPr>
      </w:r>
    </w:p>
    <w:p>
      <w:pPr>
        <w:pStyle w:val="908"/>
        <w:jc w:val="center"/>
        <w:tabs>
          <w:tab w:val="left" w:pos="0" w:leader="none"/>
        </w:tabs>
        <w:rPr>
          <w:bCs/>
          <w:sz w:val="21"/>
          <w:szCs w:val="21"/>
        </w:rPr>
      </w:pPr>
      <w:r>
        <w:rPr>
          <w:bCs/>
          <w:sz w:val="21"/>
          <w:szCs w:val="21"/>
        </w:rPr>
      </w:r>
      <w:r>
        <w:rPr>
          <w:bCs/>
          <w:sz w:val="21"/>
          <w:szCs w:val="21"/>
        </w:rPr>
      </w:r>
    </w:p>
    <w:p>
      <w:pPr>
        <w:pStyle w:val="908"/>
        <w:jc w:val="center"/>
        <w:tabs>
          <w:tab w:val="left" w:pos="0" w:leader="none"/>
        </w:tabs>
        <w:rPr>
          <w:bCs/>
          <w:sz w:val="21"/>
          <w:szCs w:val="21"/>
        </w:rPr>
      </w:pPr>
      <w:r>
        <w:rPr>
          <w:bCs/>
          <w:sz w:val="21"/>
          <w:szCs w:val="21"/>
        </w:rPr>
      </w:r>
      <w:r>
        <w:rPr>
          <w:bCs/>
          <w:sz w:val="21"/>
          <w:szCs w:val="21"/>
        </w:rPr>
      </w:r>
    </w:p>
    <w:p>
      <w:pPr>
        <w:pStyle w:val="908"/>
        <w:jc w:val="center"/>
        <w:tabs>
          <w:tab w:val="left" w:pos="0" w:leader="none"/>
        </w:tabs>
        <w:rPr>
          <w:bCs/>
          <w:sz w:val="21"/>
          <w:szCs w:val="21"/>
        </w:rPr>
      </w:pPr>
      <w:r>
        <w:rPr>
          <w:bCs/>
          <w:sz w:val="21"/>
          <w:szCs w:val="21"/>
        </w:rPr>
      </w:r>
      <w:r>
        <w:rPr>
          <w:bCs/>
          <w:sz w:val="21"/>
          <w:szCs w:val="21"/>
        </w:rPr>
      </w:r>
    </w:p>
    <w:p>
      <w:pPr>
        <w:pStyle w:val="908"/>
        <w:jc w:val="center"/>
        <w:tabs>
          <w:tab w:val="left" w:pos="0" w:leader="none"/>
        </w:tabs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ЮРИДИЧЕСКИЕ АДРЕСА СТОРОН И НОМЕРА РАСЧЕТНЫХ СЧЕТОВ:</w:t>
      </w:r>
      <w:r>
        <w:rPr>
          <w:bCs/>
          <w:sz w:val="21"/>
          <w:szCs w:val="21"/>
        </w:rPr>
      </w:r>
    </w:p>
    <w:p>
      <w:pPr>
        <w:pStyle w:val="908"/>
        <w:jc w:val="center"/>
        <w:tabs>
          <w:tab w:val="left" w:pos="0" w:leader="none"/>
        </w:tabs>
        <w:rPr>
          <w:bCs/>
          <w:sz w:val="21"/>
          <w:szCs w:val="21"/>
        </w:rPr>
      </w:pPr>
      <w:r>
        <w:rPr>
          <w:bCs/>
          <w:sz w:val="21"/>
          <w:szCs w:val="21"/>
        </w:rPr>
      </w:r>
      <w:r>
        <w:rPr>
          <w:bCs/>
          <w:sz w:val="21"/>
          <w:szCs w:val="21"/>
        </w:rPr>
      </w:r>
    </w:p>
    <w:tbl>
      <w:tblPr>
        <w:tblW w:w="10011" w:type="dxa"/>
        <w:tblLook w:val="04A0" w:firstRow="1" w:lastRow="0" w:firstColumn="1" w:lastColumn="0" w:noHBand="0" w:noVBand="1"/>
      </w:tblPr>
      <w:tblGrid>
        <w:gridCol w:w="9778"/>
        <w:gridCol w:w="233"/>
      </w:tblGrid>
      <w:tr>
        <w:tblPrEx/>
        <w:trPr>
          <w:trHeight w:val="653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77" w:type="dxa"/>
            <w:textDirection w:val="lrTb"/>
            <w:noWrap w:val="false"/>
          </w:tcPr>
          <w:p>
            <w:r/>
            <w:r/>
          </w:p>
          <w:tbl>
            <w:tblPr>
              <w:tblW w:w="956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4781"/>
              <w:gridCol w:w="4781"/>
            </w:tblGrid>
            <w:tr>
              <w:tblPrEx/>
              <w:trPr>
                <w:trHeight w:val="567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781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tabs>
                      <w:tab w:val="left" w:pos="0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Исполнитель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center"/>
                    <w:tabs>
                      <w:tab w:val="left" w:pos="0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ООО «ЧОП «Феникс»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  <w:tab w:val="left" w:pos="284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Юридический адрес: 169900,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  <w:tab w:val="left" w:pos="284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г. Воркута, Б. Пищевиков, д. 17Б,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284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Почтовый адрес:169900, РК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  <w:tab w:val="left" w:pos="284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г. Воркута, Б. Пищевиков 17Б,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  <w:tab w:val="left" w:pos="284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тел. /факс/бух 8(82151) 3-68-78;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  <w:tab w:val="left" w:pos="284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Дежурная часть: 3-30-73; 8-912-179-00-59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  <w:tab w:val="left" w:pos="284" w:leader="none"/>
                    </w:tabs>
                    <w:rPr>
                      <w:bCs/>
                      <w:sz w:val="21"/>
                      <w:szCs w:val="21"/>
                      <w:lang w:val="en-US"/>
                    </w:rPr>
                  </w:pPr>
                  <w:r>
                    <w:rPr>
                      <w:bCs/>
                      <w:sz w:val="21"/>
                      <w:szCs w:val="21"/>
                      <w:lang w:val="en-US"/>
                    </w:rPr>
                    <w:t xml:space="preserve">E</w:t>
                  </w:r>
                  <w:r>
                    <w:rPr>
                      <w:bCs/>
                      <w:sz w:val="21"/>
                      <w:szCs w:val="21"/>
                      <w:lang w:val="en-US"/>
                    </w:rPr>
                    <w:t xml:space="preserve">-</w:t>
                  </w:r>
                  <w:r>
                    <w:rPr>
                      <w:bCs/>
                      <w:sz w:val="21"/>
                      <w:szCs w:val="21"/>
                      <w:lang w:val="en-US"/>
                    </w:rPr>
                    <w:t xml:space="preserve">mail</w:t>
                  </w:r>
                  <w:r>
                    <w:rPr>
                      <w:bCs/>
                      <w:sz w:val="21"/>
                      <w:szCs w:val="21"/>
                      <w:lang w:val="en-US"/>
                    </w:rPr>
                    <w:t xml:space="preserve">:</w:t>
                  </w:r>
                  <w:r>
                    <w:rPr>
                      <w:bCs/>
                      <w:sz w:val="21"/>
                      <w:szCs w:val="21"/>
                      <w:lang w:val="en-US"/>
                    </w:rPr>
                    <w:t xml:space="preserve"> chop-feniks@mail.ru</w:t>
                  </w:r>
                  <w:r>
                    <w:rPr>
                      <w:bCs/>
                      <w:sz w:val="21"/>
                      <w:szCs w:val="21"/>
                      <w:lang w:val="en-US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  <w:tab w:val="left" w:pos="284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ИНН/КПП 1103036868/110301001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  <w:tab w:val="left" w:pos="284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р/с 40702810628150101013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  <w:tab w:val="left" w:pos="284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к/с № 3010</w:t>
                  </w:r>
                  <w:r>
                    <w:rPr>
                      <w:bCs/>
                      <w:sz w:val="21"/>
                      <w:szCs w:val="21"/>
                    </w:rPr>
                    <w:t xml:space="preserve">1810400000000640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  <w:tab w:val="left" w:pos="284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КОМИ ОТДЕЛЕНИЕ 8617 ПАО Сбербанк,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  <w:tab w:val="left" w:pos="284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г. Сыктывкар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  <w:tab w:val="left" w:pos="284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БИК 048702640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Директор</w:t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</w:r>
                  <w:r>
                    <w:rPr>
                      <w:bCs/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tabs>
                      <w:tab w:val="left" w:pos="0" w:leader="none"/>
                    </w:tabs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___________ </w:t>
                  </w:r>
                  <w:r>
                    <w:rPr>
                      <w:bCs/>
                      <w:sz w:val="21"/>
                      <w:szCs w:val="21"/>
                    </w:rPr>
                    <w:t xml:space="preserve">В. Н.Лободаев</w:t>
                  </w:r>
                  <w:bookmarkStart w:id="0" w:name="_GoBack"/>
                  <w:r/>
                  <w:bookmarkEnd w:id="0"/>
                  <w:r/>
                  <w:r>
                    <w:rPr>
                      <w:bCs/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781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jc w:val="center"/>
                    <w:tabs>
                      <w:tab w:val="left" w:pos="0" w:leader="none"/>
                    </w:tabs>
                    <w:rPr>
                      <w:b w:val="0"/>
                      <w:sz w:val="21"/>
                      <w:szCs w:val="21"/>
                      <w:lang w:val="ru-RU" w:eastAsia="ru-RU"/>
                    </w:rPr>
                  </w:pPr>
                  <w:r>
                    <w:rPr>
                      <w:b w:val="0"/>
                      <w:sz w:val="21"/>
                      <w:szCs w:val="21"/>
                      <w:lang w:val="ru-RU" w:eastAsia="ru-RU"/>
                    </w:rPr>
                    <w:t xml:space="preserve">З</w:t>
                  </w:r>
                  <w:r>
                    <w:rPr>
                      <w:b w:val="0"/>
                      <w:sz w:val="21"/>
                      <w:szCs w:val="21"/>
                      <w:lang w:val="ru-RU" w:eastAsia="ru-RU"/>
                    </w:rPr>
                    <w:t xml:space="preserve">аказчик</w:t>
                  </w:r>
                  <w:r>
                    <w:rPr>
                      <w:b w:val="0"/>
                      <w:sz w:val="21"/>
                      <w:szCs w:val="21"/>
                      <w:lang w:val="ru-RU" w:eastAsia="ru-RU"/>
                    </w:rPr>
                  </w:r>
                </w:p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Печорское управление «Ростехнадзора»</w:t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Юридический адрес: 167000, РК, г. Сыктывкар, ул. Советская д. 67.</w:t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Почтовый адрес: 16</w:t>
                  </w:r>
                  <w:r>
                    <w:rPr>
                      <w:sz w:val="21"/>
                      <w:szCs w:val="21"/>
                    </w:rPr>
                    <w:t xml:space="preserve">7000, РК, г. Сыктывкар, ул. Советская д. 67.</w:t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Фактический адрес: 169906, РК, г. Воркута, ул. Мира д. 3б.</w:t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Телефон: (8212) 20-62-87/20-62-84</w:t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pPr>
                    <w:pStyle w:val="908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ИНН/КПП 1103001093/110101001</w:t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pPr>
                    <w:tabs>
                      <w:tab w:val="left" w:pos="0" w:leader="none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Казначейский счет</w:t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pPr>
                    <w:tabs>
                      <w:tab w:val="left" w:pos="0" w:leader="none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03211643000000013207</w:t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r>
                    <w:rPr>
                      <w:color w:val="0d0d0d"/>
                      <w:sz w:val="21"/>
                      <w:szCs w:val="21"/>
                    </w:rPr>
                    <w:t xml:space="preserve">ЕКС  </w:t>
                  </w:r>
                  <w:r>
                    <w:rPr>
                      <w:bCs/>
                      <w:sz w:val="21"/>
                      <w:szCs w:val="21"/>
                    </w:rPr>
                    <w:t xml:space="preserve">40102810745370000024</w:t>
                  </w:r>
                  <w:r/>
                </w:p>
                <w:p>
                  <w:pPr>
                    <w:rPr>
                      <w:color w:val="0d0d0d"/>
                      <w:sz w:val="22"/>
                      <w:szCs w:val="22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 xml:space="preserve">ОКЦ № 1 ВВГУ БАНКА РОССИ</w:t>
                  </w:r>
                  <w:r>
                    <w:rPr>
                      <w:bCs/>
                      <w:sz w:val="21"/>
                      <w:szCs w:val="21"/>
                    </w:rPr>
                    <w:t xml:space="preserve">И//УФК по Нижегородской области, г. Нижний Новгород</w:t>
                  </w:r>
                  <w:r>
                    <w:rPr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color w:val="0d0d0d"/>
                      <w:sz w:val="22"/>
                      <w:szCs w:val="22"/>
                    </w:rPr>
                  </w:r>
                </w:p>
                <w:p>
                  <w:pPr>
                    <w:rPr>
                      <w:color w:val="0d0d0d"/>
                      <w:sz w:val="22"/>
                      <w:szCs w:val="22"/>
                    </w:rPr>
                  </w:pPr>
                  <w:r>
                    <w:rPr>
                      <w:color w:val="0d0d0d"/>
                      <w:sz w:val="21"/>
                      <w:szCs w:val="21"/>
                    </w:rPr>
                    <w:t xml:space="preserve">Лицевой счет 03071147560</w:t>
                  </w:r>
                  <w:r>
                    <w:rPr>
                      <w:color w:val="0d0d0d"/>
                      <w:sz w:val="22"/>
                      <w:szCs w:val="22"/>
                    </w:rPr>
                  </w:r>
                </w:p>
                <w:p>
                  <w:pPr>
                    <w:rPr>
                      <w:color w:val="0d0d0d"/>
                      <w:sz w:val="22"/>
                      <w:szCs w:val="22"/>
                    </w:rPr>
                  </w:pPr>
                  <w:r>
                    <w:rPr>
                      <w:color w:val="0d0d0d"/>
                      <w:sz w:val="21"/>
                      <w:szCs w:val="21"/>
                    </w:rPr>
                    <w:t xml:space="preserve">БИК 012202102</w:t>
                  </w:r>
                  <w:r>
                    <w:rPr>
                      <w:color w:val="0d0d0d"/>
                      <w:sz w:val="22"/>
                      <w:szCs w:val="22"/>
                    </w:rPr>
                  </w:r>
                </w:p>
                <w:p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color w:val="0d0d0d"/>
                      <w:sz w:val="21"/>
                      <w:szCs w:val="21"/>
                    </w:rPr>
                    <w:t xml:space="preserve">ОКПО: </w:t>
                  </w:r>
                  <w:r>
                    <w:rPr>
                      <w:sz w:val="21"/>
                      <w:szCs w:val="21"/>
                    </w:rPr>
                    <w:t xml:space="preserve">02844216</w:t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1"/>
                      <w:szCs w:val="21"/>
                    </w:rPr>
                    <w:t xml:space="preserve">ОКВЭД: 84.11.12</w:t>
                  </w: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color w:val="0d0d0d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d0d0d"/>
                      <w:sz w:val="21"/>
                      <w:szCs w:val="21"/>
                    </w:rPr>
                    <w:t xml:space="preserve">Тел</w:t>
                  </w:r>
                  <w:r>
                    <w:rPr>
                      <w:color w:val="0d0d0d"/>
                      <w:sz w:val="21"/>
                      <w:szCs w:val="21"/>
                      <w:lang w:val="en-US"/>
                    </w:rPr>
                    <w:t xml:space="preserve">.: 8 (8212)20-62-87/ 20-62-84</w:t>
                  </w:r>
                  <w:r>
                    <w:rPr>
                      <w:color w:val="0d0d0d"/>
                      <w:sz w:val="22"/>
                      <w:szCs w:val="22"/>
                      <w:lang w:val="en-US"/>
                    </w:rPr>
                  </w:r>
                </w:p>
                <w:p>
                  <w:pPr>
                    <w:rPr>
                      <w:color w:val="0d0d0d"/>
                      <w:sz w:val="22"/>
                      <w:szCs w:val="22"/>
                      <w:lang w:val="en-US"/>
                    </w:rPr>
                  </w:pPr>
                  <w:r>
                    <w:rPr>
                      <w:sz w:val="21"/>
                      <w:szCs w:val="21"/>
                      <w:lang w:val="en-US"/>
                    </w:rPr>
                    <w:t xml:space="preserve">E-mail</w:t>
                  </w:r>
                  <w:r>
                    <w:rPr>
                      <w:color w:val="0d0d0d"/>
                      <w:sz w:val="21"/>
                      <w:szCs w:val="21"/>
                      <w:lang w:val="en-US"/>
                    </w:rPr>
                    <w:t xml:space="preserve">: </w:t>
                  </w:r>
                  <w:r>
                    <w:rPr>
                      <w:sz w:val="21"/>
                      <w:szCs w:val="21"/>
                      <w:lang w:val="en-US"/>
                    </w:rPr>
                    <w:t xml:space="preserve">priem</w:t>
                  </w:r>
                  <w:r>
                    <w:rPr>
                      <w:sz w:val="21"/>
                      <w:szCs w:val="21"/>
                      <w:lang w:val="en-US"/>
                    </w:rPr>
                    <w:t xml:space="preserve">@</w:t>
                  </w:r>
                  <w:r>
                    <w:rPr>
                      <w:sz w:val="21"/>
                      <w:szCs w:val="21"/>
                      <w:lang w:val="en-US"/>
                    </w:rPr>
                    <w:t xml:space="preserve">pech</w:t>
                  </w:r>
                  <w:r>
                    <w:rPr>
                      <w:sz w:val="21"/>
                      <w:szCs w:val="21"/>
                      <w:lang w:val="en-US"/>
                    </w:rPr>
                    <w:t xml:space="preserve">.</w:t>
                  </w:r>
                  <w:r>
                    <w:rPr>
                      <w:sz w:val="21"/>
                      <w:szCs w:val="21"/>
                      <w:lang w:val="en-US"/>
                    </w:rPr>
                    <w:t xml:space="preserve">gosnadzor</w:t>
                  </w:r>
                  <w:r>
                    <w:rPr>
                      <w:sz w:val="21"/>
                      <w:szCs w:val="21"/>
                      <w:lang w:val="en-US"/>
                    </w:rPr>
                    <w:t xml:space="preserve">.</w:t>
                  </w:r>
                  <w:r>
                    <w:rPr>
                      <w:sz w:val="21"/>
                      <w:szCs w:val="21"/>
                      <w:lang w:val="en-US"/>
                    </w:rPr>
                    <w:t xml:space="preserve">ru</w:t>
                  </w:r>
                  <w:r>
                    <w:rPr>
                      <w:color w:val="0d0d0d"/>
                      <w:sz w:val="22"/>
                      <w:szCs w:val="22"/>
                      <w:lang w:val="en-US"/>
                    </w:rPr>
                  </w:r>
                </w:p>
                <w:p>
                  <w:pPr>
                    <w:tabs>
                      <w:tab w:val="left" w:pos="0" w:leader="none"/>
                    </w:tabs>
                    <w:rPr>
                      <w:sz w:val="21"/>
                      <w:szCs w:val="21"/>
                      <w:lang w:val="en-US"/>
                    </w:rPr>
                  </w:pPr>
                  <w:r>
                    <w:rPr>
                      <w:sz w:val="21"/>
                      <w:szCs w:val="21"/>
                      <w:lang w:val="en-US"/>
                    </w:rPr>
                  </w:r>
                  <w:r>
                    <w:rPr>
                      <w:sz w:val="21"/>
                      <w:szCs w:val="21"/>
                      <w:lang w:val="en-US"/>
                    </w:rPr>
                  </w:r>
                </w:p>
                <w:p>
                  <w:pPr>
                    <w:tabs>
                      <w:tab w:val="left" w:pos="0" w:leader="none"/>
                    </w:tabs>
                    <w:rPr>
                      <w:sz w:val="21"/>
                      <w:szCs w:val="21"/>
                      <w:lang w:val="en-US"/>
                    </w:rPr>
                  </w:pPr>
                  <w:r>
                    <w:rPr>
                      <w:sz w:val="21"/>
                      <w:szCs w:val="21"/>
                      <w:lang w:val="en-US"/>
                    </w:rPr>
                  </w:r>
                  <w:r>
                    <w:rPr>
                      <w:sz w:val="21"/>
                      <w:szCs w:val="21"/>
                      <w:lang w:val="en-US"/>
                    </w:rPr>
                  </w:r>
                </w:p>
                <w:p>
                  <w:pPr>
                    <w:tabs>
                      <w:tab w:val="left" w:pos="0" w:leader="none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И.о. руководителя </w:t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pPr>
                    <w:tabs>
                      <w:tab w:val="left" w:pos="0" w:leader="none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  <w:p>
                  <w:pPr>
                    <w:tabs>
                      <w:tab w:val="left" w:pos="0" w:leader="none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___________ В.А. Мартынов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908"/>
              <w:jc w:val="left"/>
              <w:tabs>
                <w:tab w:val="left" w:pos="0" w:leader="none"/>
                <w:tab w:val="left" w:pos="213" w:leader="none"/>
                <w:tab w:val="center" w:pos="4781" w:leader="none"/>
              </w:tabs>
              <w:rPr>
                <w:bCs/>
              </w:rPr>
            </w:pPr>
            <w:r>
              <w:rPr>
                <w:bCs/>
                <w:sz w:val="21"/>
                <w:szCs w:val="21"/>
              </w:rPr>
              <w:tab/>
            </w:r>
            <w:r>
              <w:rPr>
                <w:bCs/>
                <w:sz w:val="18"/>
                <w:szCs w:val="18"/>
              </w:rPr>
              <w:t xml:space="preserve">МП</w:t>
            </w:r>
            <w:r>
              <w:rPr>
                <w:bCs/>
              </w:rPr>
              <w:tab/>
            </w:r>
            <w:r>
              <w:rPr>
                <w:bCs/>
                <w:sz w:val="18"/>
                <w:szCs w:val="18"/>
              </w:rPr>
              <w:t xml:space="preserve">         МП</w:t>
            </w:r>
            <w:r>
              <w:rPr>
                <w:bCs/>
              </w:rPr>
            </w:r>
          </w:p>
          <w:p>
            <w:pPr>
              <w:pStyle w:val="908"/>
              <w:jc w:val="center"/>
              <w:tabs>
                <w:tab w:val="left" w:pos="0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4" w:type="dxa"/>
            <w:textDirection w:val="lrTb"/>
            <w:noWrap w:val="false"/>
          </w:tcPr>
          <w:p>
            <w:pPr>
              <w:pStyle w:val="729"/>
              <w:jc w:val="center"/>
              <w:tabs>
                <w:tab w:val="left" w:pos="0" w:leader="none"/>
              </w:tabs>
              <w:rPr>
                <w:b w:val="0"/>
                <w:sz w:val="21"/>
                <w:szCs w:val="21"/>
                <w:lang w:val="ru-RU" w:eastAsia="ru-RU"/>
              </w:rPr>
            </w:pPr>
            <w:r>
              <w:rPr>
                <w:b w:val="0"/>
                <w:sz w:val="21"/>
                <w:szCs w:val="21"/>
                <w:lang w:val="ru-RU" w:eastAsia="ru-RU"/>
              </w:rPr>
            </w:r>
            <w:r>
              <w:rPr>
                <w:b w:val="0"/>
                <w:sz w:val="21"/>
                <w:szCs w:val="21"/>
                <w:lang w:val="ru-RU" w:eastAsia="ru-RU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right"/>
        <w:rPr>
          <w:sz w:val="18"/>
          <w:szCs w:val="18"/>
          <w:highlight w:val="white"/>
        </w:rPr>
      </w:pPr>
      <w:r>
        <w:rPr>
          <w:sz w:val="20"/>
          <w:szCs w:val="20"/>
          <w:highlight w:val="white"/>
        </w:rPr>
        <w:t xml:space="preserve">Приложение № 1 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right"/>
        <w:rPr>
          <w:sz w:val="18"/>
          <w:szCs w:val="18"/>
          <w:highlight w:val="none"/>
        </w:rPr>
      </w:pPr>
      <w:r>
        <w:rPr>
          <w:sz w:val="20"/>
          <w:szCs w:val="20"/>
          <w:highlight w:val="white"/>
        </w:rPr>
        <w:t xml:space="preserve">к Договору № 17 от «___» __________202_г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right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right"/>
        <w:rPr>
          <w:sz w:val="18"/>
          <w:szCs w:val="18"/>
          <w:highlight w:val="whit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Перечень</w:t>
      </w:r>
      <w:r>
        <w:rPr>
          <w:sz w:val="21"/>
          <w:szCs w:val="21"/>
          <w:highlight w:val="white"/>
        </w:rPr>
      </w:r>
      <w:r>
        <w:rPr>
          <w:sz w:val="21"/>
          <w:szCs w:val="21"/>
          <w:highlight w:val="white"/>
        </w:rPr>
      </w:r>
    </w:p>
    <w:p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охраняемых объектов «Печорское управление Федеральной службы по экологическому, </w:t>
      </w:r>
      <w:r>
        <w:rPr>
          <w:sz w:val="21"/>
          <w:szCs w:val="21"/>
          <w:highlight w:val="white"/>
        </w:rPr>
      </w:r>
      <w:r>
        <w:rPr>
          <w:sz w:val="21"/>
          <w:szCs w:val="21"/>
          <w:highlight w:val="white"/>
        </w:rPr>
      </w:r>
    </w:p>
    <w:p>
      <w:pPr>
        <w:jc w:val="center"/>
        <w:rPr>
          <w:sz w:val="21"/>
          <w:szCs w:val="21"/>
          <w:highlight w:val="none"/>
        </w:rPr>
      </w:pPr>
      <w:r>
        <w:rPr>
          <w:sz w:val="21"/>
          <w:szCs w:val="21"/>
          <w:highlight w:val="white"/>
        </w:rPr>
        <w:t xml:space="preserve">технологическому и автономному надзору» и стоимости услуг охраны </w:t>
      </w:r>
      <w:r>
        <w:rPr>
          <w:sz w:val="21"/>
          <w:szCs w:val="21"/>
          <w:highlight w:val="white"/>
        </w:rPr>
      </w:r>
      <w:r>
        <w:rPr>
          <w:sz w:val="21"/>
          <w:szCs w:val="21"/>
          <w:highlight w:val="white"/>
        </w:rPr>
      </w:r>
    </w:p>
    <w:p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none"/>
        </w:rPr>
      </w:r>
      <w:r>
        <w:rPr>
          <w:sz w:val="21"/>
          <w:szCs w:val="21"/>
          <w:highlight w:val="none"/>
        </w:rPr>
      </w:r>
    </w:p>
    <w:tbl>
      <w:tblPr>
        <w:tblW w:w="1077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850"/>
        <w:gridCol w:w="992"/>
        <w:gridCol w:w="1559"/>
        <w:gridCol w:w="1276"/>
        <w:gridCol w:w="1134"/>
        <w:gridCol w:w="1275"/>
      </w:tblGrid>
      <w:tr>
        <w:tblPrEx/>
        <w:trPr>
          <w:trHeight w:val="40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№№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объекта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Адрес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Вид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охраны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Часы охраны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Количество часов в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Тариф за час охраны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(руб.)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Сумма оплаты в месяц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(руб.)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40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рабочие дни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выходные/праздничные дни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74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firstLine="0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Воркутинский территориальный отдел Печорского управления «Ростехнадзора»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Воркута, ул. Мира д. 3Б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ПЦН ОС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17:30 - 08:30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16:30 – 08:30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Без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тарифа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Без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тарифа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4 000,00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4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Воркутинский территориальный отдел Печорского управления «Ростехнадзора»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Воркута, ул. Мира д. 3Б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ПЦН ПС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круглосуточно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круглосуточно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Без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тарифа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Без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тарифа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4 000,00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44"/>
        </w:trPr>
        <w:tc>
          <w:tcPr>
            <w:gridSpan w:val="8"/>
            <w:tcW w:w="9496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Итого в месяц (НДС нет):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8 000,00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44"/>
        </w:trPr>
        <w:tc>
          <w:tcPr>
            <w:gridSpan w:val="8"/>
            <w:tcW w:w="9496" w:type="dxa"/>
            <w:vAlign w:val="center"/>
            <w:textDirection w:val="lrTb"/>
            <w:noWrap w:val="false"/>
          </w:tcPr>
          <w:p>
            <w:pPr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Итого на период действия Договора с 01.01.2027 г. по 31.12.2027 г. (НДС нет)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96 000,00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spacing w:line="360" w:lineRule="auto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</w:r>
      <w:r>
        <w:rPr>
          <w:sz w:val="21"/>
          <w:szCs w:val="21"/>
          <w:highlight w:val="white"/>
        </w:rPr>
      </w:r>
      <w:r>
        <w:rPr>
          <w:sz w:val="21"/>
          <w:szCs w:val="21"/>
          <w:highlight w:val="white"/>
        </w:rPr>
      </w:r>
    </w:p>
    <w:p>
      <w:pPr>
        <w:ind w:left="-709" w:right="0" w:firstLine="0"/>
        <w:spacing w:line="360" w:lineRule="auto"/>
        <w:rPr>
          <w:sz w:val="21"/>
          <w:szCs w:val="21"/>
          <w:highlight w:val="white"/>
        </w:rPr>
      </w:pPr>
      <w:r>
        <w:rPr>
          <w:sz w:val="21"/>
          <w:szCs w:val="21"/>
          <w:highlight w:val="none"/>
        </w:rPr>
        <w:t xml:space="preserve">Срок оказания услуг: </w:t>
      </w:r>
      <w:r>
        <w:rPr>
          <w:sz w:val="21"/>
          <w:szCs w:val="21"/>
          <w:highlight w:val="white"/>
        </w:rPr>
        <w:t xml:space="preserve"> с «01» января 2027 г. по «31» декабря 2027 г.</w:t>
      </w:r>
      <w:r>
        <w:rPr>
          <w:sz w:val="21"/>
          <w:szCs w:val="21"/>
          <w:highlight w:val="white"/>
        </w:rPr>
      </w:r>
      <w:r>
        <w:rPr>
          <w:sz w:val="21"/>
          <w:szCs w:val="21"/>
          <w:highlight w:val="white"/>
        </w:rPr>
      </w:r>
    </w:p>
    <w:p>
      <w:pPr>
        <w:ind w:left="-709" w:right="0" w:firstLine="0"/>
        <w:spacing w:line="360" w:lineRule="auto"/>
        <w:rPr>
          <w:sz w:val="21"/>
          <w:szCs w:val="21"/>
          <w:highlight w:val="none"/>
        </w:rPr>
      </w:pPr>
      <w:r>
        <w:rPr>
          <w:sz w:val="21"/>
          <w:szCs w:val="21"/>
          <w:highlight w:val="white"/>
        </w:rPr>
        <w:t xml:space="preserve">Согласно утвержденным тарифам </w:t>
      </w:r>
      <w:r>
        <w:rPr>
          <w:sz w:val="21"/>
          <w:szCs w:val="21"/>
          <w:highlight w:val="white"/>
        </w:rPr>
        <w:t xml:space="preserve">Печорское управление Федеральной службы по экологическому, технологическому и автономному надзору,</w:t>
      </w:r>
      <w:r>
        <w:rPr>
          <w:b/>
          <w:sz w:val="21"/>
          <w:szCs w:val="21"/>
          <w:highlight w:val="white"/>
        </w:rPr>
        <w:t xml:space="preserve"> </w:t>
      </w:r>
      <w:r>
        <w:rPr>
          <w:sz w:val="21"/>
          <w:szCs w:val="21"/>
          <w:highlight w:val="white"/>
        </w:rPr>
        <w:t xml:space="preserve">обязуется оплачивать ООО ЧОП «Феникс» услуги за охрану объектов, перечисленных в настоящем перечне на расчетный счет в срок не более семи рабочих дней с даты</w:t>
      </w:r>
      <w:r>
        <w:rPr>
          <w:sz w:val="21"/>
          <w:szCs w:val="21"/>
          <w:highlight w:val="white"/>
        </w:rPr>
        <w:t xml:space="preserve"> подписания Заказчиком акта оказанных услуг месяца, следующего за расчетным  – Восемь тысяч рублей 00 копеек.</w:t>
      </w:r>
      <w:r>
        <w:rPr>
          <w:sz w:val="21"/>
          <w:szCs w:val="21"/>
          <w:highlight w:val="white"/>
        </w:rPr>
      </w:r>
      <w:r>
        <w:rPr>
          <w:sz w:val="21"/>
          <w:szCs w:val="21"/>
          <w:highlight w:val="white"/>
        </w:rPr>
      </w: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  <w:highlight w:val="white"/>
        </w:rPr>
      </w:r>
    </w:p>
    <w:p>
      <w:pPr>
        <w:ind w:left="-709" w:right="0" w:firstLine="0"/>
        <w:spacing w:line="360" w:lineRule="auto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</w:r>
      <w:r>
        <w:rPr>
          <w:sz w:val="21"/>
          <w:szCs w:val="21"/>
          <w:highlight w:val="white"/>
        </w:rPr>
      </w:r>
    </w:p>
    <w:tbl>
      <w:tblPr>
        <w:tblW w:w="107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28"/>
        <w:gridCol w:w="5244"/>
      </w:tblGrid>
      <w:tr>
        <w:tblPrEx/>
        <w:trPr>
          <w:trHeight w:val="18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8" w:type="dxa"/>
            <w:textDirection w:val="lrTb"/>
            <w:noWrap w:val="false"/>
          </w:tcPr>
          <w:p>
            <w:pPr>
              <w:pStyle w:val="908"/>
              <w:jc w:val="center"/>
              <w:spacing w:after="0"/>
              <w:tabs>
                <w:tab w:val="left" w:pos="0" w:leader="none"/>
              </w:tabs>
              <w:rPr>
                <w:bCs/>
                <w:sz w:val="21"/>
                <w:szCs w:val="21"/>
                <w:lang w:val="ru-RU" w:eastAsia="ru-RU"/>
              </w:rPr>
            </w:pPr>
            <w:r>
              <w:rPr>
                <w:bCs/>
                <w:sz w:val="21"/>
                <w:szCs w:val="21"/>
                <w:lang w:val="ru-RU" w:eastAsia="ru-RU"/>
              </w:rPr>
              <w:t xml:space="preserve">Исполнитель</w:t>
            </w:r>
            <w:r>
              <w:rPr>
                <w:bCs/>
                <w:sz w:val="21"/>
                <w:szCs w:val="21"/>
                <w:lang w:val="ru-RU" w:eastAsia="ru-RU"/>
              </w:rPr>
            </w:r>
            <w:r>
              <w:rPr>
                <w:bCs/>
                <w:sz w:val="21"/>
                <w:szCs w:val="21"/>
                <w:lang w:val="ru-RU" w:eastAsia="ru-RU"/>
              </w:rPr>
            </w:r>
          </w:p>
          <w:p>
            <w:pPr>
              <w:pStyle w:val="908"/>
              <w:jc w:val="center"/>
              <w:spacing w:after="0"/>
              <w:tabs>
                <w:tab w:val="left" w:pos="0" w:leader="none"/>
              </w:tabs>
              <w:rPr>
                <w:bCs/>
                <w:sz w:val="21"/>
                <w:szCs w:val="21"/>
                <w:lang w:val="ru-RU" w:eastAsia="ru-RU"/>
              </w:rPr>
            </w:pPr>
            <w:r>
              <w:rPr>
                <w:bCs/>
                <w:sz w:val="21"/>
                <w:szCs w:val="21"/>
                <w:lang w:val="ru-RU" w:eastAsia="ru-RU"/>
              </w:rPr>
              <w:t xml:space="preserve">ООО «ЧОП «Феникс»</w:t>
            </w:r>
            <w:r>
              <w:rPr>
                <w:bCs/>
                <w:sz w:val="21"/>
                <w:szCs w:val="21"/>
                <w:lang w:val="ru-RU" w:eastAsia="ru-RU"/>
              </w:rPr>
            </w:r>
            <w:r>
              <w:rPr>
                <w:bCs/>
                <w:sz w:val="21"/>
                <w:szCs w:val="21"/>
                <w:lang w:val="ru-RU" w:eastAsia="ru-RU"/>
              </w:rPr>
            </w:r>
          </w:p>
          <w:p>
            <w:pPr>
              <w:pStyle w:val="908"/>
              <w:spacing w:after="0"/>
              <w:tabs>
                <w:tab w:val="left" w:pos="0" w:leader="none"/>
              </w:tabs>
              <w:rPr>
                <w:bCs/>
                <w:sz w:val="21"/>
                <w:szCs w:val="21"/>
                <w:lang w:val="ru-RU" w:eastAsia="ru-RU"/>
              </w:rPr>
            </w:pPr>
            <w:r>
              <w:rPr>
                <w:bCs/>
                <w:sz w:val="21"/>
                <w:szCs w:val="21"/>
                <w:lang w:val="ru-RU" w:eastAsia="ru-RU"/>
              </w:rPr>
            </w:r>
            <w:r>
              <w:rPr>
                <w:bCs/>
                <w:sz w:val="21"/>
                <w:szCs w:val="21"/>
                <w:lang w:val="ru-RU" w:eastAsia="ru-RU"/>
              </w:rPr>
            </w:r>
            <w:r>
              <w:rPr>
                <w:bCs/>
                <w:sz w:val="21"/>
                <w:szCs w:val="21"/>
                <w:lang w:val="ru-RU" w:eastAsia="ru-RU"/>
              </w:rPr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</w:p>
          <w:p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 Директор ___________ </w:t>
            </w:r>
            <w:r>
              <w:rPr>
                <w:bCs/>
                <w:sz w:val="21"/>
                <w:szCs w:val="21"/>
              </w:rPr>
              <w:t xml:space="preserve">В. Н. Лободаев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textDirection w:val="lrTb"/>
            <w:noWrap w:val="false"/>
          </w:tcPr>
          <w:p>
            <w:pPr>
              <w:pStyle w:val="729"/>
              <w:jc w:val="center"/>
              <w:spacing w:before="0" w:after="0"/>
              <w:tabs>
                <w:tab w:val="left" w:pos="0" w:leader="none"/>
                <w:tab w:val="left" w:pos="1260" w:leader="none"/>
                <w:tab w:val="center" w:pos="2302" w:leader="none"/>
              </w:tabs>
              <w:rPr>
                <w:rFonts w:ascii="Times New Roman" w:hAnsi="Times New Roman"/>
                <w:b w:val="0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  <w:lang w:val="ru-RU" w:eastAsia="ru-RU"/>
              </w:rPr>
              <w:t xml:space="preserve">Заказчик</w:t>
            </w:r>
            <w:r>
              <w:rPr>
                <w:rFonts w:ascii="Times New Roman" w:hAnsi="Times New Roman"/>
                <w:b w:val="0"/>
                <w:sz w:val="21"/>
                <w:szCs w:val="21"/>
                <w:lang w:val="ru-RU" w:eastAsia="ru-RU"/>
              </w:rPr>
            </w:r>
            <w:r>
              <w:rPr>
                <w:rFonts w:ascii="Times New Roman" w:hAnsi="Times New Roman"/>
                <w:b w:val="0"/>
                <w:sz w:val="21"/>
                <w:szCs w:val="21"/>
                <w:lang w:val="ru-RU" w:eastAsia="ru-RU"/>
              </w:rPr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Печорское управление «Ростехнадзора»</w: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</w: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</w:p>
          <w:p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И.о. руководителя ___</w:t>
            </w:r>
            <w:r>
              <w:rPr>
                <w:sz w:val="21"/>
                <w:szCs w:val="21"/>
              </w:rPr>
              <w:t xml:space="preserve">________ В.А. Мартынов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ind w:left="-709" w:right="0" w:firstLine="0"/>
        <w:spacing w:line="360" w:lineRule="auto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</w:r>
      <w:r>
        <w:rPr>
          <w:sz w:val="21"/>
          <w:szCs w:val="21"/>
          <w:highlight w:val="white"/>
        </w:rPr>
      </w:r>
    </w:p>
    <w:p>
      <w:pPr>
        <w:ind w:left="-709" w:right="0" w:firstLine="0"/>
        <w:spacing w:line="360" w:lineRule="auto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</w:r>
      <w:r>
        <w:rPr>
          <w:sz w:val="21"/>
          <w:szCs w:val="21"/>
          <w:highlight w:val="white"/>
        </w:rPr>
      </w:r>
    </w:p>
    <w:p>
      <w:pPr>
        <w:ind w:left="-709" w:right="0" w:firstLine="0"/>
        <w:spacing w:line="360" w:lineRule="auto"/>
        <w:rPr>
          <w:sz w:val="21"/>
          <w:szCs w:val="21"/>
          <w:highlight w:val="white"/>
        </w:rPr>
      </w:pPr>
      <w:r>
        <w:rPr>
          <w:sz w:val="21"/>
          <w:szCs w:val="21"/>
          <w:highlight w:val="none"/>
        </w:rPr>
      </w:r>
      <w:r>
        <w:rPr>
          <w:sz w:val="21"/>
          <w:szCs w:val="21"/>
          <w:highlight w:val="none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firstLine="709"/>
        <w:jc w:val="right"/>
        <w:rPr>
          <w:sz w:val="16"/>
          <w:szCs w:val="16"/>
        </w:rPr>
      </w:pPr>
      <w:r>
        <w:rPr>
          <w:sz w:val="20"/>
          <w:szCs w:val="20"/>
        </w:rPr>
        <w:t xml:space="preserve">Приложение № 2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Договору № 17 от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MERGEFIELD "Дата_договора"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«___» _______ 202_г.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firstLine="709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Инструкция по эксплуатации ТСО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center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Настоящая инструкция определяет порядок пользования техническими средствами охраны (далее по тексту ТСО) и порядок приема-сдачи объекта под охрану и снятия объекта с охраны с помощью ТСО.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 Заказчик сдает под охрану и снимает с охраны ТСО в строгом соответствии с периодом времени охраны, указанном в договоре на охрану, заключенном с ООО ЧОП «Феникс» (далее по тексту Исполнитель).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 Пользоваться ТСО, производить сдачу объекта под охрану и снятие о</w:t>
      </w:r>
      <w:r>
        <w:rPr>
          <w:sz w:val="21"/>
          <w:szCs w:val="21"/>
        </w:rPr>
        <w:t xml:space="preserve">бъекта с охраны имеют право только лица, указанные в списке лиц, уполномоченных на сдачу под охрану и снятие с охраны объектов. Экземпляр этого списка передается Исполнителю. Ответственность за правильность эксплуатации ТСО другими лицами, несет Заказчик. 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 Перед сдачей Объекта под охрану Заказчик обязан: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3.1. Проверять, чтобы в охраняемом помещении на период охраны не остались посторонние лица, включенные электроприборы, либо источники огня.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3.2. Закрывать все двери, окна, люки и т.д.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3.3. Проверить исправность телефонной связи и сети электропитания, к которым подключена сигнализация.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3.4. Не завешивать, не перекрывать чем-</w:t>
      </w:r>
      <w:r>
        <w:rPr>
          <w:sz w:val="21"/>
          <w:szCs w:val="21"/>
        </w:rPr>
        <w:t xml:space="preserve">либо, не производить изменения в охраняемых помещениях без консультаций с фирмой обслуживающей технические средства охраны, не производить других действий в отношении приборов ТСО, в результате которых, эти действия могли повлиять на работоспособность ТСО.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3.5. Ставить в известность Исполнителя о производимых изменениях строительных конструкций, планировок охраняемых помещений, изменении обстановки помещения (перестановка мебели, перепланировки и т.п.).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3.6. В случае неисправностей ТСО немедленно уведомить об этом Исполнителя и организацию по обслуживанию ТСО и не покидать объект до устранения неисправностей. Не производить самостоятельно замену </w:t>
      </w:r>
      <w:r>
        <w:rPr>
          <w:sz w:val="21"/>
          <w:szCs w:val="21"/>
        </w:rPr>
        <w:t xml:space="preserve">или ремонт ТСО, не вносить изменений в схему блокировки объекта. Ремонт и обслуживание средств сигнализации, изменение схемы блокировки объекта производится только квалифицированными специалистами, имеющими право на осуществлении данного вида деятельности.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3.7. Осуществлять охрану объекта своими силами в случае невозможности принятия объекта под охрану по независящим от Исполнителя причинам, которые возникли в неохраняемое время и не были устранены Заказчиком до сдачи объекта под охрану.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3.8. Не разглашать посторонним лицам систему и правила пользования ТСО, порядок их включения и выключения.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3.9. Заказчик обязан содержать в надлежащем состоянии с</w:t>
      </w:r>
      <w:r>
        <w:rPr>
          <w:sz w:val="21"/>
          <w:szCs w:val="21"/>
        </w:rPr>
        <w:t xml:space="preserve">редства сигнализации, установленные на объектах, осуществлять проверку их работоспособности перед каждой сдачей их под охрану на ПЦН. Обо всех выявленных недостатках незамедлительно сообщать организации, обслуживающей технические средства охраны Заказчика.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3.10.  Инструкция должна храниться в недоступном для посторонних лиц месте.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3.11.  Исполнитель не несет ответственности за причиненный ущерб в случаях невыполнения Заказчиком данной инструкции.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3.12.  Настоящая инструкция составлена в 2-х экземплярах, по одному для каждой из «Сторон» и являются неотъемлемой частью Договора.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ind w:firstLine="709"/>
        <w:rPr>
          <w:b/>
          <w:sz w:val="21"/>
          <w:szCs w:val="21"/>
        </w:rPr>
      </w:pPr>
      <w:r>
        <w:rPr>
          <w:sz w:val="21"/>
          <w:szCs w:val="21"/>
        </w:rPr>
        <w:t xml:space="preserve">Пультовый номер объекта: </w:t>
      </w:r>
      <w:r>
        <w:rPr>
          <w:b/>
          <w:sz w:val="22"/>
          <w:szCs w:val="22"/>
          <w:u w:val="single"/>
        </w:rPr>
        <w:t xml:space="preserve">33</w:t>
      </w: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5068"/>
        <w:gridCol w:w="5102"/>
      </w:tblGrid>
      <w:tr>
        <w:tblPrEx/>
        <w:trPr>
          <w:trHeight w:val="18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textDirection w:val="lrTb"/>
            <w:noWrap w:val="false"/>
          </w:tcPr>
          <w:p>
            <w:pPr>
              <w:pStyle w:val="908"/>
              <w:jc w:val="center"/>
              <w:spacing w:after="0"/>
              <w:tabs>
                <w:tab w:val="left" w:pos="0" w:leader="none"/>
              </w:tabs>
              <w:rPr>
                <w:bCs/>
                <w:sz w:val="21"/>
                <w:szCs w:val="21"/>
                <w:lang w:val="ru-RU" w:eastAsia="ru-RU"/>
              </w:rPr>
            </w:pPr>
            <w:r>
              <w:rPr>
                <w:bCs/>
                <w:sz w:val="21"/>
                <w:szCs w:val="21"/>
                <w:lang w:val="ru-RU" w:eastAsia="ru-RU"/>
              </w:rPr>
              <w:t xml:space="preserve">Исполнитель</w:t>
            </w:r>
            <w:r>
              <w:rPr>
                <w:bCs/>
                <w:sz w:val="21"/>
                <w:szCs w:val="21"/>
                <w:lang w:val="ru-RU" w:eastAsia="ru-RU"/>
              </w:rPr>
            </w:r>
            <w:r>
              <w:rPr>
                <w:bCs/>
                <w:sz w:val="21"/>
                <w:szCs w:val="21"/>
                <w:lang w:val="ru-RU" w:eastAsia="ru-RU"/>
              </w:rPr>
            </w:r>
          </w:p>
          <w:p>
            <w:pPr>
              <w:pStyle w:val="908"/>
              <w:jc w:val="center"/>
              <w:spacing w:after="0"/>
              <w:tabs>
                <w:tab w:val="left" w:pos="0" w:leader="none"/>
              </w:tabs>
              <w:rPr>
                <w:bCs/>
                <w:sz w:val="21"/>
                <w:szCs w:val="21"/>
                <w:lang w:val="ru-RU" w:eastAsia="ru-RU"/>
              </w:rPr>
            </w:pPr>
            <w:r>
              <w:rPr>
                <w:bCs/>
                <w:sz w:val="21"/>
                <w:szCs w:val="21"/>
                <w:lang w:val="ru-RU" w:eastAsia="ru-RU"/>
              </w:rPr>
              <w:t xml:space="preserve">ООО «ЧОП «Феникс»</w:t>
            </w:r>
            <w:r>
              <w:rPr>
                <w:bCs/>
                <w:sz w:val="21"/>
                <w:szCs w:val="21"/>
                <w:lang w:val="ru-RU" w:eastAsia="ru-RU"/>
              </w:rPr>
            </w:r>
            <w:r>
              <w:rPr>
                <w:bCs/>
                <w:sz w:val="21"/>
                <w:szCs w:val="21"/>
                <w:lang w:val="ru-RU" w:eastAsia="ru-RU"/>
              </w:rPr>
            </w:r>
          </w:p>
          <w:p>
            <w:pPr>
              <w:pStyle w:val="908"/>
              <w:spacing w:after="0"/>
              <w:tabs>
                <w:tab w:val="left" w:pos="0" w:leader="none"/>
              </w:tabs>
              <w:rPr>
                <w:bCs/>
                <w:sz w:val="21"/>
                <w:szCs w:val="21"/>
                <w:lang w:val="ru-RU" w:eastAsia="ru-RU"/>
              </w:rPr>
            </w:pPr>
            <w:r>
              <w:rPr>
                <w:bCs/>
                <w:sz w:val="21"/>
                <w:szCs w:val="21"/>
                <w:lang w:val="ru-RU" w:eastAsia="ru-RU"/>
              </w:rPr>
            </w:r>
            <w:r>
              <w:rPr>
                <w:bCs/>
                <w:sz w:val="21"/>
                <w:szCs w:val="21"/>
                <w:lang w:val="ru-RU" w:eastAsia="ru-RU"/>
              </w:rPr>
            </w:r>
            <w:r>
              <w:rPr>
                <w:bCs/>
                <w:sz w:val="21"/>
                <w:szCs w:val="21"/>
                <w:lang w:val="ru-RU" w:eastAsia="ru-RU"/>
              </w:rPr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</w:p>
          <w:p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Директор ___________ </w:t>
            </w:r>
            <w:r>
              <w:rPr>
                <w:bCs/>
                <w:sz w:val="21"/>
                <w:szCs w:val="21"/>
              </w:rPr>
              <w:t xml:space="preserve">В. Н. Лободаев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textDirection w:val="lrTb"/>
            <w:noWrap w:val="false"/>
          </w:tcPr>
          <w:p>
            <w:pPr>
              <w:pStyle w:val="729"/>
              <w:jc w:val="center"/>
              <w:spacing w:before="0" w:after="0"/>
              <w:tabs>
                <w:tab w:val="left" w:pos="0" w:leader="none"/>
                <w:tab w:val="left" w:pos="1260" w:leader="none"/>
                <w:tab w:val="center" w:pos="2302" w:leader="none"/>
              </w:tabs>
              <w:rPr>
                <w:rFonts w:ascii="Times New Roman" w:hAnsi="Times New Roman"/>
                <w:b w:val="0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  <w:lang w:val="ru-RU" w:eastAsia="ru-RU"/>
              </w:rPr>
              <w:t xml:space="preserve">Заказчик</w:t>
            </w:r>
            <w:r>
              <w:rPr>
                <w:rFonts w:ascii="Times New Roman" w:hAnsi="Times New Roman"/>
                <w:b w:val="0"/>
                <w:sz w:val="21"/>
                <w:szCs w:val="21"/>
                <w:lang w:val="ru-RU" w:eastAsia="ru-RU"/>
              </w:rPr>
            </w:r>
            <w:r>
              <w:rPr>
                <w:rFonts w:ascii="Times New Roman" w:hAnsi="Times New Roman"/>
                <w:b w:val="0"/>
                <w:sz w:val="21"/>
                <w:szCs w:val="21"/>
                <w:lang w:val="ru-RU" w:eastAsia="ru-RU"/>
              </w:rPr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Печорское управление «Ростехнадзора»</w: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</w: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</w:p>
          <w:p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И.о. руководителя ___</w:t>
            </w:r>
            <w:r>
              <w:rPr>
                <w:sz w:val="21"/>
                <w:szCs w:val="21"/>
              </w:rPr>
              <w:t xml:space="preserve">________ В.А. Мартынов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ind w:firstLine="709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r>
        <w:rPr>
          <w:rFonts w:ascii="Bookman Old Style" w:hAnsi="Bookman Old Style"/>
          <w:sz w:val="20"/>
          <w:szCs w:val="20"/>
        </w:rPr>
        <w:t xml:space="preserve">                                                            </w:t>
      </w:r>
      <w:r/>
      <w:r>
        <w:rPr>
          <w:rFonts w:ascii="Bookman Old Style" w:hAnsi="Bookman Old Style"/>
          <w:sz w:val="20"/>
          <w:szCs w:val="20"/>
        </w:rPr>
      </w:r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454" w:bottom="284" w:left="1418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Bookman Old Style">
    <w:panose1 w:val="020606030506050202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rPr>
        <w:rStyle w:val="914"/>
        <w:rFonts w:ascii="Bookman Old Style" w:hAnsi="Bookman Old Style"/>
        <w:sz w:val="18"/>
        <w:szCs w:val="18"/>
      </w:rPr>
      <w:framePr w:wrap="around" w:vAnchor="text" w:hAnchor="margin" w:xAlign="center" w:y="1"/>
    </w:pPr>
    <w:r>
      <w:rPr>
        <w:rStyle w:val="914"/>
        <w:rFonts w:ascii="Bookman Old Style" w:hAnsi="Bookman Old Style"/>
        <w:sz w:val="18"/>
        <w:szCs w:val="18"/>
      </w:rPr>
      <w:fldChar w:fldCharType="begin"/>
    </w:r>
    <w:r>
      <w:rPr>
        <w:rStyle w:val="914"/>
        <w:rFonts w:ascii="Bookman Old Style" w:hAnsi="Bookman Old Style"/>
        <w:sz w:val="18"/>
        <w:szCs w:val="18"/>
      </w:rPr>
      <w:instrText xml:space="preserve">PAGE  </w:instrText>
    </w:r>
    <w:r>
      <w:rPr>
        <w:rStyle w:val="914"/>
        <w:rFonts w:ascii="Bookman Old Style" w:hAnsi="Bookman Old Style"/>
        <w:sz w:val="18"/>
        <w:szCs w:val="18"/>
      </w:rPr>
      <w:fldChar w:fldCharType="separate"/>
    </w:r>
    <w:r>
      <w:rPr>
        <w:rStyle w:val="914"/>
        <w:rFonts w:ascii="Bookman Old Style" w:hAnsi="Bookman Old Style"/>
        <w:sz w:val="18"/>
        <w:szCs w:val="18"/>
      </w:rPr>
      <w:t xml:space="preserve">4</w:t>
    </w:r>
    <w:r>
      <w:rPr>
        <w:rStyle w:val="914"/>
        <w:rFonts w:ascii="Bookman Old Style" w:hAnsi="Bookman Old Style"/>
        <w:sz w:val="18"/>
        <w:szCs w:val="18"/>
      </w:rPr>
      <w:fldChar w:fldCharType="end"/>
    </w:r>
    <w:r>
      <w:rPr>
        <w:rStyle w:val="914"/>
        <w:rFonts w:ascii="Bookman Old Style" w:hAnsi="Bookman Old Style"/>
        <w:sz w:val="18"/>
        <w:szCs w:val="18"/>
      </w:rPr>
    </w:r>
  </w:p>
  <w:p>
    <w:pPr>
      <w:pStyle w:val="7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end"/>
    </w:r>
    <w:r>
      <w:rPr>
        <w:rStyle w:val="914"/>
      </w:rPr>
    </w:r>
  </w:p>
  <w:p>
    <w:pPr>
      <w:pStyle w:val="7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435" w:hanging="435"/>
        <w:tabs>
          <w:tab w:val="num" w:pos="435" w:leader="none"/>
        </w:tabs>
      </w:pPr>
      <w:rPr>
        <w:sz w:val="22"/>
      </w:rPr>
    </w:lvl>
    <w:lvl w:ilvl="1">
      <w:start w:val="6"/>
      <w:numFmt w:val="decimal"/>
      <w:isLgl w:val="false"/>
      <w:suff w:val="tab"/>
      <w:lvlText w:val="%1.%2"/>
      <w:lvlJc w:val="left"/>
      <w:pPr>
        <w:ind w:left="435" w:hanging="435"/>
        <w:tabs>
          <w:tab w:val="num" w:pos="435" w:leader="none"/>
        </w:tabs>
      </w:pPr>
      <w:rPr>
        <w:sz w:val="22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sz w:val="22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sz w:val="22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  <w:tabs>
          <w:tab w:val="num" w:pos="720" w:leader="none"/>
        </w:tabs>
      </w:pPr>
      <w:rPr>
        <w:sz w:val="22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sz w:val="22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  <w:tabs>
          <w:tab w:val="num" w:pos="1080" w:leader="none"/>
        </w:tabs>
      </w:pPr>
      <w:rPr>
        <w:sz w:val="22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sz w:val="22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sz w:val="22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  <w:tabs>
          <w:tab w:val="num" w:pos="72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0" w:hanging="360"/>
        <w:tabs>
          <w:tab w:val="num" w:pos="7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390" w:hanging="390"/>
        <w:tabs>
          <w:tab w:val="num" w:pos="39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  <w:tabs>
          <w:tab w:val="num" w:pos="128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576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3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  <w:tabs>
          <w:tab w:val="num" w:pos="72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334" w:hanging="108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112" w:hanging="144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17"/>
  </w:num>
  <w:num w:numId="9">
    <w:abstractNumId w:val="5"/>
  </w:num>
  <w:num w:numId="10">
    <w:abstractNumId w:val="4"/>
  </w:num>
  <w:num w:numId="11">
    <w:abstractNumId w:val="16"/>
  </w:num>
  <w:num w:numId="12">
    <w:abstractNumId w:val="14"/>
  </w:num>
  <w:num w:numId="13">
    <w:abstractNumId w:val="9"/>
  </w:num>
  <w:num w:numId="14">
    <w:abstractNumId w:val="7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5"/>
    <w:link w:val="72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22">
    <w:name w:val="Heading 5 Char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35"/>
    <w:link w:val="749"/>
    <w:uiPriority w:val="10"/>
    <w:rPr>
      <w:sz w:val="48"/>
      <w:szCs w:val="48"/>
    </w:rPr>
  </w:style>
  <w:style w:type="character" w:styleId="37">
    <w:name w:val="Subtitle Char"/>
    <w:basedOn w:val="735"/>
    <w:link w:val="751"/>
    <w:uiPriority w:val="11"/>
    <w:rPr>
      <w:sz w:val="24"/>
      <w:szCs w:val="24"/>
    </w:rPr>
  </w:style>
  <w:style w:type="character" w:styleId="39">
    <w:name w:val="Quote Char"/>
    <w:link w:val="753"/>
    <w:uiPriority w:val="29"/>
    <w:rPr>
      <w:i/>
    </w:rPr>
  </w:style>
  <w:style w:type="character" w:styleId="41">
    <w:name w:val="Intense Quote Char"/>
    <w:link w:val="755"/>
    <w:uiPriority w:val="30"/>
    <w:rPr>
      <w:i/>
    </w:rPr>
  </w:style>
  <w:style w:type="character" w:styleId="43">
    <w:name w:val="Header Char"/>
    <w:basedOn w:val="735"/>
    <w:link w:val="757"/>
    <w:uiPriority w:val="99"/>
  </w:style>
  <w:style w:type="character" w:styleId="47">
    <w:name w:val="Caption Char"/>
    <w:basedOn w:val="761"/>
    <w:link w:val="759"/>
    <w:uiPriority w:val="99"/>
  </w:style>
  <w:style w:type="character" w:styleId="176">
    <w:name w:val="Footnote Text Char"/>
    <w:link w:val="890"/>
    <w:uiPriority w:val="99"/>
    <w:rPr>
      <w:sz w:val="18"/>
    </w:rPr>
  </w:style>
  <w:style w:type="character" w:styleId="179">
    <w:name w:val="Endnote Text Char"/>
    <w:link w:val="893"/>
    <w:uiPriority w:val="99"/>
    <w:rPr>
      <w:sz w:val="20"/>
    </w:rPr>
  </w:style>
  <w:style w:type="paragraph" w:styleId="725" w:default="1">
    <w:name w:val="Normal"/>
    <w:qFormat/>
  </w:style>
  <w:style w:type="paragraph" w:styleId="726">
    <w:name w:val="Heading 1"/>
    <w:basedOn w:val="725"/>
    <w:next w:val="725"/>
    <w:link w:val="738"/>
    <w:qFormat/>
    <w:pPr>
      <w:keepNext/>
      <w:outlineLvl w:val="0"/>
    </w:pPr>
    <w:rPr>
      <w:b/>
      <w:bCs/>
      <w:sz w:val="24"/>
    </w:rPr>
  </w:style>
  <w:style w:type="paragraph" w:styleId="727">
    <w:name w:val="Heading 2"/>
    <w:basedOn w:val="725"/>
    <w:next w:val="725"/>
    <w:link w:val="739"/>
    <w:qFormat/>
    <w:pPr>
      <w:keepNext/>
      <w:outlineLvl w:val="1"/>
    </w:pPr>
    <w:rPr>
      <w:b/>
      <w:bCs/>
    </w:rPr>
  </w:style>
  <w:style w:type="paragraph" w:styleId="728">
    <w:name w:val="Heading 3"/>
    <w:basedOn w:val="725"/>
    <w:next w:val="725"/>
    <w:link w:val="740"/>
    <w:qFormat/>
    <w:pPr>
      <w:jc w:val="center"/>
      <w:keepNext/>
      <w:outlineLvl w:val="2"/>
    </w:pPr>
    <w:rPr>
      <w:b/>
      <w:bCs/>
    </w:rPr>
  </w:style>
  <w:style w:type="paragraph" w:styleId="729">
    <w:name w:val="Heading 4"/>
    <w:basedOn w:val="725"/>
    <w:next w:val="725"/>
    <w:link w:val="916"/>
    <w:qFormat/>
    <w:pPr>
      <w:keepNext/>
      <w:outlineLvl w:val="3"/>
    </w:pPr>
    <w:rPr>
      <w:b/>
      <w:bCs/>
      <w:sz w:val="22"/>
      <w:lang w:val="en-US" w:eastAsia="en-US"/>
    </w:rPr>
  </w:style>
  <w:style w:type="paragraph" w:styleId="730">
    <w:name w:val="Heading 5"/>
    <w:basedOn w:val="725"/>
    <w:next w:val="725"/>
    <w:link w:val="742"/>
    <w:qFormat/>
    <w:pPr>
      <w:jc w:val="center"/>
      <w:keepNext/>
      <w:outlineLvl w:val="4"/>
    </w:pPr>
    <w:rPr>
      <w:b/>
      <w:bCs/>
      <w:sz w:val="24"/>
    </w:rPr>
  </w:style>
  <w:style w:type="paragraph" w:styleId="731">
    <w:name w:val="Heading 6"/>
    <w:basedOn w:val="725"/>
    <w:next w:val="725"/>
    <w:link w:val="743"/>
    <w:qFormat/>
    <w:pPr>
      <w:jc w:val="center"/>
      <w:keepNext/>
      <w:outlineLvl w:val="5"/>
    </w:pPr>
    <w:rPr>
      <w:b/>
      <w:bCs/>
      <w:sz w:val="22"/>
    </w:rPr>
  </w:style>
  <w:style w:type="paragraph" w:styleId="732">
    <w:name w:val="Heading 7"/>
    <w:basedOn w:val="725"/>
    <w:next w:val="725"/>
    <w:link w:val="744"/>
    <w:qFormat/>
    <w:pPr>
      <w:jc w:val="right"/>
      <w:keepNext/>
      <w:outlineLvl w:val="6"/>
    </w:pPr>
    <w:rPr>
      <w:b/>
      <w:bCs/>
      <w:sz w:val="22"/>
    </w:rPr>
  </w:style>
  <w:style w:type="paragraph" w:styleId="733">
    <w:name w:val="Heading 8"/>
    <w:basedOn w:val="725"/>
    <w:next w:val="725"/>
    <w:link w:val="745"/>
    <w:qFormat/>
    <w:pPr>
      <w:jc w:val="right"/>
      <w:keepNext/>
      <w:outlineLvl w:val="7"/>
    </w:pPr>
    <w:rPr>
      <w:b/>
      <w:bCs/>
      <w:sz w:val="24"/>
    </w:rPr>
  </w:style>
  <w:style w:type="paragraph" w:styleId="734">
    <w:name w:val="Heading 9"/>
    <w:basedOn w:val="725"/>
    <w:next w:val="725"/>
    <w:link w:val="746"/>
    <w:qFormat/>
    <w:pPr>
      <w:jc w:val="right"/>
      <w:keepNext/>
      <w:outlineLvl w:val="8"/>
    </w:pPr>
    <w:rPr>
      <w:b/>
      <w:bCs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Заголовок 1 Знак"/>
    <w:link w:val="726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link w:val="727"/>
    <w:uiPriority w:val="9"/>
    <w:rPr>
      <w:rFonts w:ascii="Arial" w:hAnsi="Arial" w:eastAsia="Arial" w:cs="Arial"/>
      <w:sz w:val="34"/>
    </w:rPr>
  </w:style>
  <w:style w:type="character" w:styleId="740" w:customStyle="1">
    <w:name w:val="Заголовок 3 Знак"/>
    <w:link w:val="728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725"/>
    <w:uiPriority w:val="34"/>
    <w:qFormat/>
    <w:pPr>
      <w:contextualSpacing/>
      <w:ind w:left="720"/>
    </w:pPr>
  </w:style>
  <w:style w:type="paragraph" w:styleId="748">
    <w:name w:val="No Spacing"/>
    <w:uiPriority w:val="1"/>
    <w:qFormat/>
    <w:rPr>
      <w:lang w:eastAsia="zh-CN"/>
    </w:rPr>
  </w:style>
  <w:style w:type="paragraph" w:styleId="749">
    <w:name w:val="Title"/>
    <w:basedOn w:val="725"/>
    <w:next w:val="725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Заголовок Знак"/>
    <w:link w:val="749"/>
    <w:uiPriority w:val="10"/>
    <w:rPr>
      <w:sz w:val="48"/>
      <w:szCs w:val="48"/>
    </w:rPr>
  </w:style>
  <w:style w:type="paragraph" w:styleId="751">
    <w:name w:val="Subtitle"/>
    <w:basedOn w:val="725"/>
    <w:next w:val="725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link w:val="751"/>
    <w:uiPriority w:val="11"/>
    <w:rPr>
      <w:sz w:val="24"/>
      <w:szCs w:val="24"/>
    </w:rPr>
  </w:style>
  <w:style w:type="paragraph" w:styleId="753">
    <w:name w:val="Quote"/>
    <w:basedOn w:val="725"/>
    <w:next w:val="725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5"/>
    <w:next w:val="725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25"/>
    <w:link w:val="758"/>
    <w:pPr>
      <w:tabs>
        <w:tab w:val="center" w:pos="4677" w:leader="none"/>
        <w:tab w:val="right" w:pos="9355" w:leader="none"/>
      </w:tabs>
    </w:pPr>
  </w:style>
  <w:style w:type="character" w:styleId="758" w:customStyle="1">
    <w:name w:val="Верхний колонтитул Знак"/>
    <w:link w:val="757"/>
    <w:uiPriority w:val="99"/>
  </w:style>
  <w:style w:type="paragraph" w:styleId="759">
    <w:name w:val="Footer"/>
    <w:basedOn w:val="725"/>
    <w:link w:val="762"/>
    <w:pPr>
      <w:tabs>
        <w:tab w:val="center" w:pos="4677" w:leader="none"/>
        <w:tab w:val="right" w:pos="9355" w:leader="none"/>
      </w:tabs>
    </w:pPr>
  </w:style>
  <w:style w:type="character" w:styleId="760" w:customStyle="1">
    <w:name w:val="Footer Char"/>
    <w:uiPriority w:val="99"/>
  </w:style>
  <w:style w:type="paragraph" w:styleId="761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2" w:customStyle="1">
    <w:name w:val="Нижний колонтитул Знак"/>
    <w:link w:val="759"/>
    <w:uiPriority w:val="99"/>
  </w:style>
  <w:style w:type="table" w:styleId="763">
    <w:name w:val="Table Grid"/>
    <w:basedOn w:val="736"/>
    <w:tblPr/>
  </w:style>
  <w:style w:type="table" w:styleId="76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9">
    <w:name w:val="Hyperlink"/>
    <w:uiPriority w:val="99"/>
    <w:unhideWhenUsed/>
    <w:rPr>
      <w:color w:val="0000ff"/>
      <w:u w:val="single"/>
    </w:rPr>
  </w:style>
  <w:style w:type="paragraph" w:styleId="890">
    <w:name w:val="footnote text"/>
    <w:basedOn w:val="725"/>
    <w:link w:val="891"/>
    <w:uiPriority w:val="99"/>
    <w:semiHidden/>
    <w:unhideWhenUsed/>
    <w:pPr>
      <w:spacing w:after="40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725"/>
    <w:link w:val="894"/>
    <w:uiPriority w:val="99"/>
    <w:semiHidden/>
    <w:unhideWhenUsed/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725"/>
    <w:next w:val="725"/>
    <w:uiPriority w:val="39"/>
    <w:unhideWhenUsed/>
    <w:pPr>
      <w:spacing w:after="57"/>
    </w:pPr>
  </w:style>
  <w:style w:type="paragraph" w:styleId="897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898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899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0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1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2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3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04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  <w:rPr>
      <w:lang w:eastAsia="zh-CN"/>
    </w:rPr>
  </w:style>
  <w:style w:type="paragraph" w:styleId="906">
    <w:name w:val="table of figures"/>
    <w:basedOn w:val="725"/>
    <w:next w:val="725"/>
    <w:uiPriority w:val="99"/>
    <w:unhideWhenUsed/>
  </w:style>
  <w:style w:type="paragraph" w:styleId="907">
    <w:name w:val="Body Text Indent"/>
    <w:basedOn w:val="725"/>
    <w:link w:val="915"/>
    <w:pPr>
      <w:ind w:firstLine="567"/>
      <w:jc w:val="both"/>
    </w:pPr>
  </w:style>
  <w:style w:type="paragraph" w:styleId="908">
    <w:name w:val="Body Text"/>
    <w:basedOn w:val="725"/>
    <w:link w:val="917"/>
    <w:pPr>
      <w:jc w:val="both"/>
    </w:pPr>
  </w:style>
  <w:style w:type="paragraph" w:styleId="909" w:customStyle="1">
    <w:name w:val="Название"/>
    <w:basedOn w:val="725"/>
    <w:qFormat/>
    <w:pPr>
      <w:jc w:val="center"/>
    </w:pPr>
    <w:rPr>
      <w:b/>
      <w:bCs/>
    </w:rPr>
  </w:style>
  <w:style w:type="paragraph" w:styleId="910">
    <w:name w:val="Body Text 2"/>
    <w:basedOn w:val="725"/>
    <w:rPr>
      <w:b/>
      <w:bCs/>
    </w:rPr>
  </w:style>
  <w:style w:type="paragraph" w:styleId="911">
    <w:name w:val="Body Text Indent 3"/>
    <w:basedOn w:val="725"/>
    <w:pPr>
      <w:ind w:firstLine="567"/>
      <w:jc w:val="both"/>
    </w:pPr>
    <w:rPr>
      <w:sz w:val="24"/>
    </w:rPr>
  </w:style>
  <w:style w:type="paragraph" w:styleId="912">
    <w:name w:val="Body Text 3"/>
    <w:basedOn w:val="725"/>
    <w:pPr>
      <w:framePr w:hSpace="180" w:wrap="notBeside" w:vAnchor="text" w:hAnchor="margin" w:y="997"/>
    </w:pPr>
    <w:rPr>
      <w:b/>
      <w:bCs/>
    </w:rPr>
  </w:style>
  <w:style w:type="paragraph" w:styleId="913">
    <w:name w:val="Body Text Indent 2"/>
    <w:basedOn w:val="725"/>
    <w:pPr>
      <w:ind w:left="440"/>
    </w:pPr>
    <w:rPr>
      <w:sz w:val="19"/>
    </w:rPr>
  </w:style>
  <w:style w:type="character" w:styleId="914">
    <w:name w:val="page number"/>
    <w:basedOn w:val="735"/>
  </w:style>
  <w:style w:type="character" w:styleId="915" w:customStyle="1">
    <w:name w:val="Основной текст с отступом Знак"/>
    <w:basedOn w:val="735"/>
    <w:link w:val="907"/>
  </w:style>
  <w:style w:type="character" w:styleId="916" w:customStyle="1">
    <w:name w:val="Заголовок 4 Знак"/>
    <w:link w:val="729"/>
    <w:rPr>
      <w:b/>
      <w:bCs/>
      <w:sz w:val="22"/>
    </w:rPr>
  </w:style>
  <w:style w:type="character" w:styleId="917" w:customStyle="1">
    <w:name w:val="Основной текст Знак"/>
    <w:basedOn w:val="735"/>
    <w:link w:val="908"/>
  </w:style>
  <w:style w:type="paragraph" w:styleId="918" w:customStyle="1">
    <w:name w:val="Style5"/>
    <w:basedOn w:val="725"/>
    <w:uiPriority w:val="99"/>
    <w:pPr>
      <w:ind w:firstLine="528"/>
      <w:jc w:val="both"/>
      <w:spacing w:line="266" w:lineRule="exact"/>
      <w:widowControl w:val="off"/>
    </w:pPr>
    <w:rPr>
      <w:rFonts w:ascii="Cambria" w:hAnsi="Cambria"/>
      <w:sz w:val="24"/>
      <w:szCs w:val="24"/>
    </w:rPr>
  </w:style>
  <w:style w:type="character" w:styleId="919" w:customStyle="1">
    <w:name w:val="Font Style13"/>
    <w:uiPriority w:val="99"/>
    <w:rPr>
      <w:rFonts w:ascii="Calibri" w:hAnsi="Calibri" w:cs="Calibri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Фирма "СТЭК"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Галкин</dc:creator>
  <cp:lastModifiedBy>u037</cp:lastModifiedBy>
  <cp:revision>60</cp:revision>
  <dcterms:created xsi:type="dcterms:W3CDTF">2019-12-27T07:15:00Z</dcterms:created>
  <dcterms:modified xsi:type="dcterms:W3CDTF">2026-06-29T13:03:01Z</dcterms:modified>
  <cp:version>1048576</cp:version>
</cp:coreProperties>
</file>