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tabs>
          <w:tab w:val="left" w:pos="3969" w:leader="none"/>
        </w:tabs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 xml:space="preserve">описание объекта закупки (техническое задание)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Наименование объекта закупки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охранных услуг по пультовой охране.</w:t>
      </w:r>
      <w:r>
        <w:rPr>
          <w:sz w:val="24"/>
          <w:szCs w:val="24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Описание объекта закупки: </w:t>
      </w:r>
      <w:r>
        <w:rPr>
          <w:sz w:val="24"/>
          <w:szCs w:val="24"/>
        </w:rPr>
      </w:r>
      <w:r/>
    </w:p>
    <w:tbl>
      <w:tblPr>
        <w:tblStyle w:val="686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6"/>
        <w:gridCol w:w="3829"/>
        <w:gridCol w:w="1648"/>
        <w:gridCol w:w="1153"/>
      </w:tblGrid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 по ОКПД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/КТРУ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80.10.12.200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охраны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80.10.12.000-00000016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частной охраны (Охранный (технический) мониторинг)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частной охраны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(охранный (технический) мониторинг)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pPr>
        <w:pStyle w:val="833"/>
        <w:ind w:left="851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3"/>
        <w:ind w:left="851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Характеристика услуг: функциональные, технические, качественные, эксплуатационные характеристики услуг:</w:t>
      </w:r>
      <w:r>
        <w:rPr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/>
    </w:p>
    <w:tbl>
      <w:tblPr>
        <w:tblStyle w:val="686"/>
        <w:tblW w:w="10031" w:type="dxa"/>
        <w:tblInd w:w="0" w:type="dxa"/>
        <w:tblLook w:val="04A0" w:firstRow="1" w:lastRow="0" w:firstColumn="1" w:lastColumn="0" w:noHBand="0" w:noVBand="1"/>
      </w:tblPr>
      <w:tblGrid>
        <w:gridCol w:w="3843"/>
        <w:gridCol w:w="6188"/>
      </w:tblGrid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833"/>
              <w:ind w:firstLine="4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ind w:firstLine="20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мобильной группы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 услуги по охране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Охрана объек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мер реагирования на их сигнальную информацию.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vMerge w:val="restart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Merge w:val="restart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Охрана имущества на объектах с осуществле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оружия у сотрудников мобильной группы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Принадлежность технических средств охраны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Исполнителя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vMerge w:val="restart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охраны на объекте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1"/>
                <w:szCs w:val="21"/>
              </w:rPr>
            </w:r>
            <w:r>
              <w:rPr>
                <w:rFonts w:eastAsia="Calibri"/>
                <w:bCs/>
                <w:sz w:val="21"/>
                <w:szCs w:val="21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инженерно-технической защиты и контроля доступа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bCs/>
                <w:sz w:val="21"/>
                <w:szCs w:val="21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охранной сигнализации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8" w:type="dxa"/>
            <w:vMerge w:val="restart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Liberation Sans" w:cs="Times New Roman"/>
                <w:color w:val="000000" w:themeColor="text1"/>
                <w:sz w:val="24"/>
                <w:szCs w:val="24"/>
                <w:highlight w:val="white"/>
              </w:rPr>
              <w:t xml:space="preserve">Технические средства охранно-пожарной сигнализации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необходимости использования иной и дополнительной информации, не предусмотренной в позиции КТРУ: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Внесение дополнительной информации к услугам обусловлено тем, что КТРУ не может в полной мере описать характеристику оказываемых услуг, необходимую Заказчику при осуществлении данной закупки.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3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Дополнительная информация к оказываемым услугам: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Услуги охраны, оказываемые Исполнителем, заключаются в централизованном наблюдении за состоянием охранной сигнализации на объектах Заказчика, в течение периода охраны, установленного в перечне объектов, подлежащих охране.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При поступлении на объект тревожных сигналов, сообщений (о проникновении, пожаре и т.п.) Исполнитель обязан направить группы быстрого реагирования к объекту.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установления факта нарушения целостности охраняемого объекта</w:t>
      </w:r>
      <w:r>
        <w:rPr>
          <w:rFonts w:ascii="Times New Roman" w:hAnsi="Times New Roman"/>
          <w:sz w:val="24"/>
          <w:szCs w:val="24"/>
        </w:rPr>
        <w:t xml:space="preserve"> Исполнитель незамедлительно: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сообщает Заказчику о факте нарушения целостности охраняемого объекта</w:t>
      </w:r>
      <w:r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 xml:space="preserve">ов</w:t>
      </w:r>
      <w:r>
        <w:rPr>
          <w:rFonts w:ascii="Times New Roman" w:hAnsi="Times New Roman"/>
          <w:sz w:val="24"/>
          <w:szCs w:val="24"/>
        </w:rPr>
        <w:t xml:space="preserve">), обеспечивает бесплатную физическую охрану объекта до </w:t>
      </w:r>
      <w:r>
        <w:rPr>
          <w:rFonts w:ascii="Times New Roman" w:hAnsi="Times New Roman"/>
          <w:sz w:val="24"/>
          <w:szCs w:val="24"/>
        </w:rPr>
        <w:t xml:space="preserve">перезакрытия</w:t>
      </w:r>
      <w:r>
        <w:rPr>
          <w:rFonts w:ascii="Times New Roman" w:hAnsi="Times New Roman"/>
          <w:sz w:val="24"/>
          <w:szCs w:val="24"/>
        </w:rPr>
        <w:t xml:space="preserve"> объекта и сдачи на пульт централизованного наблюдения Заказчиком;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обеспечивает, не проникая на объект, неприкосновенность места происшествия до прибытия представителя Заказчика;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при наличии явных признаков проникновения на объект принимает меры по задержанию лиц, совершивших проникновение на объект;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- совершает иные действия необходимые для обеспечения охраны. 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Исполнитель незамедлительно информирует Заказчика о выявленных неисправностях в работе оборудования и приборов охранной сигнализации.</w:t>
      </w:r>
      <w:r>
        <w:rPr>
          <w:sz w:val="24"/>
          <w:szCs w:val="24"/>
        </w:rPr>
      </w:r>
      <w:r/>
    </w:p>
    <w:p>
      <w:pPr>
        <w:pStyle w:val="833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Исполнитель не разглашает без письменного согласия Заказчика ставшую известной во время исполнения обязанностей по государственному контракту конфиденциальную информацию о деятельности Заказчика.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Перечень объектов, подлежащих охране: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sz w:val="24"/>
          <w:szCs w:val="24"/>
        </w:rPr>
      </w:r>
      <w:r/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6"/>
        <w:gridCol w:w="1842"/>
        <w:gridCol w:w="1133"/>
        <w:gridCol w:w="1563"/>
        <w:gridCol w:w="1417"/>
        <w:gridCol w:w="1553"/>
      </w:tblGrid>
      <w:tr>
        <w:tblPrEx/>
        <w:trPr>
          <w:trHeight w:val="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Адрес объекта, подлежащего охране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Система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охраны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Режим взятия на ПЦО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</w:tr>
      <w:tr>
        <w:tblPrEx/>
        <w:trPr>
          <w:trHeight w:val="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понедель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ник-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предпраздничные дни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суббота и воскресенье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, праздничные дни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</w:tr>
      <w:tr>
        <w:tblPrEx/>
        <w:trPr>
          <w:trHeight w:val="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Воркутинский территориальный отдел Печорского управления Ростехнадзора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Воркута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Мира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, д.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, кабинеты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Охранно-пожарная сигнализация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 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0 до 08.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 16.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до 8.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круглосуточно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а основании Закона Российской Федерации от 11 марта 1992 года № 2487-1 «О частной детективной и охранной деятельности в Российской Федерации» для частных охранных организаций установлено требование о наличии действующей лицензии на осуществление частной ох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анной деятельности, выданной в соответствии с Положением о лицензировании частной охранной деятельности, утвержденным постановлением Правительства Российской Федерации от 23 июня 2011 года № 498 «О некоторых вопросах осуществления частной детективной (сыск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ой) и частной охранной деятельности», предусматривающей разрешение на предоставление следующих видов услуг: - охрана объектов и (или) имущества на объектах с осуществлением работ по проектированию, монтажу и эксплуатационному обслуживанию технических средс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информацию. Документы, подтверждающие соответствие участника закупки требованиям, установленным пунк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ом 1 части 1 статьи 31 Федерального закона № 44-ФЗ:Для частных охранных организаций требуется представление копии действующей лицензии на осуществление частной охранной деятельности, выданной в соответствии с Положением о лицензировании частной охранной де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тельности, утвержденным постановлением Правительства Российской Федерации от 23 июня 2011 года № 498 «О некоторых вопросах осуществления частной детективной (сыскной) и частной охранной деятельности», предусматривающей разрешение на предоставление следующи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 видов услуг: 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</w:t>
      </w:r>
      <w:r>
        <w:rPr>
          <w:rFonts w:ascii="Times New Roman" w:hAnsi="Times New Roman" w:cs="Times New Roman"/>
        </w:rPr>
        <w:t xml:space="preserve"> с принятием соответствующих мер реагирования на их сигнальную информацию. Указанная лицензия может быть предоставлена в виде выписок (копий выписок) из реестра лицензий по форме, утвержденной постановлением Правительства РФ от 29.12.2020 № 2343.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u037</cp:lastModifiedBy>
  <cp:revision>3</cp:revision>
  <dcterms:modified xsi:type="dcterms:W3CDTF">2026-06-29T08:44:24Z</dcterms:modified>
</cp:coreProperties>
</file>