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1482" w:leader="none"/>
        </w:tabs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</w:p>
    <w:p>
      <w:pPr>
        <w:jc w:val="center"/>
        <w:tabs>
          <w:tab w:val="left" w:pos="1482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Cs/>
        </w:rPr>
      </w:pPr>
      <w:r>
        <w:rPr>
          <w:b/>
          <w:bCs/>
        </w:rPr>
        <w:t xml:space="preserve">1. Предмет закупки: </w:t>
      </w:r>
      <w:r>
        <w:rPr>
          <w:bCs/>
        </w:rPr>
        <w:t xml:space="preserve">«Обслуживание и ремонт систем кондиционирования (Челябинская область)».</w:t>
      </w:r>
      <w:r>
        <w:rPr>
          <w:bCs/>
        </w:rPr>
      </w:r>
    </w:p>
    <w:p>
      <w:pPr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rPr>
          <w:bCs/>
        </w:rPr>
      </w:pPr>
      <w:r>
        <w:rPr>
          <w:b/>
          <w:bCs/>
        </w:rPr>
        <w:t xml:space="preserve">2. Заказчик:</w:t>
      </w:r>
      <w:r>
        <w:rPr>
          <w:bCs/>
        </w:rPr>
        <w:t xml:space="preserve"> 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  <w:r>
        <w:rPr>
          <w:bCs/>
        </w:rPr>
      </w:r>
    </w:p>
    <w:p>
      <w:pPr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rPr>
          <w:bCs/>
        </w:rPr>
      </w:pPr>
      <w:r>
        <w:rPr>
          <w:b/>
          <w:bCs/>
        </w:rPr>
        <w:t xml:space="preserve">3. Место оказания Услуг:</w:t>
      </w:r>
      <w:r>
        <w:rPr>
          <w:bCs/>
        </w:rPr>
        <w:t xml:space="preserve"> Российская Федерация, Челябинская область: </w:t>
      </w:r>
      <w:r>
        <w:rPr>
          <w:bCs/>
        </w:rPr>
        <w:t xml:space="preserve">454080,   </w:t>
      </w:r>
      <w:r>
        <w:rPr>
          <w:bCs/>
        </w:rPr>
        <w:t xml:space="preserve">                              г. Челябинск, ул. Тернопольская, д. 4, (далее – Объекты).</w:t>
      </w:r>
      <w:r>
        <w:rPr>
          <w:bCs/>
        </w:rPr>
      </w:r>
    </w:p>
    <w:p>
      <w:pPr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  Срок и график оказания Услуг. </w:t>
      </w:r>
      <w:r>
        <w:rPr>
          <w:b/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Дата начала исполнения Контракта (оказания Услуг): с даты заключения Контракта.</w:t>
      </w:r>
      <w:r>
        <w:rPr>
          <w:bCs/>
        </w:rPr>
      </w:r>
    </w:p>
    <w:p>
      <w:pPr>
        <w:ind w:firstLine="709"/>
        <w:jc w:val="both"/>
        <w:rPr>
          <w:b/>
          <w:bCs/>
        </w:rPr>
      </w:pPr>
      <w:r>
        <w:rPr>
          <w:bCs/>
        </w:rPr>
        <w:t xml:space="preserve">Дата завершения оказания Услуг:</w:t>
      </w:r>
      <w:r>
        <w:rPr>
          <w:b/>
          <w:bCs/>
        </w:rPr>
        <w:t xml:space="preserve"> 31.08.2026 г.</w:t>
      </w:r>
      <w:r>
        <w:rPr>
          <w:b/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График оказания услуг: в рабочие дни, в рабочее время с понедельника по пятницу с 08:30 до 17:00 часов, обеденный перерыв в рабочие дни предусмотрен с 12:00 до 13:00 часов. Суббота и воскресенье – выходные дни (время г. Челябинск).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В случае если в ходе оказания услуг проводятся работы, мешающие сотрудникам исполнять свои служебные обязанности, то Исполнитель по согласованию с Заказчиком обязан оказывать услуги в нерабочее время.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В выходные дни, а также за пределами продолжительности рабочего дня оказание услуг возможно по предварительному согласованию с Заказчиком, при условии соблюдения Исполнителем требований законодательства об охране труда.</w:t>
      </w:r>
      <w:r>
        <w:rPr>
          <w:bCs/>
        </w:rPr>
      </w:r>
    </w:p>
    <w:p>
      <w:pPr>
        <w:ind w:firstLine="709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709"/>
        <w:rPr>
          <w:b/>
          <w:bCs/>
        </w:rPr>
      </w:pPr>
      <w:r>
        <w:rPr>
          <w:b/>
          <w:bCs/>
        </w:rPr>
        <w:t xml:space="preserve">5. Перечень, периодичность и объем оказываемых Услуг.</w:t>
      </w:r>
      <w:r>
        <w:rPr>
          <w:b/>
          <w:bCs/>
        </w:rPr>
      </w:r>
    </w:p>
    <w:p>
      <w:pPr>
        <w:ind w:firstLine="709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  <w:u w:val="single"/>
        </w:rPr>
        <w:t xml:space="preserve">Объем оказываемых Услуг:</w:t>
      </w:r>
      <w:r>
        <w:rPr>
          <w:bCs/>
        </w:rPr>
        <w:t xml:space="preserve"> </w:t>
      </w:r>
      <w:r>
        <w:rPr>
          <w:bCs/>
        </w:rPr>
        <w:t xml:space="preserve">3</w:t>
      </w:r>
      <w:r>
        <w:rPr>
          <w:bCs/>
          <w:lang w:eastAsia="ar-SA"/>
        </w:rPr>
        <w:t xml:space="preserve"> </w:t>
      </w:r>
      <w:r>
        <w:rPr>
          <w:bCs/>
          <w:lang w:eastAsia="ar-SA"/>
        </w:rPr>
        <w:t xml:space="preserve">усл</w:t>
      </w:r>
      <w:r>
        <w:rPr>
          <w:bCs/>
          <w:lang w:eastAsia="ar-SA"/>
        </w:rPr>
        <w:t xml:space="preserve">. ед.</w:t>
      </w:r>
      <w:r>
        <w:rPr>
          <w:bCs/>
          <w:lang w:eastAsia="ar-SA"/>
        </w:rPr>
        <w:t xml:space="preserve"> </w:t>
      </w:r>
      <w:r>
        <w:rPr>
          <w:bCs/>
          <w:lang w:eastAsia="ar-SA"/>
        </w:rPr>
        <w:t xml:space="preserve">- техническое обслуживанию и ремонт (далее – </w:t>
      </w:r>
      <w:r>
        <w:rPr>
          <w:bCs/>
          <w:lang w:eastAsia="ar-SA"/>
        </w:rPr>
        <w:t xml:space="preserve">ТО и ремонт</w:t>
      </w:r>
      <w:r>
        <w:rPr>
          <w:bCs/>
          <w:lang w:eastAsia="ar-SA"/>
        </w:rPr>
        <w:t xml:space="preserve">) систем кондиционирования.</w:t>
      </w:r>
      <w:r>
        <w:rPr>
          <w:rFonts w:ascii="Calibri" w:hAnsi="Calibri"/>
          <w:bCs/>
          <w:sz w:val="22"/>
          <w:szCs w:val="22"/>
          <w:lang w:eastAsia="ar-SA"/>
        </w:rPr>
        <w:t xml:space="preserve"> 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 1 условная единица равна одному обслуживанию и </w:t>
      </w:r>
      <w:r>
        <w:rPr>
          <w:bCs/>
        </w:rPr>
        <w:t xml:space="preserve">ремонт</w:t>
      </w:r>
      <w:r>
        <w:rPr>
          <w:bCs/>
        </w:rPr>
        <w:t xml:space="preserve"> одной системы кондиционирования в соответствии с периодичностью оказания услуг указанной в Таблице №1 настоящего Технического задания.</w:t>
      </w:r>
      <w:r>
        <w:rPr>
          <w:bCs/>
        </w:rPr>
      </w:r>
    </w:p>
    <w:p>
      <w:pPr>
        <w:ind w:firstLine="709"/>
        <w:jc w:val="both"/>
        <w:tabs>
          <w:tab w:val="left" w:pos="851" w:leader="none"/>
        </w:tabs>
        <w:rPr>
          <w:bCs/>
          <w:lang w:eastAsia="ar-SA"/>
        </w:rPr>
      </w:pPr>
      <w:r>
        <w:rPr>
          <w:bCs/>
          <w:lang w:eastAsia="ar-SA"/>
        </w:rPr>
        <w:t xml:space="preserve">Перечень услуг и периодичность их оказания указаны в Таблице № 1 настоящего Технического задания.</w:t>
      </w:r>
      <w:r>
        <w:rPr>
          <w:bCs/>
          <w:lang w:eastAsia="ar-SA"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Перечень, количество и местонахождение оборудования, подлежащего обслуживанию и </w:t>
      </w:r>
      <w:r>
        <w:rPr>
          <w:bCs/>
        </w:rPr>
        <w:t xml:space="preserve">ремонту</w:t>
      </w:r>
      <w:r>
        <w:rPr>
          <w:bCs/>
        </w:rPr>
        <w:t xml:space="preserve"> приведены в Таблице № 2 настоящего Технического задания.</w:t>
      </w:r>
      <w:r>
        <w:rPr>
          <w:bCs/>
        </w:rPr>
      </w:r>
    </w:p>
    <w:p>
      <w:pPr>
        <w:rPr>
          <w:b/>
          <w:bCs/>
          <w:lang w:eastAsia="ar-SA"/>
        </w:rPr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Перечень услуг и периодичность их оказания</w:t>
      </w:r>
      <w:r>
        <w:rPr>
          <w:b/>
          <w:bCs/>
          <w:lang w:eastAsia="ar-SA"/>
        </w:rPr>
      </w:r>
    </w:p>
    <w:p>
      <w:pPr>
        <w:jc w:val="center"/>
        <w:rPr>
          <w:bCs/>
          <w:lang w:eastAsia="ar-SA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</w:t>
      </w:r>
      <w:r>
        <w:rPr>
          <w:bCs/>
          <w:lang w:eastAsia="ar-SA"/>
        </w:rPr>
        <w:t xml:space="preserve">Таблице № 1</w:t>
      </w:r>
      <w:r>
        <w:rPr>
          <w:bCs/>
          <w:lang w:eastAsia="ar-SA"/>
        </w:rPr>
      </w:r>
    </w:p>
    <w:tbl>
      <w:tblPr>
        <w:tblW w:w="10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844"/>
        <w:gridCol w:w="6946"/>
        <w:gridCol w:w="2409"/>
      </w:tblGrid>
      <w:tr>
        <w:tblPrEx/>
        <w:trPr>
          <w:jc w:val="center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 п/п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Перечень услуг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Периодичность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243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</w:tr>
      <w:tr>
        <w:tblPrEx/>
        <w:trPr>
          <w:cantSplit/>
          <w:jc w:val="center"/>
          <w:trHeight w:val="90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284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Вакуумирование</w:t>
            </w:r>
            <w:r>
              <w:t xml:space="preserve"> </w:t>
            </w:r>
            <w:r>
              <w:t xml:space="preserve">и ремонт </w:t>
            </w:r>
            <w:r>
              <w:t xml:space="preserve">системы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t xml:space="preserve">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284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Опрессовка</w:t>
            </w:r>
            <w:r>
              <w:t xml:space="preserve"> системы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t xml:space="preserve">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284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Заправка системы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</w:t>
            </w:r>
            <w:r>
              <w:t xml:space="preserve">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284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  <w:rPr>
                <w:highlight w:val="yellow"/>
              </w:rPr>
            </w:pPr>
            <w:r>
              <w:t xml:space="preserve">Проверка загрязненности и чистка при необходимости теплообменника внешнего блока.</w:t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284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Внешний осмотр оборудования, проверка креплений, ограждений и конструкций.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284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Проверка электропитания по фазам, проверка дисбаланса по напряжению, проверка дисбаланса по току (для 3-х фазных систем).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  <w:trHeight w:val="8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284"/>
            </w:pPr>
            <w: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Проверка работоспособности системы в целом, проверка срабатывания элементов защитной автоматики.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284"/>
            </w:pPr>
            <w: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Проверка состояния силовых и управляющих электрических кабелей. Протяжка резьбовых электрических соединений, протяжка контактов электрооборудования и мест подключения в шкафах управления и на периферийных приборах автоматики.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169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Проверка рабочего давления и дозаправка по необходимости (для кондиционеров).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169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Проверка герметичности</w:t>
            </w:r>
            <w:r>
              <w:t xml:space="preserve"> и ремонт</w:t>
            </w:r>
            <w:r>
              <w:t xml:space="preserve"> контура хладагента.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169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Проверка состояния воздушного фильтра внутреннего блока, при необходимости промывка или замена.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  <w:trHeight w:val="9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169"/>
            </w:pPr>
            <w:r>
              <w:t xml:space="preserve">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Проверка и чистка лопастей вентиляторов, при проведении обслуживания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  <w:trHeight w:val="9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169"/>
            </w:pPr>
            <w:r>
              <w:t xml:space="preserve">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Проверка работы дренажной системы чистка по необходимости.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  <w:trHeight w:val="89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169"/>
            </w:pPr>
            <w:r>
              <w:t xml:space="preserve">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Проверка работы зимнего комплекта.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  <w:tr>
        <w:tblPrEx/>
        <w:trPr>
          <w:cantSplit/>
          <w:jc w:val="center"/>
          <w:trHeight w:val="9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dxa"/>
            <w:vAlign w:val="center"/>
            <w:textDirection w:val="lrTb"/>
            <w:noWrap w:val="false"/>
          </w:tcPr>
          <w:p>
            <w:pPr>
              <w:ind w:left="169"/>
            </w:pPr>
            <w:r>
              <w:t xml:space="preserve">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Чистка и антибактериальная обработка теплообменника внутреннего блока.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 раз </w:t>
            </w:r>
            <w:r/>
          </w:p>
          <w:p>
            <w:pPr>
              <w:jc w:val="center"/>
            </w:pPr>
            <w:r>
              <w:t xml:space="preserve">за период действия контракта</w:t>
            </w:r>
            <w:r/>
          </w:p>
        </w:tc>
      </w:tr>
    </w:tbl>
    <w:p>
      <w:pPr>
        <w:ind w:firstLine="567"/>
        <w:jc w:val="both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</w:p>
    <w:p>
      <w:pPr>
        <w:ind w:firstLine="567"/>
        <w:jc w:val="both"/>
        <w:rPr>
          <w:lang w:eastAsia="ar-SA"/>
        </w:rPr>
      </w:pPr>
      <w:r>
        <w:rPr>
          <w:lang w:eastAsia="ar-SA"/>
        </w:rPr>
        <w:t xml:space="preserve">В случае наступления аварийной ситуации Исполнитель обязан устранить аварию в течение 5-ти часов после</w:t>
      </w:r>
      <w:r>
        <w:rPr>
          <w:lang w:eastAsia="ar-SA"/>
        </w:rPr>
        <w:t xml:space="preserve"> получения заявки от Заказчика.</w:t>
      </w:r>
      <w:r>
        <w:rPr>
          <w:lang w:eastAsia="ar-SA"/>
        </w:rPr>
      </w:r>
    </w:p>
    <w:p>
      <w:pPr>
        <w:ind w:firstLine="567"/>
        <w:jc w:val="both"/>
      </w:pPr>
      <w:r>
        <w:t xml:space="preserve">Стоимость расходных материалов и запасных частей включена в стоимость оказания Услуг. Заказчик дополнительных затрат не несет.</w:t>
      </w:r>
      <w:r/>
    </w:p>
    <w:p>
      <w:pPr>
        <w:ind w:firstLine="567"/>
        <w:jc w:val="both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</w:p>
    <w:p>
      <w:pPr>
        <w:jc w:val="center"/>
        <w:rPr>
          <w:b/>
        </w:rPr>
      </w:pPr>
      <w:r>
        <w:rPr>
          <w:b/>
        </w:rPr>
        <w:t xml:space="preserve">Перечень, количество и местонахождение оборудования,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подлежащего обслуживанию и </w:t>
      </w:r>
      <w:r>
        <w:rPr>
          <w:b/>
        </w:rPr>
        <w:t xml:space="preserve">ремонту</w:t>
      </w:r>
      <w:r>
        <w:rPr>
          <w:b/>
        </w:rPr>
      </w:r>
    </w:p>
    <w:p>
      <w:pPr>
        <w:ind w:firstLine="708"/>
        <w:jc w:val="right"/>
      </w:pPr>
      <w:r>
        <w:t xml:space="preserve">        Таблица № 2</w:t>
      </w:r>
      <w:r/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31"/>
        <w:gridCol w:w="5244"/>
        <w:gridCol w:w="1021"/>
      </w:tblGrid>
      <w:tr>
        <w:tblPrEx/>
        <w:trPr>
          <w:trHeight w:val="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 п/п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Адрес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31" w:type="dxa"/>
            <w:vAlign w:val="center"/>
            <w:textDirection w:val="lrTb"/>
            <w:noWrap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Местоположение оборудования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Модель кондиционеров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2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Кол-во, </w:t>
            </w:r>
            <w:r>
              <w:rPr>
                <w:b/>
              </w:rPr>
              <w:t xml:space="preserve">шт</w:t>
            </w:r>
            <w:r>
              <w:rPr>
                <w:b/>
              </w:rPr>
            </w:r>
          </w:p>
        </w:tc>
      </w:tr>
      <w:tr>
        <w:tblPrEx/>
        <w:trPr>
          <w:trHeight w:val="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31" w:type="dxa"/>
            <w:vAlign w:val="center"/>
            <w:textDirection w:val="lrTb"/>
            <w:noWrap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2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</w:p>
        </w:tc>
      </w:tr>
      <w:tr>
        <w:tblPrEx/>
        <w:trPr>
          <w:trHeight w:val="8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г. Челябинск, ул. Тернопольская, д.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кабинет 109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Кондиционер канальный </w:t>
            </w:r>
            <w:r>
              <w:rPr>
                <w:color w:val="000000"/>
                <w:lang w:val="en-US"/>
              </w:rPr>
              <w:t xml:space="preserve">ROYAL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CLIMA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ES</w:t>
            </w:r>
            <w:r>
              <w:rPr>
                <w:color w:val="000000"/>
              </w:rPr>
              <w:t xml:space="preserve">-</w:t>
            </w:r>
            <w:r>
              <w:rPr>
                <w:color w:val="000000"/>
                <w:lang w:val="en-US"/>
              </w:rPr>
              <w:t xml:space="preserve">D</w:t>
            </w:r>
            <w:r>
              <w:rPr>
                <w:color w:val="000000"/>
              </w:rPr>
              <w:t xml:space="preserve">60</w:t>
            </w:r>
            <w:r>
              <w:rPr>
                <w:color w:val="000000"/>
                <w:lang w:val="en-US"/>
              </w:rPr>
              <w:t xml:space="preserve">HWN</w:t>
            </w:r>
            <w:r>
              <w:rPr>
                <w:color w:val="000000"/>
              </w:rPr>
              <w:t xml:space="preserve">/</w:t>
            </w:r>
            <w:r>
              <w:rPr>
                <w:color w:val="000000"/>
                <w:lang w:val="en-US"/>
              </w:rPr>
              <w:t xml:space="preserve">ES</w:t>
            </w:r>
            <w:r>
              <w:rPr>
                <w:color w:val="000000"/>
              </w:rPr>
              <w:t xml:space="preserve">-</w:t>
            </w:r>
            <w:r>
              <w:rPr>
                <w:color w:val="000000"/>
                <w:lang w:val="en-US"/>
              </w:rPr>
              <w:t xml:space="preserve">E</w:t>
            </w:r>
            <w:r>
              <w:rPr>
                <w:color w:val="000000"/>
              </w:rPr>
              <w:t xml:space="preserve">60</w:t>
            </w:r>
            <w:r>
              <w:rPr>
                <w:color w:val="000000"/>
                <w:lang w:val="en-US"/>
              </w:rPr>
              <w:t xml:space="preserve">HN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</w:tr>
      <w:tr>
        <w:tblPrEx/>
        <w:trPr>
          <w:trHeight w:val="8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г. Челябинск, ул. Тернопольская, д.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кабинет 109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Кондиционер канальный </w:t>
            </w:r>
            <w:r>
              <w:rPr>
                <w:color w:val="000000"/>
              </w:rPr>
              <w:t xml:space="preserve">Кондиционер канальный </w:t>
            </w:r>
            <w:r>
              <w:rPr>
                <w:color w:val="000000"/>
              </w:rPr>
              <w:t xml:space="preserve">Hisense</w:t>
            </w:r>
            <w:r>
              <w:rPr>
                <w:color w:val="000000"/>
              </w:rPr>
              <w:t xml:space="preserve"> AUW-60H6SP1/AUD-60HX4SHH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</w:tr>
    </w:tbl>
    <w:p>
      <w:pPr>
        <w:jc w:val="both"/>
        <w:widowControl w:val="off"/>
        <w:tabs>
          <w:tab w:val="left" w:pos="706" w:leader="none"/>
          <w:tab w:val="left" w:pos="8942" w:leader="underscor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8942" w:leader="underscore"/>
        </w:tabs>
        <w:rPr>
          <w:b/>
          <w:bCs/>
        </w:rPr>
      </w:pPr>
      <w:r>
        <w:rPr>
          <w:b/>
          <w:bCs/>
        </w:rPr>
        <w:t xml:space="preserve">6.</w:t>
      </w:r>
      <w:r>
        <w:rPr>
          <w:b/>
          <w:bCs/>
        </w:rPr>
        <w:tab/>
        <w:t xml:space="preserve">Требования к функциональным, эксплуатационным и техническим характеристикам.  </w:t>
      </w:r>
      <w:r>
        <w:rPr>
          <w:b/>
          <w:bCs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8942" w:leader="underscor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left="714"/>
        <w:jc w:val="both"/>
        <w:widowControl w:val="off"/>
        <w:tabs>
          <w:tab w:val="left" w:pos="706" w:leader="none"/>
          <w:tab w:val="left" w:pos="8942" w:leader="underscore"/>
        </w:tabs>
        <w:rPr>
          <w:u w:val="single"/>
        </w:rPr>
      </w:pPr>
      <w:r>
        <w:rPr>
          <w:u w:val="single"/>
        </w:rPr>
        <w:t xml:space="preserve">Функциональные характеристики:</w:t>
      </w:r>
      <w:r>
        <w:rPr>
          <w:u w:val="single"/>
        </w:rPr>
      </w:r>
    </w:p>
    <w:p>
      <w:pPr>
        <w:ind w:left="714"/>
        <w:jc w:val="both"/>
        <w:widowControl w:val="off"/>
        <w:tabs>
          <w:tab w:val="left" w:pos="706" w:leader="none"/>
          <w:tab w:val="left" w:pos="8942" w:leader="underscore"/>
        </w:tabs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p>
      <w:pPr>
        <w:ind w:firstLine="709"/>
        <w:jc w:val="both"/>
        <w:rPr>
          <w:u w:val="single"/>
        </w:rPr>
        <w:outlineLvl w:val="1"/>
      </w:pPr>
      <w:r>
        <w:rPr>
          <w:bCs/>
        </w:rPr>
        <w:t xml:space="preserve">Оказание услуг по обслуживанию и </w:t>
      </w:r>
      <w:r>
        <w:rPr>
          <w:bCs/>
        </w:rPr>
        <w:t xml:space="preserve">ремонту</w:t>
      </w:r>
      <w:r>
        <w:rPr>
          <w:bCs/>
        </w:rPr>
        <w:t xml:space="preserve"> систем кондиционирования представляет собой комплекс организационно-технических мероприятий планово-предупредительного характера по поддержанию систем кондиционирования в состоянии, соответствующем требованиям технической документации.</w:t>
      </w:r>
      <w:r>
        <w:rPr>
          <w:u w:val="single"/>
        </w:rPr>
      </w:r>
    </w:p>
    <w:p>
      <w:pPr>
        <w:ind w:firstLine="709"/>
        <w:jc w:val="both"/>
        <w:outlineLvl w:val="1"/>
      </w:pPr>
      <w:r>
        <w:t xml:space="preserve">Оказание услуг по обслуживанию и </w:t>
      </w:r>
      <w:r>
        <w:t xml:space="preserve">ремонту</w:t>
      </w:r>
      <w:r>
        <w:t xml:space="preserve"> систем кондиционирования позволяет:</w:t>
      </w:r>
      <w:r/>
    </w:p>
    <w:p>
      <w:pPr>
        <w:ind w:firstLine="708"/>
        <w:jc w:val="both"/>
        <w:outlineLvl w:val="1"/>
      </w:pPr>
      <w:r>
        <w:t xml:space="preserve">- обеспечивать правильное функционирование систем кондиционирования;</w:t>
      </w:r>
      <w:r/>
    </w:p>
    <w:p>
      <w:pPr>
        <w:ind w:firstLine="708"/>
        <w:jc w:val="both"/>
        <w:outlineLvl w:val="1"/>
      </w:pPr>
      <w:r>
        <w:t xml:space="preserve">- контролировать техническое состояние систем кондиционирования и определять пригодность к дальнейшей эксплуатации;</w:t>
      </w:r>
      <w:r/>
    </w:p>
    <w:p>
      <w:pPr>
        <w:ind w:firstLine="708"/>
        <w:jc w:val="both"/>
        <w:outlineLvl w:val="1"/>
      </w:pPr>
      <w:r>
        <w:t xml:space="preserve">- выявлять и устранять неисправности, уменьшать их количество;</w:t>
      </w:r>
      <w:r/>
    </w:p>
    <w:p>
      <w:pPr>
        <w:ind w:firstLine="708"/>
        <w:jc w:val="both"/>
        <w:outlineLvl w:val="1"/>
      </w:pPr>
      <w:r>
        <w:t xml:space="preserve">- ликвидировать или не допускать последствий воздействия неблагоприятных климатических, производственных и других дестабилизирующих факторов.</w:t>
      </w:r>
      <w:r/>
    </w:p>
    <w:p>
      <w:pPr>
        <w:ind w:left="714"/>
        <w:jc w:val="both"/>
        <w:widowControl w:val="off"/>
        <w:tabs>
          <w:tab w:val="left" w:pos="706" w:leader="none"/>
          <w:tab w:val="left" w:pos="8942" w:leader="underscore"/>
        </w:tabs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p>
      <w:pPr>
        <w:ind w:firstLine="720"/>
        <w:jc w:val="both"/>
        <w:tabs>
          <w:tab w:val="left" w:pos="0" w:leader="none"/>
          <w:tab w:val="left" w:pos="900" w:leader="none"/>
        </w:tabs>
        <w:rPr>
          <w:u w:val="single"/>
        </w:rPr>
      </w:pPr>
      <w:r>
        <w:rPr>
          <w:u w:val="single"/>
        </w:rPr>
        <w:t xml:space="preserve">Обслуживание и ремонт 1 единицы системы кондиционирования включает в себя:</w:t>
      </w:r>
      <w:r>
        <w:rPr>
          <w:u w:val="single"/>
        </w:rPr>
      </w:r>
    </w:p>
    <w:p>
      <w:pPr>
        <w:ind w:firstLine="720"/>
        <w:jc w:val="both"/>
        <w:tabs>
          <w:tab w:val="left" w:pos="0" w:leader="none"/>
          <w:tab w:val="left" w:pos="900" w:leader="none"/>
        </w:tabs>
        <w:rPr>
          <w:u w:val="single"/>
        </w:rPr>
      </w:pPr>
      <w:r>
        <w:t xml:space="preserve">- осмотр кондиционера;</w:t>
      </w:r>
      <w:r>
        <w:rPr>
          <w:u w:val="single"/>
        </w:rPr>
      </w:r>
    </w:p>
    <w:p>
      <w:pPr>
        <w:ind w:firstLine="720"/>
        <w:jc w:val="both"/>
      </w:pPr>
      <w:r>
        <w:t xml:space="preserve">- проверка работы во всех режимах;</w:t>
      </w:r>
      <w:r/>
    </w:p>
    <w:p>
      <w:pPr>
        <w:ind w:firstLine="720"/>
        <w:jc w:val="both"/>
      </w:pPr>
      <w:r>
        <w:t xml:space="preserve">- проверка герметичности</w:t>
      </w:r>
      <w:r>
        <w:t xml:space="preserve"> и ремонт</w:t>
      </w:r>
      <w:r>
        <w:t xml:space="preserve"> </w:t>
      </w:r>
      <w:r>
        <w:t xml:space="preserve">фреонового</w:t>
      </w:r>
      <w:r>
        <w:t xml:space="preserve"> контура, наличия хладагента с дозаправкой;</w:t>
      </w:r>
      <w:r/>
    </w:p>
    <w:p>
      <w:pPr>
        <w:ind w:firstLine="720"/>
        <w:jc w:val="both"/>
      </w:pPr>
      <w:r>
        <w:t xml:space="preserve">- проверка исправности дренажной системы;</w:t>
      </w:r>
      <w:r/>
    </w:p>
    <w:p>
      <w:pPr>
        <w:ind w:firstLine="720"/>
        <w:jc w:val="both"/>
      </w:pPr>
      <w:r>
        <w:t xml:space="preserve">- очистка входных и выходных жалюзи внутреннего блока;</w:t>
      </w:r>
      <w:r/>
    </w:p>
    <w:p>
      <w:pPr>
        <w:ind w:firstLine="720"/>
        <w:jc w:val="both"/>
      </w:pPr>
      <w:r>
        <w:t xml:space="preserve">- чистка фильтров внутреннего блока;</w:t>
      </w:r>
      <w:r/>
    </w:p>
    <w:p>
      <w:pPr>
        <w:ind w:firstLine="720"/>
        <w:jc w:val="both"/>
      </w:pPr>
      <w:r>
        <w:t xml:space="preserve">- мелкий ремонт, не требующий использования запасных частей и по длительности не превышающий один час;</w:t>
      </w:r>
      <w:r/>
    </w:p>
    <w:p>
      <w:pPr>
        <w:ind w:firstLine="720"/>
        <w:jc w:val="both"/>
      </w:pPr>
      <w:r>
        <w:t xml:space="preserve">- установка помп (при необходимости);</w:t>
      </w:r>
      <w:r/>
    </w:p>
    <w:p>
      <w:pPr>
        <w:ind w:firstLine="720"/>
        <w:jc w:val="both"/>
      </w:pPr>
      <w:r>
        <w:t xml:space="preserve">- проверка исправности э/двигателей и лопастей вентиляторов, замена (при необходимости);</w:t>
      </w:r>
      <w:r/>
    </w:p>
    <w:p>
      <w:pPr>
        <w:ind w:firstLine="720"/>
        <w:jc w:val="both"/>
      </w:pPr>
      <w:r>
        <w:t xml:space="preserve">- проверка состояния силовых и управляющих </w:t>
      </w:r>
      <w:r>
        <w:t xml:space="preserve">электроцепей</w:t>
      </w:r>
      <w:r>
        <w:t xml:space="preserve">;</w:t>
      </w:r>
      <w:r/>
    </w:p>
    <w:p>
      <w:pPr>
        <w:ind w:firstLine="720"/>
        <w:jc w:val="both"/>
      </w:pPr>
      <w:r>
        <w:t xml:space="preserve">- контроль эффективности работы испарителя внутреннего блока по перепаду температур входящего и выходящего воздуха, при необходимости его чистка;</w:t>
      </w:r>
      <w:r/>
    </w:p>
    <w:p>
      <w:pPr>
        <w:ind w:firstLine="720"/>
        <w:jc w:val="both"/>
      </w:pPr>
      <w:r>
        <w:t xml:space="preserve">- подтягивание резьбовых соединений проводов на </w:t>
      </w:r>
      <w:r>
        <w:t xml:space="preserve">клеммных</w:t>
      </w:r>
      <w:r>
        <w:t xml:space="preserve"> коробках;</w:t>
      </w:r>
      <w:r/>
    </w:p>
    <w:p>
      <w:pPr>
        <w:ind w:firstLine="720"/>
        <w:jc w:val="both"/>
      </w:pPr>
      <w:r>
        <w:t xml:space="preserve">- обработка фильтров антибактериальным средством;</w:t>
      </w:r>
      <w:r/>
    </w:p>
    <w:p>
      <w:pPr>
        <w:ind w:firstLine="720"/>
        <w:jc w:val="both"/>
      </w:pPr>
      <w:r>
        <w:t xml:space="preserve">- мокрая чистка аппаратом высокого давления теплообменника и других узлов наружного блока;</w:t>
      </w:r>
      <w:r/>
    </w:p>
    <w:p>
      <w:pPr>
        <w:ind w:firstLine="720"/>
        <w:jc w:val="both"/>
      </w:pPr>
      <w:r>
        <w:t xml:space="preserve">- проверка состояния теплоизоляции </w:t>
      </w:r>
      <w:r>
        <w:t xml:space="preserve">хладоновых</w:t>
      </w:r>
      <w:r>
        <w:t xml:space="preserve"> трубопроводов и устранение неисправностей.</w:t>
      </w:r>
      <w:r/>
    </w:p>
    <w:p>
      <w:pPr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20"/>
        <w:jc w:val="both"/>
      </w:pPr>
      <w:r>
        <w:t xml:space="preserve">В случае выхода из строя систем кондиционирования, Исполнитель обязан прибыть на объект не позднее 5 часов </w:t>
      </w:r>
      <w:r>
        <w:t xml:space="preserve">с момента получения заявки Заказчика, и оказать необходимые услуги по диагностике, восстановлению работоспособности систем кондиционирования в согласованные с Заказчиком сроки, независимо от регламента оказания услуг по обслуживанию и </w:t>
      </w:r>
      <w:r>
        <w:t xml:space="preserve">ремонту</w:t>
      </w:r>
      <w:r>
        <w:t xml:space="preserve"> кондиционирования</w:t>
      </w:r>
      <w:r>
        <w:t xml:space="preserve">.</w:t>
      </w:r>
      <w:r/>
    </w:p>
    <w:p>
      <w:pPr>
        <w:ind w:firstLine="720"/>
        <w:jc w:val="both"/>
      </w:pPr>
      <w:r>
        <w:t xml:space="preserve">Оказание услуг производится с использованием принадл</w:t>
      </w:r>
      <w:r>
        <w:t xml:space="preserve">ежащих Исполнителю расходных материалов и оборудования, с применением спецтехники (автовышки), если для оказания услуг потребуется ее использование, необходимых для достижения качественного оказания услуг, без дополнительных расходов со стороны Заказчика. </w:t>
      </w:r>
      <w:r/>
    </w:p>
    <w:p>
      <w:pPr>
        <w:ind w:firstLine="720"/>
        <w:jc w:val="both"/>
      </w:pPr>
      <w:r>
        <w:t xml:space="preserve">В случае необходимости замены неисправного оборудования, Исполнитель уведомляет Заказчика в письменной форме с предос</w:t>
      </w:r>
      <w:r>
        <w:t xml:space="preserve">тавлением дефектной ведомости, в которой указывается наименование и количество неисправного оборудования. Заказчик в течение срока действия контракта приобретает и предоставляет Исполнителю новое оборудование, а Исполнитель выполняет работы по его замене. </w:t>
      </w:r>
      <w:r/>
    </w:p>
    <w:p>
      <w:pPr>
        <w:ind w:firstLine="720"/>
        <w:jc w:val="both"/>
      </w:pPr>
      <w:r>
        <w:t xml:space="preserve">В случае если некачественное оказание услуг привело к материальному ущербу, его возмещение производится за счёт средств Исполнителя.</w:t>
      </w:r>
      <w:r/>
    </w:p>
    <w:p>
      <w:pPr>
        <w:ind w:firstLine="720"/>
        <w:jc w:val="both"/>
      </w:pPr>
      <w:r>
        <w:t xml:space="preserve">Расходные материалы и составные части, используемые при оказании Услуг, должны быть качественными, новыми, не бывшими в употреблении, в ремонте, в том числе </w:t>
      </w:r>
      <w:r>
        <w:t xml:space="preserve">не восстановленными, у которых не была осуществлена замена составных частей, не были восстановлены потребительские свойства, не должны иметь дефектов, связанных с конструкцией, материалами или работой по их изготовлению, либо проявляющихся в результате дей</w:t>
      </w:r>
      <w:r>
        <w:t xml:space="preserve">ствия или упущения Производителя и/или Исполнителя, и должны отвечать стандартам и требованиям, предъявляемым к составным частям данного вида, действующим на территории Российской Федерации, а также свободны от прав на них третьих лиц и других обременений.</w:t>
      </w:r>
      <w:r/>
    </w:p>
    <w:p>
      <w:pPr>
        <w:ind w:firstLine="720"/>
        <w:jc w:val="both"/>
      </w:pPr>
      <w:r>
        <w:t xml:space="preserve">При оказании услуг по обслуживанию необходимо применять материалы и оборудование, не ухудшающие характеристики установленных систем, имеющие соответствующие сертификаты, технические паспорта.</w:t>
      </w:r>
      <w:r/>
    </w:p>
    <w:p>
      <w:pPr>
        <w:ind w:firstLine="709"/>
        <w:jc w:val="both"/>
        <w:tabs>
          <w:tab w:val="left" w:pos="1701" w:leader="none"/>
        </w:tabs>
      </w:pPr>
      <w:r>
        <w:t xml:space="preserve">Исполнитель обязан соблюдать пропускной и внутри объектовый режимы на Объект</w:t>
      </w:r>
      <w:r>
        <w:t xml:space="preserve">е</w:t>
      </w:r>
      <w:r>
        <w:t xml:space="preserve">, правила и нормы по охране труда и технике безопасности, пожарной безопасности.</w:t>
      </w:r>
      <w:r/>
    </w:p>
    <w:p>
      <w:pPr>
        <w:ind w:firstLine="709"/>
        <w:jc w:val="both"/>
        <w:tabs>
          <w:tab w:val="left" w:pos="1701" w:leader="none"/>
        </w:tabs>
      </w:pPr>
      <w:r>
        <w:t xml:space="preserve">Исполнитель должен исполнять требования миграционного и трудового законодательства Российской Федерации, в том числе не привлек</w:t>
      </w:r>
      <w:r>
        <w:t xml:space="preserve">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  <w:r/>
    </w:p>
    <w:p>
      <w:pPr>
        <w:ind w:firstLine="709"/>
        <w:jc w:val="both"/>
        <w:rPr>
          <w:bCs/>
        </w:rPr>
      </w:pPr>
      <w:r>
        <w:t xml:space="preserve">В</w:t>
      </w:r>
      <w:r>
        <w:t xml:space="preserve"> соответствии с пунктом 10 Перечня территорий, организаций и объектов, для въезда на которые иностранным гражданам требуется специальное разрешение, утвержденного постановлением Правительства Российской Федерации от 11.10.2002 № 754 «Об утверждении перечня</w:t>
      </w:r>
      <w:r>
        <w:t xml:space="preserve"> территорий, организаций и объектов, для въезда на которые иностранным гражданам требуется специальное разрешение», и частью 1 статьи 11 Федерального закона от 25.07.2002 № 115-ФЗ «О правовом положении иностранных граждан в Российской Федерации», в случае </w:t>
      </w:r>
      <w:r>
        <w:t xml:space="preserve">привлечения Исполнител</w:t>
      </w:r>
      <w:r>
        <w:t xml:space="preserve">ем к оказанию услуг иностранных граждан, к Списку сотрудников Исполнителя прикладывается заверенная в установленном порядке копия специального разрешения, полученного в установленном законодательством Российской Федерации порядке. Список сотрудников Исполн</w:t>
      </w:r>
      <w:r>
        <w:t xml:space="preserve">ителя подлежит обязательному согласованию с Заказчиком в течение двух рабочих дней с даты предоставления его Исполнителем на предмет соответствия действующему на объекте Заказчика в помещениях, на которых размещается Управление Федерального казначейства по</w:t>
      </w:r>
      <w:r>
        <w:rPr>
          <w:rFonts w:ascii="Calibri" w:hAnsi="Calibri"/>
          <w:sz w:val="22"/>
          <w:szCs w:val="22"/>
          <w:lang w:eastAsia="ar-SA"/>
        </w:rPr>
        <w:t xml:space="preserve"> </w:t>
      </w:r>
      <w:r>
        <w:t xml:space="preserve">адресу: г. Челябинск, ул. Тернопольская, д. 4, пропускного и охранного режимов</w:t>
      </w:r>
      <w:r>
        <w:rPr>
          <w:bCs/>
        </w:rPr>
        <w:t xml:space="preserve">.</w:t>
      </w:r>
      <w:r>
        <w:rPr>
          <w:bCs/>
        </w:rPr>
      </w:r>
    </w:p>
    <w:p>
      <w:pPr>
        <w:ind w:firstLine="709"/>
        <w:jc w:val="both"/>
      </w:pPr>
      <w:r/>
      <w:r/>
    </w:p>
    <w:p>
      <w:pPr>
        <w:ind w:firstLine="709"/>
        <w:jc w:val="both"/>
        <w:rPr>
          <w:b/>
          <w:i/>
        </w:rPr>
      </w:pPr>
      <w:r>
        <w:rPr>
          <w:b/>
          <w:i/>
        </w:rPr>
        <w:t xml:space="preserve">При оказании услуг Исполнитель обязан руководствоваться:</w:t>
      </w:r>
      <w:r>
        <w:rPr>
          <w:b/>
          <w:i/>
        </w:rPr>
      </w:r>
    </w:p>
    <w:p>
      <w:pPr>
        <w:jc w:val="both"/>
        <w:tabs>
          <w:tab w:val="left" w:pos="1701" w:leader="none"/>
        </w:tabs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pPr>
        <w:ind w:firstLine="709"/>
        <w:jc w:val="both"/>
      </w:pPr>
      <w:r>
        <w:t xml:space="preserve">- СП 60.13330.2020. «Свод правил. Отопление, вентиляция и кондиционирование воздуха. СНиП 41-01-2003»;</w:t>
      </w:r>
      <w:r/>
    </w:p>
    <w:p>
      <w:pPr>
        <w:ind w:firstLine="709"/>
        <w:jc w:val="both"/>
      </w:pPr>
      <w:r>
        <w:t xml:space="preserve">- ГОСТ 18322-2016. «Межгосударственный стандарт. Система технического обслуживания и ремонта техники. Термины и определения»;</w:t>
      </w:r>
      <w:r/>
    </w:p>
    <w:p>
      <w:pPr>
        <w:ind w:firstLine="709"/>
        <w:jc w:val="both"/>
      </w:pPr>
      <w:r>
        <w:t xml:space="preserve">- ГОСТ Р 59972-2021. «Национальный стандарт Российской Федерации. Системы вентиляции и кондиционирования воздуха общественных зданий. Технические требования»;</w:t>
      </w:r>
      <w:r/>
    </w:p>
    <w:p>
      <w:pPr>
        <w:ind w:firstLine="709"/>
        <w:jc w:val="both"/>
      </w:pPr>
      <w:r>
        <w:t xml:space="preserve">- Приказом Минтруда России от 15.12.2020 № 903н «Об утверждении Правил по охране труда при эксплуатации электроустановок»;</w:t>
      </w:r>
      <w:r/>
    </w:p>
    <w:p>
      <w:pPr>
        <w:ind w:firstLine="709"/>
        <w:jc w:val="both"/>
        <w:tabs>
          <w:tab w:val="left" w:pos="1134" w:leader="none"/>
        </w:tabs>
      </w:pPr>
      <w:r>
        <w:t xml:space="preserve">- ГОСТ 27570.0-87 (МЭК 335-1-76). «Межгосударственный стандарт. Безопасность бытовых и аналогичных электрических приборов. Общие требования и методы испытаний»; </w:t>
      </w:r>
      <w:r/>
    </w:p>
    <w:p>
      <w:pPr>
        <w:ind w:firstLine="709"/>
        <w:jc w:val="both"/>
        <w:tabs>
          <w:tab w:val="left" w:pos="1134" w:leader="none"/>
        </w:tabs>
      </w:pPr>
      <w:r>
        <w:t xml:space="preserve">- ГОСТ 12.1.004-91. «Межгосударственный стандарт. Система стандартов безопасности труда. Пожарная безопасность. Общие требования»;</w:t>
      </w:r>
      <w:r/>
    </w:p>
    <w:p>
      <w:pPr>
        <w:ind w:firstLine="709"/>
        <w:jc w:val="both"/>
        <w:tabs>
          <w:tab w:val="left" w:pos="1134" w:leader="none"/>
        </w:tabs>
      </w:pPr>
      <w:r>
        <w:t xml:space="preserve">- 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  <w:r/>
    </w:p>
    <w:p>
      <w:pPr>
        <w:ind w:firstLine="709"/>
        <w:jc w:val="both"/>
        <w:tabs>
          <w:tab w:val="left" w:pos="1134" w:leader="none"/>
        </w:tabs>
      </w:pPr>
      <w:r>
        <w:t xml:space="preserve">- Федеральный закон от 22.07.2008 № 123-ФЗ «Технический регламент о требованиях пожарной безопасности»;</w:t>
      </w:r>
      <w:r/>
    </w:p>
    <w:p>
      <w:pPr>
        <w:ind w:firstLine="709"/>
        <w:jc w:val="both"/>
        <w:tabs>
          <w:tab w:val="left" w:pos="1134" w:leader="none"/>
        </w:tabs>
      </w:pPr>
      <w:r>
        <w:t xml:space="preserve">- Федеральный закон от 21.12.1994 № 69-ФЗ «О пожарной безопасности»;</w:t>
      </w:r>
      <w:r/>
    </w:p>
    <w:p>
      <w:pPr>
        <w:ind w:firstLine="709"/>
        <w:jc w:val="both"/>
        <w:tabs>
          <w:tab w:val="left" w:pos="1134" w:leader="none"/>
        </w:tabs>
      </w:pPr>
      <w:r>
        <w:t xml:space="preserve">- ГОСТ 12.2.007.0-75. «Межгосударственный стандарт. Система стандартов безопасности труда. Изделия электротехнические. Общие требования безопасности»;</w:t>
      </w:r>
      <w:r/>
    </w:p>
    <w:p>
      <w:pPr>
        <w:ind w:firstLine="709"/>
        <w:jc w:val="both"/>
        <w:tabs>
          <w:tab w:val="left" w:pos="180" w:leader="none"/>
          <w:tab w:val="left" w:pos="900" w:leader="none"/>
          <w:tab w:val="left" w:pos="1134" w:leader="none"/>
        </w:tabs>
      </w:pPr>
      <w:r>
        <w:t xml:space="preserve">- Постановление Правительства Российской Федерации от 16.09.2020 № 1479 «Об утверждении Правил противопожарного режима в Российской Федерации»;</w:t>
      </w:r>
      <w:r/>
    </w:p>
    <w:p>
      <w:pPr>
        <w:ind w:firstLine="709"/>
        <w:jc w:val="both"/>
        <w:tabs>
          <w:tab w:val="left" w:pos="1134" w:leader="none"/>
        </w:tabs>
      </w:pPr>
      <w:r>
        <w:t xml:space="preserve">- Документацией завода-изготовителя и иными нормативными документами, имеющими отношение к оказываемым услугам, или документами, их заменяющими.</w:t>
      </w:r>
      <w:r/>
    </w:p>
    <w:p>
      <w:pPr>
        <w:ind w:firstLine="720"/>
        <w:jc w:val="both"/>
        <w:tabs>
          <w:tab w:val="left" w:pos="0" w:leader="none"/>
          <w:tab w:val="left" w:pos="900" w:leader="none"/>
        </w:tabs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p>
      <w:pPr>
        <w:ind w:firstLine="709"/>
        <w:jc w:val="both"/>
        <w:rPr>
          <w:b/>
          <w:iCs/>
        </w:rPr>
      </w:pPr>
      <w:r>
        <w:rPr>
          <w:b/>
          <w:iCs/>
        </w:rPr>
        <w:t xml:space="preserve">7. Требования к безопасности оказанных услуг. </w:t>
      </w:r>
      <w:r>
        <w:rPr>
          <w:b/>
          <w:iCs/>
        </w:rPr>
      </w:r>
    </w:p>
    <w:p>
      <w:pPr>
        <w:ind w:firstLine="709"/>
        <w:jc w:val="both"/>
        <w:rPr>
          <w:b/>
          <w:iCs/>
        </w:rPr>
      </w:pPr>
      <w:r>
        <w:rPr>
          <w:b/>
          <w:iCs/>
        </w:rPr>
      </w:r>
      <w:r>
        <w:rPr>
          <w:b/>
          <w:iCs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</w:t>
      </w:r>
      <w:r>
        <w:rPr>
          <w:rFonts w:eastAsia="Calibri"/>
          <w:lang w:eastAsia="ar-SA"/>
        </w:rPr>
        <w:t xml:space="preserve">итель должен обеспечить оказание услуг в соответствии с действующими на территории Российской Федерации нормативно-правовыми актами в области охраны труда и пожарной безопасности, а также контроль за соблюдением требований данных нормативно-правовых актов.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несет всю полноту ответственности за соблюдение его работниками и работниками субподрядных организаций, третьими лицами, привлекаемыми Исполнителем для оказания услуг (далее – работники), требований охраны труда и пожарной безопасности.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должен соблюдать на территории Заказчика производственную дисциплину, порядок допуска работников, пропускной режим, не допускать нахождение работников в состоянии алкогольного, токсического, иного опьянения. Настоящие требования расп</w:t>
      </w:r>
      <w:r>
        <w:rPr>
          <w:rFonts w:eastAsia="Calibri"/>
          <w:lang w:eastAsia="ar-SA"/>
        </w:rPr>
        <w:t xml:space="preserve">ространяются на субподрядные организации, привлеченные Подрядчиком. Подрядчик обязан включить в контракты (договоры), заключаемые с субподрядными организациями, условия, предусмотренные настоящим Техническим заданиям, и осуществлять контроль их исполнения.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Настоящие требования распространяются на организации </w:t>
      </w:r>
      <w:r>
        <w:rPr>
          <w:rFonts w:eastAsia="Calibri"/>
          <w:lang w:eastAsia="ar-SA"/>
        </w:rPr>
        <w:t xml:space="preserve">субисполнителей</w:t>
      </w:r>
      <w:r>
        <w:rPr>
          <w:rFonts w:eastAsia="Calibri"/>
          <w:lang w:eastAsia="ar-SA"/>
        </w:rPr>
        <w:t xml:space="preserve">, привлеченные Исполнителем. Исполнитель обязан включить в контракты (договоры), заключаемые с </w:t>
      </w:r>
      <w:r>
        <w:rPr>
          <w:rFonts w:eastAsia="Calibri"/>
          <w:lang w:eastAsia="ar-SA"/>
        </w:rPr>
        <w:t xml:space="preserve">субиспонителями</w:t>
      </w:r>
      <w:r>
        <w:rPr>
          <w:rFonts w:eastAsia="Calibri"/>
          <w:lang w:eastAsia="ar-SA"/>
        </w:rPr>
        <w:t xml:space="preserve">, условия, предусмотренные настоящим Техническим заданием, и осуществлять контроль их исполнения. 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В случае привлечения </w:t>
      </w:r>
      <w:r>
        <w:rPr>
          <w:rFonts w:eastAsia="Calibri"/>
          <w:lang w:eastAsia="ar-SA"/>
        </w:rPr>
        <w:t xml:space="preserve">субисполнителей</w:t>
      </w:r>
      <w:r>
        <w:rPr>
          <w:rFonts w:eastAsia="Calibri"/>
          <w:lang w:eastAsia="ar-SA"/>
        </w:rPr>
        <w:t xml:space="preserve"> Исполнитель обязан до начала ими выполнения работ (оказания услуг) письменно уведомить Заказчика о привлечении субподрядных организаций и предоставить копии контрактов (договоров), заключенных с </w:t>
      </w:r>
      <w:r>
        <w:rPr>
          <w:rFonts w:eastAsia="Calibri"/>
          <w:lang w:eastAsia="ar-SA"/>
        </w:rPr>
        <w:t xml:space="preserve">субисполнителями</w:t>
      </w:r>
      <w:r>
        <w:rPr>
          <w:rFonts w:eastAsia="Calibri"/>
          <w:lang w:eastAsia="ar-SA"/>
        </w:rPr>
        <w:t xml:space="preserve">. 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обязуется допускать к оказанию услуг на территории Заказчика работников: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соответствующей квалификации;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прошедших в установленном порядке обучение по охране труда и пожарной безопасности;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не имеющих медицинских противопоказаний к оказанию соответствующих услуг.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обязуется обеспечить работников: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исправным оборудованием, инструментом и приспособлениями, соответствующими выполняемым работам (оказываемым услугам);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исправными средствами индивидуальной и коллективной защиты, прошедшими подтверждение соответствия в установленном законодательством Российской Федерации порядке, с учетом условий и характера выполняемых работ (оказываемых услуг);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аптечками первой помощи пострадавшим;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первичными средствами пожаротушения.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обязуется использовать транспортные средства, прошедшие технические осмотры и техническое обслуживание в порядке, установленном законодательством Российской Федерации.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обязуется до начала оказания услуг предоставить Заказчику: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а) копию приказа о назначении лица, ответственного за безопасную организацию оказания услуг на территории Заказчика;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б) письмо с указанием поименного списка работников Исполнителя, направляемых для оказания услуг, с указанием профессий (должностей), квалификации работников, а также лиц, ответственных за безопасное оказание услуг (работники, которым предоставлено</w:t>
      </w:r>
      <w:r>
        <w:rPr>
          <w:rFonts w:eastAsia="Calibri"/>
          <w:lang w:eastAsia="ar-SA"/>
        </w:rPr>
        <w:t xml:space="preserve"> право подписания акта-допуска, выдачи наряда-допуска на производство работ повышенной опасности, работников, назначенных ответственными руководителями работ, производителями работ) и контактные данные лица, ответственного за безопасную организацию работ; 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в) копии протоколов проверки знания требований охраны труда лица, ответственного за безопасную организацию оказания услуг, лиц, ответственных за безопасное оказание услуг, работников, заявленных на выполнение работ (оказание услуг) на территории Заказчика;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г) копии удостоверений (протоколов) о проверке знаний правил работы в электроустановках (при оказании услуг в действующих, строящихся, технически перевооружаемых, реконструируемых электроустановках).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обязуется обеспечить прохождение работниками, которые оказывают услуги на территории Заказчика, вводного инструктажа по охране труда, противопожарного инструктажа у Заказчика до начала оказания услуг.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до начала оказания услуг обеспечивает работ</w:t>
      </w:r>
      <w:r>
        <w:rPr>
          <w:rFonts w:eastAsia="Calibri"/>
          <w:lang w:eastAsia="ar-SA"/>
        </w:rPr>
        <w:t xml:space="preserve">ников документами, содержащими требования по охране труда и регламентирующими проведение соответствующих работ на территории Заказчика (инструкции по охране труда, проект производства работ, план производства работ на высоте, технологические карты и т.п.).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согласует с Заказчиком: 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схемы подключения, точки подключения к энергоносителям (электроэнергия, вода и другие);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место размещения оборудования, машин, спецтехники;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место хранения материалов, оборудования, инструментов и приспособлений;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место хранения средств индивидуальной защиты, предусмотренных правилами и нормами охраны труда для оказания конкретных видов услуг;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место накопления отходов.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В целях обеспечения эффективного и безопасного оказания услуг, а также исключения простоев в ходе оказания услуг оборудование, машины, спецтехника, используемые Исполнителем, должны поддерживаться в технически испра</w:t>
      </w:r>
      <w:r>
        <w:rPr>
          <w:rFonts w:eastAsia="Calibri"/>
          <w:lang w:eastAsia="ar-SA"/>
        </w:rPr>
        <w:t xml:space="preserve">вном состоянии и отвечать требованиям соответствующих государственных стандартов, технических условий и других нормативных документов, иметь паспорта, сертификаты, инструкции, разрешительные документы, предусмотренные действующим нормативными требованиями.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В</w:t>
      </w:r>
      <w:r>
        <w:rPr>
          <w:rFonts w:eastAsia="Calibri"/>
          <w:lang w:eastAsia="ar-SA"/>
        </w:rPr>
        <w:t xml:space="preserve"> целях организации и безопасного оказания услуг уполномоченные лица со стороны Заказчика и со стороны Исполнителя совместно оформляют акт-допуск для оказания услуг (далее – акт-допуск) по форме, указанной в Приложении № 1 к настоящему Техническому заданию.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допускает работников к оказанию услуг после выполнения соответствующих мероприятий, предусмотренных актом-допуском.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Исполнитель, получивший акт-допуск на выделенной территории имеет право: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выдавать акты-допуски субподрядным организациям на весь период действия акта-допуска; 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выдавать наряды-допуски на период, не превышающий срок действия акта-допуска, и допускать для оказания услуг свой персонал с ежедневным оформлением допуска в соответствующей таблице ответственным лицом по оказанию услуг; 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прекращать работы персонала, который выполняет работы в зоне действия акта-допуска без разрешения организации Исполнителя.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определяет: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границы опасных зон на время оказания услуг по действию опасных факторов на территории;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рабочие места, на которых услуги оказываются по наряду-допуску;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места установки защитных ограждений, сигнальных ограждений и знаков безопасности.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На границах зон с постоянным присутствием опасных производственных факторов Исполнителем должны быть установлены защитные ограждения для предотвращения доступа посторонних лиц на территории и участки с опасными и вредны</w:t>
      </w:r>
      <w:r>
        <w:rPr>
          <w:rFonts w:eastAsia="Calibri"/>
          <w:lang w:eastAsia="ar-SA"/>
        </w:rPr>
        <w:t xml:space="preserve">ми производственными факторами, а на границах зон с возможным воздействием опасных производственных факторов - сигнальные ограждения и знаки безопасности для предупреждения о границах территорий и участков с опасными и вредными производственными факторами.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Исполнитель: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обеспечивает достаточный уровень освещенности зоны оказания услуг;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организует ежедневную уборку зоны оказания услуг;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- при необходимости обеспечивает временное устройство тротуаров, переходов на время оказания услуг.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ежедневно осуществляет мониторинг хода оказания услуг и изменений условий труда, а также ежедневный контроль соблюдения требований охраны труда работниками.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</w:t>
      </w:r>
      <w:r>
        <w:rPr>
          <w:rFonts w:eastAsia="Calibri"/>
          <w:lang w:eastAsia="ar-SA"/>
        </w:rPr>
        <w:t xml:space="preserve">обеспечивает Заказчику доступ к месту проведения работ для проверки хода производства работ, соблюдения требований охраны труда работниками Исполнителя. Проверки проводятся исключительно в отношении работ по контракту, выполняемых на территории Заказчика. 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должен незамедлительно принять меры по устранению выявленных нарушений в области охраны труда и пожарной безопасности, в том числе </w:t>
      </w:r>
      <w:r>
        <w:rPr>
          <w:rFonts w:eastAsia="Calibri"/>
          <w:lang w:eastAsia="ar-SA"/>
        </w:rPr>
        <w:t xml:space="preserve">субисполнителями</w:t>
      </w:r>
      <w:r>
        <w:rPr>
          <w:rFonts w:eastAsia="Calibri"/>
          <w:lang w:eastAsia="ar-SA"/>
        </w:rPr>
        <w:t xml:space="preserve">, а также устранять причины и ситуации, представляющие угрозу жизни и здоровью работников.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В случае возникновения аварийной ситуации в зоне выполнения ра</w:t>
      </w:r>
      <w:r>
        <w:rPr>
          <w:rFonts w:eastAsia="Calibri"/>
          <w:lang w:eastAsia="ar-SA"/>
        </w:rPr>
        <w:t xml:space="preserve">бот, Исполнитель обязан принять незамедлительные меры по обеспечению безопасности работающих, включая приостановку работ, вызов экстренных оперативных служб, принятие мер по локализации и ликвидации аварийной ситуации, эвакуацию людей, извещение Заказчика.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осуществляет вызов скорой медицинской помощи и обеспечивает сопровождение сотрудников скорой медицинской помощи к месту несчастного случая с работником Исполнителя на территории Заказчика.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Исполнитель обязан обеспечить выезд работников, вывоз используемых оборудования, инструментов, приспособлений, отходов с территории Заказчика не позднее даты прекращения (расторжения) контракта.</w:t>
      </w:r>
      <w:r>
        <w:rPr>
          <w:rFonts w:eastAsia="Calibri"/>
          <w:lang w:eastAsia="ar-SA"/>
        </w:rPr>
      </w:r>
    </w:p>
    <w:p>
      <w:pPr>
        <w:ind w:firstLine="720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rPr>
          <w:iCs/>
        </w:rPr>
        <w:outlineLvl w:val="0"/>
      </w:pPr>
      <w:r>
        <w:rPr>
          <w:b/>
          <w:bCs/>
        </w:rPr>
        <w:t xml:space="preserve">8. Требования к качеству оказания услуг</w:t>
      </w:r>
      <w:r>
        <w:rPr>
          <w:iCs/>
        </w:rPr>
        <w:t xml:space="preserve">.</w:t>
      </w:r>
      <w:r>
        <w:rPr>
          <w:iCs/>
        </w:rPr>
      </w:r>
    </w:p>
    <w:p>
      <w:pPr>
        <w:ind w:firstLine="709"/>
        <w:rPr>
          <w:iCs/>
        </w:rPr>
        <w:outlineLvl w:val="0"/>
      </w:pPr>
      <w:r>
        <w:rPr>
          <w:iCs/>
        </w:rPr>
      </w:r>
      <w:r>
        <w:rPr>
          <w:i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Качество оказываемых услуг должно соответствовать всем требованиям, установленным действующим законодательством Российской Федерации, к такому роду услуг. 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Оказанные услуги должны соответствовать требованиям законодательства Российской Федерации. Обслуживание и </w:t>
      </w:r>
      <w:r>
        <w:rPr>
          <w:bCs/>
        </w:rPr>
        <w:t xml:space="preserve">ремонт</w:t>
      </w:r>
      <w:r>
        <w:rPr>
          <w:bCs/>
        </w:rPr>
        <w:t xml:space="preserve"> систем кондиционирования должно проводиться комплексно, в соответствии с эксплуатационной документацией на установленные системы.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lef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lef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Приложение № 1</w:t>
      </w:r>
      <w:r>
        <w:rPr>
          <w:rFonts w:eastAsia="Calibri"/>
          <w:lang w:eastAsia="ar-SA"/>
        </w:rPr>
      </w:r>
    </w:p>
    <w:p>
      <w:pPr>
        <w:ind w:firstLine="709"/>
        <w:jc w:val="both"/>
        <w:rPr>
          <w:lang w:eastAsia="ar-SA"/>
        </w:rPr>
        <w:outlineLvl w:val="0"/>
      </w:pPr>
      <w:r>
        <w:rPr>
          <w:lang w:eastAsia="ar-SA"/>
        </w:rPr>
      </w:r>
      <w:r>
        <w:rPr>
          <w:lang w:eastAsia="ar-SA"/>
        </w:rPr>
      </w:r>
    </w:p>
    <w:p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ФОРМА</w:t>
      </w:r>
      <w:r>
        <w:rPr>
          <w:rFonts w:eastAsia="Calibri"/>
          <w:lang w:eastAsia="en-US"/>
        </w:rPr>
      </w:r>
    </w:p>
    <w:p>
      <w:pPr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5336"/>
        <w:gridCol w:w="21"/>
        <w:gridCol w:w="878"/>
        <w:gridCol w:w="384"/>
        <w:gridCol w:w="555"/>
        <w:gridCol w:w="669"/>
        <w:gridCol w:w="1778"/>
        <w:gridCol w:w="14"/>
      </w:tblGrid>
      <w:tr>
        <w:tblPrEx/>
        <w:trPr>
          <w:jc w:val="center"/>
          <w:trHeight w:val="1034"/>
        </w:trPr>
        <w:tc>
          <w:tcPr>
            <w:gridSpan w:val="9"/>
            <w:tcW w:w="10200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АКТ-ДОПУСК</w:t>
            </w:r>
            <w:r>
              <w:rPr>
                <w:lang w:eastAsia="ar-SA"/>
              </w:rPr>
            </w:r>
          </w:p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для выполнения работ (оказания услуг) ___________________________________________________________________________________</w:t>
            </w:r>
            <w:r>
              <w:rPr>
                <w:lang w:eastAsia="ar-SA"/>
              </w:rPr>
            </w:r>
          </w:p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___________________________________________________________________________________</w:t>
            </w:r>
            <w:r>
              <w:rPr>
                <w:lang w:eastAsia="ar-SA"/>
              </w:rPr>
            </w:r>
          </w:p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00" w:type="dxa"/>
            <w:textDirection w:val="lrTb"/>
            <w:noWrap w:val="false"/>
          </w:tcPr>
          <w:p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W w:w="384" w:type="dxa"/>
            <w:textDirection w:val="lrTb"/>
            <w:noWrap w:val="false"/>
          </w:tcPr>
          <w:p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4"/>
            <w:tcW w:w="3016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«__» ____________ 20__ г.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234"/>
        </w:trPr>
        <w:tc>
          <w:tcPr>
            <w:gridSpan w:val="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0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(место составления)</w:t>
            </w:r>
            <w:r>
              <w:rPr>
                <w:lang w:eastAsia="ar-SA"/>
              </w:rPr>
            </w:r>
          </w:p>
        </w:tc>
        <w:tc>
          <w:tcPr>
            <w:tcW w:w="384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4"/>
            <w:tcW w:w="3016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(дата)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ind w:left="-108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ind w:left="-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(наименование объекта)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W w:w="10200" w:type="dxa"/>
            <w:textDirection w:val="lrTb"/>
            <w:noWrap w:val="false"/>
          </w:tcPr>
          <w:p>
            <w:pPr>
              <w:ind w:firstLine="34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Мы, нижеподписавшиеся, представитель заказчика,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(фамилия, инициалы, должность)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W w:w="10200" w:type="dxa"/>
            <w:textDirection w:val="lrTb"/>
            <w:noWrap w:val="false"/>
          </w:tcPr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и представитель подрядчика (исполнителя), ответственный за выполнение работ (оказание услуг)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(фамилия, инициалы, должность)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918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составили настоящий акт о нижеследующем.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Заказчик предоставляет объект (участок, территорию)</w:t>
            </w:r>
            <w:r>
              <w:rPr>
                <w:lang w:eastAsia="ar-SA"/>
              </w:rPr>
            </w:r>
          </w:p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(наименование объекта, участка, территории)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W w:w="10200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ограниченный координатами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513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(наименование осей, отметок и номер чертежа)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727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для выполнения на нем 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163"/>
        </w:trPr>
        <w:tc>
          <w:tcPr>
            <w:gridSpan w:val="9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(наименование работ, услуг)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403"/>
        </w:trPr>
        <w:tc>
          <w:tcPr>
            <w:gridSpan w:val="9"/>
            <w:tcW w:w="10200" w:type="dxa"/>
            <w:textDirection w:val="lrTb"/>
            <w:noWrap w:val="false"/>
          </w:tcPr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под руководством представителя подрядчика (исполнителя), на следующий срок: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465"/>
        </w:trPr>
        <w:tc>
          <w:tcPr>
            <w:gridSpan w:val="9"/>
            <w:tcW w:w="10200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начало «__» ____________ 20__ г.</w:t>
            </w:r>
            <w:r>
              <w:rPr>
                <w:lang w:eastAsia="ar-SA"/>
              </w:rPr>
              <w:tab/>
              <w:t xml:space="preserve">окончание «__» ____________ 20__ г.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673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До начала и во время выполнения работ (оказания услуг) необходимо выполнить следующие мероприятия: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№ п/п</w:t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5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Наименование мероприятия </w:t>
            </w:r>
            <w:r>
              <w:rPr>
                <w:lang w:eastAsia="ar-SA"/>
              </w:rPr>
            </w:r>
          </w:p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(перечисляются в том числе мероприятия </w:t>
            </w:r>
            <w:r>
              <w:rPr>
                <w:lang w:eastAsia="ar-SA"/>
              </w:rPr>
            </w:r>
          </w:p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по подготовке рабочих мест)</w:t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8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Дата и время выполнения мероприятия</w:t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ФИО и подпись лица, ответственного за выполнение мероприятия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1</w:t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5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2</w:t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8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</w:t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4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ind w:left="-42"/>
              <w:tabs>
                <w:tab w:val="left" w:pos="459" w:leader="none"/>
              </w:tabs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5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2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ind w:left="-42"/>
              <w:tabs>
                <w:tab w:val="left" w:pos="459" w:leader="none"/>
              </w:tabs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5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2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ind w:left="-42"/>
              <w:tabs>
                <w:tab w:val="left" w:pos="459" w:leader="none"/>
              </w:tabs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5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2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ind w:left="-42"/>
              <w:tabs>
                <w:tab w:val="left" w:pos="459" w:leader="none"/>
              </w:tabs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5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2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ind w:left="-42"/>
              <w:tabs>
                <w:tab w:val="left" w:pos="459" w:leader="none"/>
              </w:tabs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5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92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gridAfter w:val="1"/>
          <w:jc w:val="center"/>
          <w:trHeight w:val="541"/>
        </w:trPr>
        <w:tc>
          <w:tcPr>
            <w:gridSpan w:val="8"/>
            <w:tcW w:w="10186" w:type="dxa"/>
            <w:vAlign w:val="center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По завершении выполнения работ (оказания услуг) необходимо выполнить следующие мероприятия (заполняется при проведении работ в действующих электроустановках, тепловых энергоустановках):</w:t>
            </w:r>
            <w:r>
              <w:rPr>
                <w:lang w:eastAsia="ar-SA"/>
              </w:rPr>
            </w:r>
          </w:p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№ п/п</w:t>
            </w:r>
            <w:r>
              <w:rPr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6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Наименование мероприятия</w:t>
            </w:r>
            <w:r>
              <w:rPr>
                <w:lang w:eastAsia="ar-S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8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Дата и время выполнения мероприятия</w:t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7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ФИО и подпись лица, выполнившего мероприятие</w:t>
            </w:r>
            <w:r>
              <w:rPr>
                <w:lang w:eastAsia="ar-SA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1</w:t>
            </w:r>
            <w:r>
              <w:rPr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6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2</w:t>
            </w:r>
            <w:r>
              <w:rPr>
                <w:lang w:eastAsia="ar-S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8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</w:t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7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4</w:t>
            </w:r>
            <w:r>
              <w:rPr>
                <w:lang w:eastAsia="ar-SA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6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7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6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7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6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7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6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7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6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7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6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7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9"/>
            <w:tcW w:w="10200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W w:w="5922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Представитель Заказчика</w:t>
            </w:r>
            <w:r>
              <w:rPr>
                <w:lang w:eastAsia="ar-SA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27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75"/>
        </w:trPr>
        <w:tc>
          <w:tcPr>
            <w:gridSpan w:val="3"/>
            <w:tcW w:w="5922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78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(подпись)</w:t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75"/>
        </w:trPr>
        <w:tc>
          <w:tcPr>
            <w:gridSpan w:val="3"/>
            <w:tcW w:w="5922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Представитель Исполнителя</w:t>
            </w:r>
            <w:r>
              <w:rPr>
                <w:lang w:eastAsia="ar-SA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278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  <w:tr>
        <w:tblPrEx/>
        <w:trPr>
          <w:jc w:val="center"/>
          <w:trHeight w:val="75"/>
        </w:trPr>
        <w:tc>
          <w:tcPr>
            <w:gridSpan w:val="3"/>
            <w:tcW w:w="5922" w:type="dxa"/>
            <w:textDirection w:val="lrTb"/>
            <w:noWrap w:val="false"/>
          </w:tcPr>
          <w:p>
            <w:pPr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78" w:type="dxa"/>
            <w:textDirection w:val="lrTb"/>
            <w:noWrap w:val="false"/>
          </w:tcPr>
          <w:p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(подпись)</w:t>
            </w:r>
            <w:r>
              <w:rPr>
                <w:lang w:eastAsia="ar-SA"/>
              </w:rPr>
            </w:r>
          </w:p>
        </w:tc>
      </w:tr>
    </w:tbl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/>
      <w:bookmarkStart w:id="0" w:name="_GoBack"/>
      <w:r/>
      <w:bookmarkEnd w:id="0"/>
      <w:r/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jc w:val="right"/>
        <w:tabs>
          <w:tab w:val="left" w:pos="4678" w:leader="none"/>
        </w:tabs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Приложение № 2</w:t>
      </w:r>
      <w:r>
        <w:rPr>
          <w:rFonts w:eastAsia="Calibri"/>
          <w:lang w:eastAsia="ar-SA"/>
        </w:rPr>
      </w:r>
    </w:p>
    <w:p>
      <w:pPr>
        <w:ind w:firstLine="709"/>
        <w:jc w:val="both"/>
        <w:rPr>
          <w:lang w:eastAsia="ar-SA"/>
        </w:rPr>
        <w:outlineLvl w:val="0"/>
      </w:pPr>
      <w:r>
        <w:rPr>
          <w:lang w:eastAsia="ar-SA"/>
        </w:rPr>
      </w:r>
      <w:r>
        <w:rPr>
          <w:lang w:eastAsia="ar-SA"/>
        </w:rPr>
      </w:r>
    </w:p>
    <w:p>
      <w:pPr>
        <w:jc w:val="center"/>
        <w:widowControl w:val="off"/>
      </w:pPr>
      <w:r>
        <w:t xml:space="preserve">Форма а</w:t>
      </w:r>
      <w:r>
        <w:t xml:space="preserve">кт</w:t>
      </w:r>
      <w:r>
        <w:t xml:space="preserve">а</w:t>
      </w:r>
      <w:r>
        <w:t xml:space="preserve"> приемки </w:t>
      </w:r>
      <w:r>
        <w:t xml:space="preserve">товаров, работ, услуг (по форме </w:t>
      </w:r>
      <w:r>
        <w:t xml:space="preserve">№ 0510452 Приказа Минфина России от 15.04.2021 № 61н</w:t>
      </w:r>
      <w:r/>
    </w:p>
    <w:p>
      <w:pPr>
        <w:jc w:val="center"/>
        <w:rPr>
          <w:b/>
        </w:rPr>
      </w:pPr>
      <w:r>
        <w:rPr>
          <w:rFonts w:eastAsiaTheme="minorHAns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0620" cy="8227931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361812" cy="84011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0.60pt;height:647.87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b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jc w:val="center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</w:p>
  <w:p>
    <w:pPr>
      <w:pStyle w:val="72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</w:pPr>
    <w:r/>
    <w:r/>
  </w:p>
  <w:p>
    <w:pPr>
      <w:pStyle w:val="72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59851332"/>
      <w:docPartObj>
        <w:docPartGallery w:val="Page Numbers (Top of Page)"/>
        <w:docPartUnique w:val="true"/>
      </w:docPartObj>
      <w:rPr/>
    </w:sdtPr>
    <w:sdtContent>
      <w:p>
        <w:pPr>
          <w:pStyle w:val="72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11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</w:p>
    </w:sdtContent>
  </w:sdt>
  <w:p>
    <w:pPr>
      <w:pStyle w:val="72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  <w:jc w:val="center"/>
    </w:pPr>
    <w:r/>
    <w:r/>
  </w:p>
  <w:p>
    <w:pPr>
      <w:pStyle w:val="72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9"/>
    <w:next w:val="7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9"/>
    <w:next w:val="7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9"/>
    <w:next w:val="7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9"/>
    <w:next w:val="7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9"/>
    <w:next w:val="7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9"/>
    <w:next w:val="7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9"/>
    <w:next w:val="7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9"/>
    <w:next w:val="7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9"/>
    <w:next w:val="7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19"/>
    <w:next w:val="7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20"/>
    <w:link w:val="34"/>
    <w:uiPriority w:val="10"/>
    <w:rPr>
      <w:sz w:val="48"/>
      <w:szCs w:val="48"/>
    </w:rPr>
  </w:style>
  <w:style w:type="paragraph" w:styleId="36">
    <w:name w:val="Subtitle"/>
    <w:basedOn w:val="719"/>
    <w:next w:val="7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0"/>
    <w:link w:val="36"/>
    <w:uiPriority w:val="11"/>
    <w:rPr>
      <w:sz w:val="24"/>
      <w:szCs w:val="24"/>
    </w:rPr>
  </w:style>
  <w:style w:type="paragraph" w:styleId="38">
    <w:name w:val="Quote"/>
    <w:basedOn w:val="719"/>
    <w:next w:val="7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9"/>
    <w:next w:val="7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0"/>
    <w:link w:val="727"/>
    <w:uiPriority w:val="99"/>
  </w:style>
  <w:style w:type="character" w:styleId="45">
    <w:name w:val="Footer Char"/>
    <w:basedOn w:val="720"/>
    <w:link w:val="729"/>
    <w:uiPriority w:val="99"/>
  </w:style>
  <w:style w:type="paragraph" w:styleId="46">
    <w:name w:val="Caption"/>
    <w:basedOn w:val="719"/>
    <w:next w:val="7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2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20"/>
    <w:uiPriority w:val="99"/>
    <w:unhideWhenUsed/>
    <w:rPr>
      <w:vertAlign w:val="superscript"/>
    </w:rPr>
  </w:style>
  <w:style w:type="paragraph" w:styleId="178">
    <w:name w:val="endnote text"/>
    <w:basedOn w:val="7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0"/>
    <w:uiPriority w:val="99"/>
    <w:semiHidden/>
    <w:unhideWhenUsed/>
    <w:rPr>
      <w:vertAlign w:val="superscript"/>
    </w:rPr>
  </w:style>
  <w:style w:type="paragraph" w:styleId="181">
    <w:name w:val="toc 1"/>
    <w:basedOn w:val="719"/>
    <w:next w:val="7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9"/>
    <w:next w:val="7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9"/>
    <w:next w:val="7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9"/>
    <w:next w:val="7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9"/>
    <w:next w:val="7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9"/>
    <w:next w:val="7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9"/>
    <w:next w:val="7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9"/>
    <w:next w:val="7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9"/>
    <w:next w:val="7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9"/>
    <w:next w:val="719"/>
    <w:uiPriority w:val="99"/>
    <w:unhideWhenUsed/>
    <w:pPr>
      <w:spacing w:after="0" w:afterAutospacing="0"/>
    </w:pPr>
  </w:style>
  <w:style w:type="paragraph" w:styleId="7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paragraph" w:styleId="723">
    <w:name w:val="List Paragraph"/>
    <w:basedOn w:val="719"/>
    <w:uiPriority w:val="34"/>
    <w:qFormat/>
    <w:pPr>
      <w:contextualSpacing/>
      <w:ind w:left="720"/>
    </w:pPr>
  </w:style>
  <w:style w:type="table" w:styleId="724">
    <w:name w:val="Table Grid"/>
    <w:basedOn w:val="7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25" w:customStyle="1">
    <w:name w:val="Style5"/>
    <w:basedOn w:val="719"/>
    <w:uiPriority w:val="99"/>
    <w:qFormat/>
    <w:pPr>
      <w:jc w:val="both"/>
      <w:spacing w:line="298" w:lineRule="exact"/>
      <w:widowControl w:val="off"/>
    </w:pPr>
  </w:style>
  <w:style w:type="character" w:styleId="726" w:customStyle="1">
    <w:name w:val="Font Style13"/>
    <w:uiPriority w:val="99"/>
    <w:rPr>
      <w:rFonts w:hint="default" w:ascii="Times New Roman" w:hAnsi="Times New Roman" w:cs="Times New Roman"/>
      <w:b/>
      <w:bCs w:val="0"/>
      <w:sz w:val="26"/>
    </w:rPr>
  </w:style>
  <w:style w:type="paragraph" w:styleId="727">
    <w:name w:val="Header"/>
    <w:basedOn w:val="719"/>
    <w:link w:val="72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28" w:customStyle="1">
    <w:name w:val="Верхний колонтитул Знак"/>
    <w:basedOn w:val="720"/>
    <w:link w:val="72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9">
    <w:name w:val="Footer"/>
    <w:basedOn w:val="719"/>
    <w:link w:val="73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0" w:customStyle="1">
    <w:name w:val="Нижний колонтитул Знак"/>
    <w:basedOn w:val="720"/>
    <w:link w:val="72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emf"/><Relationship Id="rId14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50E4D-C292-4267-8835-399BE3A0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Глубоков Дмитрий Леонидович</dc:creator>
  <cp:keywords/>
  <dc:description/>
  <cp:lastModifiedBy>Пушкарёв Иван Павлович</cp:lastModifiedBy>
  <cp:revision>13</cp:revision>
  <dcterms:created xsi:type="dcterms:W3CDTF">2025-02-24T10:09:00Z</dcterms:created>
  <dcterms:modified xsi:type="dcterms:W3CDTF">2026-07-24T04:08:22Z</dcterms:modified>
</cp:coreProperties>
</file>