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nos" w:hAnsi="Tinos" w:eastAsia="Tinos" w:cs="Tinos"/>
          <w:b/>
          <w:bCs/>
          <w:sz w:val="32"/>
          <w:szCs w:val="32"/>
          <w14:ligatures w14:val="none"/>
        </w:rPr>
      </w:pPr>
      <w:r>
        <w:rPr>
          <w:rFonts w:ascii="Tinos" w:hAnsi="Tinos" w:eastAsia="Tinos" w:cs="Tinos"/>
          <w:b/>
          <w:bCs/>
          <w:sz w:val="32"/>
          <w:szCs w:val="32"/>
          <w:lang w:eastAsia="ru-RU"/>
        </w:rPr>
        <w:t xml:space="preserve">Проект</w:t>
      </w:r>
      <w:r>
        <w:rPr>
          <w:rFonts w:ascii="Tinos" w:hAnsi="Tinos" w:eastAsia="Tinos" w:cs="Tinos"/>
          <w:b/>
          <w:bCs/>
          <w:sz w:val="32"/>
          <w:szCs w:val="32"/>
          <w14:ligatures w14:val="none"/>
        </w:rPr>
      </w:r>
      <w:r>
        <w:rPr>
          <w:rFonts w:ascii="Tinos" w:hAnsi="Tinos" w:eastAsia="Tinos" w:cs="Tinos"/>
          <w:b/>
          <w:bCs/>
          <w:sz w:val="32"/>
          <w:szCs w:val="32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nos" w:hAnsi="Tinos" w:eastAsia="Tinos" w:cs="Tinos"/>
          <w:b/>
          <w:bCs/>
          <w:sz w:val="22"/>
          <w:szCs w:val="22"/>
          <w:highlight w:val="none"/>
          <w:lang w:eastAsia="ru-RU"/>
          <w14:ligatures w14:val="none"/>
        </w:rPr>
      </w:pPr>
      <w:r>
        <w:rPr>
          <w:rFonts w:ascii="Tinos" w:hAnsi="Tinos" w:eastAsia="Tinos" w:cs="Tinos"/>
          <w:b/>
          <w:bCs/>
          <w:sz w:val="22"/>
          <w:szCs w:val="22"/>
          <w:lang w:eastAsia="ru-RU"/>
        </w:rPr>
        <w:t xml:space="preserve">ГОСУДАРСТВЕННЫЙ КОНТРАКТ №</w:t>
      </w:r>
      <w:r>
        <w:rPr>
          <w:rFonts w:ascii="Tinos" w:hAnsi="Tinos" w:eastAsia="Tinos" w:cs="Tinos"/>
          <w:b/>
          <w:bCs/>
          <w:sz w:val="22"/>
          <w:szCs w:val="22"/>
          <w:lang w:eastAsia="ru-RU"/>
        </w:rPr>
        <w:t xml:space="preserve"> ___</w:t>
      </w:r>
      <w:r>
        <w:rPr>
          <w:rFonts w:ascii="Tinos" w:hAnsi="Tinos" w:eastAsia="Tinos" w:cs="Tinos"/>
          <w:b/>
          <w:bCs/>
          <w:sz w:val="22"/>
          <w:szCs w:val="22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  <w:lang w:eastAsia="ru-RU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nos" w:hAnsi="Tinos" w:eastAsia="Tinos" w:cs="Tinos"/>
          <w:b w:val="0"/>
          <w:bCs w:val="0"/>
          <w:sz w:val="22"/>
          <w:szCs w:val="22"/>
          <w:highlight w:val="none"/>
        </w:rPr>
      </w:pPr>
      <w:r>
        <w:rPr>
          <w:rFonts w:ascii="Tinos" w:hAnsi="Tinos" w:eastAsia="Tinos" w:cs="Tinos"/>
          <w:b w:val="0"/>
          <w:bCs w:val="0"/>
          <w:sz w:val="22"/>
          <w:szCs w:val="22"/>
        </w:rPr>
        <w:t xml:space="preserve">на о</w:t>
      </w:r>
      <w:r>
        <w:rPr>
          <w:rFonts w:ascii="Tinos" w:hAnsi="Tinos" w:eastAsia="Tinos" w:cs="Tinos"/>
          <w:b w:val="0"/>
          <w:bCs w:val="0"/>
          <w:sz w:val="22"/>
          <w:szCs w:val="22"/>
        </w:rPr>
        <w:t xml:space="preserve">казание услуг по разработке паспортов отходов</w:t>
      </w:r>
      <w:r>
        <w:rPr>
          <w:rFonts w:ascii="Tinos" w:hAnsi="Tinos" w:eastAsia="Tinos" w:cs="Tinos"/>
          <w:b w:val="0"/>
          <w:bCs w:val="0"/>
          <w:sz w:val="22"/>
          <w:szCs w:val="22"/>
          <w:highlight w:val="none"/>
        </w:rPr>
      </w:r>
      <w:r>
        <w:rPr>
          <w:rFonts w:ascii="Tinos" w:hAnsi="Tinos" w:eastAsia="Tinos" w:cs="Tinos"/>
          <w:b w:val="0"/>
          <w:bCs w:val="0"/>
          <w:sz w:val="22"/>
          <w:szCs w:val="22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nos" w:hAnsi="Tinos" w:eastAsia="Tinos" w:cs="Tinos"/>
          <w:b w:val="0"/>
          <w:bCs w:val="0"/>
          <w:sz w:val="16"/>
          <w:szCs w:val="16"/>
          <w:highlight w:val="none"/>
        </w:rPr>
      </w:pPr>
      <w:r>
        <w:rPr>
          <w:rFonts w:ascii="Tinos" w:hAnsi="Tinos" w:eastAsia="Tinos" w:cs="Tinos"/>
          <w:b w:val="0"/>
          <w:bCs w:val="0"/>
          <w:sz w:val="16"/>
          <w:szCs w:val="16"/>
          <w:highlight w:val="none"/>
        </w:rPr>
      </w:r>
      <w:r>
        <w:rPr>
          <w:rFonts w:ascii="Tinos" w:hAnsi="Tinos" w:eastAsia="Tinos" w:cs="Tinos"/>
          <w:b w:val="0"/>
          <w:bCs w:val="0"/>
          <w:sz w:val="16"/>
          <w:szCs w:val="16"/>
          <w:highlight w:val="none"/>
        </w:rPr>
      </w:r>
      <w:r>
        <w:rPr>
          <w:rFonts w:ascii="Tinos" w:hAnsi="Tinos" w:eastAsia="Tinos" w:cs="Tinos"/>
          <w:b w:val="0"/>
          <w:bCs w:val="0"/>
          <w:sz w:val="16"/>
          <w:szCs w:val="16"/>
          <w:highlight w:val="none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3307"/>
        <w:gridCol w:w="2930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nos" w:hAnsi="Tinos" w:eastAsia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г. Курган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0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nos" w:hAnsi="Tinos" w:eastAsia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nos" w:hAnsi="Tinos" w:eastAsia="Tinos" w:cs="Tinos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«____» ____________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20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26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года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nos" w:hAnsi="Tinos" w:eastAsia="Tinos" w:cs="Tinos"/>
          <w:sz w:val="16"/>
          <w:szCs w:val="16"/>
        </w:rPr>
      </w:pPr>
      <w:r>
        <w:rPr>
          <w:rFonts w:ascii="Tinos" w:hAnsi="Tinos" w:eastAsia="Tinos" w:cs="Tinos"/>
          <w:sz w:val="16"/>
          <w:szCs w:val="16"/>
          <w:highlight w:val="none"/>
        </w:rPr>
      </w:r>
      <w:r>
        <w:rPr>
          <w:rFonts w:ascii="Tinos" w:hAnsi="Tinos" w:eastAsia="Tinos" w:cs="Tinos"/>
          <w:sz w:val="16"/>
          <w:szCs w:val="16"/>
        </w:rPr>
      </w:r>
      <w:r>
        <w:rPr>
          <w:rFonts w:ascii="Tinos" w:hAnsi="Tinos" w:eastAsia="Tinos" w:cs="Tinos"/>
          <w:sz w:val="16"/>
          <w:szCs w:val="16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Управление Федеральной службы государственной регистрации, кадастра и картографии по Курганской области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, действующее от имени Российской Федерации, именуемое в дальнейшем «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Государственный заказчик»,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-2"/>
          <w:sz w:val="22"/>
          <w:szCs w:val="22"/>
          <w:lang w:eastAsia="ru-RU"/>
        </w:rPr>
        <w:t xml:space="preserve">в лице заместителя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руководителя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Яношука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Евгения Викторовича, действующего на основании Приказа Федеральной службы государственной регистрации, кадастра и картографии № 11-к от 19.01.2018 г. и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доверенности №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1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 от 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13.01.2026</w:t>
      </w:r>
      <w:r>
        <w:rPr>
          <w:rFonts w:ascii="Tinos" w:hAnsi="Tinos" w:eastAsia="Tinos" w:cs="Tinos"/>
          <w:sz w:val="22"/>
          <w:szCs w:val="22"/>
          <w:lang w:eastAsia="en-US"/>
        </w:rPr>
        <w:t xml:space="preserve"> г.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,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eastAsia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и 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_______________________________________, соответствующее единым требова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ниям к участникам закупок,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предусмотренным ч. 1 ст. 31 Федерального закона от 05.04.2013 г. № 44-ФЗ  «О контрактной системе в сфере закупок товаров, работ, услуг для обеспечения государственных и муниципальных нужд» (далее – ФЗ-44), именуемое в дальнейшем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«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Исполнитель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»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,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в лице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bidi="ru-RU"/>
        </w:rPr>
        <w:t xml:space="preserve"> __________________________________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, действующего на основании ______________,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с другой стороны, вместе именуемые Стороны,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на основании п. 4 ч. 1 ст. 93 ФЗ-44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по результатам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объявления о закупке (номер __________________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и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на основании итогового протокола закупочной сессии / несостоявшейся закупки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  <w:t xml:space="preserve"> (номер 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ru-RU" w:bidi="ru-RU"/>
        </w:rPr>
      </w:r>
      <w:hyperlink r:id="rId10" w:tooltip="https://agregatoreat.ru/lk/customer/eat/announcement/7f6585b2-5b10-4592-bd21-11e234b90dac" w:history="1">
        <w:r>
          <w:rPr>
            <w:rFonts w:ascii="Tinos" w:hAnsi="Tinos" w:eastAsia="Tinos" w:cs="Tinos"/>
            <w:color w:val="000000" w:themeColor="text1"/>
            <w:sz w:val="22"/>
            <w:szCs w:val="22"/>
            <w:lang w:val="ru-RU" w:eastAsia="ru-RU" w:bidi="ru-RU"/>
          </w:rPr>
          <w:t xml:space="preserve">___________________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lang w:val="ru-RU" w:eastAsia="en-US" w:bidi="ru-RU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lang w:val="ru-RU" w:eastAsia="en-US" w:bidi="ru-RU"/>
        </w:rPr>
        <w:t xml:space="preserve">, заключили настоящий Государственный контракт (дале</w:t>
      </w:r>
      <w:r>
        <w:rPr>
          <w:rFonts w:ascii="Tinos" w:hAnsi="Tinos" w:eastAsia="Tinos" w:cs="Tinos"/>
          <w:color w:val="000000" w:themeColor="text1"/>
          <w:sz w:val="22"/>
          <w:szCs w:val="22"/>
          <w:lang w:val="en-US" w:eastAsia="en-US"/>
        </w:rPr>
        <w:t xml:space="preserve">е – Контракт)</w:t>
      </w:r>
      <w:r>
        <w:rPr>
          <w:rFonts w:ascii="Tinos" w:hAnsi="Tinos" w:eastAsia="Tinos" w:cs="Tinos"/>
          <w:color w:val="000000" w:themeColor="text1"/>
          <w:sz w:val="22"/>
          <w:szCs w:val="22"/>
          <w:lang w:val="en-US" w:eastAsia="en-US"/>
        </w:rPr>
        <w:t xml:space="preserve">  о нижеследующем:</w:t>
      </w: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</w:r>
    </w:p>
    <w:p>
      <w:pPr>
        <w:contextualSpacing w:val="0"/>
        <w:ind w:firstLine="567"/>
        <w:jc w:val="both"/>
        <w:spacing w:before="0" w:after="0" w:line="120" w:lineRule="auto"/>
        <w:rPr>
          <w:rFonts w:ascii="Tinos" w:hAnsi="Tinos" w:cs="Tinos"/>
          <w:sz w:val="16"/>
          <w:szCs w:val="16"/>
        </w:rPr>
        <w:suppressLineNumbers w:val="0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pStyle w:val="934"/>
        <w:spacing w:before="12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1. Предмет Контракта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pStyle w:val="943"/>
        <w:ind w:firstLine="567"/>
        <w:jc w:val="both"/>
        <w:spacing w:before="0" w:beforeAutospacing="0"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1.1.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обязуется в установленный настоящим Контрактом срок оказать Государственному заказчику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услуги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по разработке паспортов отходов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(далее - услуги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 соответствии с Описанием объекта закупки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(Приложение № 1 к настоящему Контракту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а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Государственный заказчик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обязуется принять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оплатить оказанные услуги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в порядке и на условиях, предусмотренных настоящим Контрактом.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43"/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1.2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. 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Состав, объем и порядок оказания услуг определяется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Описанием объекта закупки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(Приложение № 1 к настоящему Контракту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43"/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1.3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Идентификационный код закупки: 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26 1 4501111750 450101001 0017 000 0000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 244</w:t>
      </w:r>
      <w:r>
        <w:rPr>
          <w:rFonts w:ascii="Tinos" w:hAnsi="Tinos" w:eastAsia="Tinos" w:cs="Tinos"/>
          <w:b w:val="0"/>
          <w:bCs w:val="0"/>
          <w:color w:val="000000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43"/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nos" w:hAnsi="Tinos" w:cs="Tinos"/>
          <w:sz w:val="16"/>
          <w:szCs w:val="16"/>
          <w:highlight w:val="yellow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yellow"/>
        </w:rPr>
      </w:r>
      <w:r>
        <w:rPr>
          <w:rFonts w:ascii="Tinos" w:hAnsi="Tinos" w:cs="Tinos"/>
          <w:sz w:val="16"/>
          <w:szCs w:val="16"/>
          <w:highlight w:val="yellow"/>
          <w14:ligatures w14:val="none"/>
        </w:rPr>
      </w:r>
      <w:r>
        <w:rPr>
          <w:rFonts w:ascii="Tinos" w:hAnsi="Tinos" w:cs="Tinos"/>
          <w:sz w:val="16"/>
          <w:szCs w:val="16"/>
          <w:highlight w:val="yellow"/>
          <w14:ligatures w14:val="none"/>
        </w:rPr>
      </w:r>
    </w:p>
    <w:p>
      <w:pPr>
        <w:pStyle w:val="934"/>
        <w:ind w:left="0" w:right="-144" w:firstLine="567"/>
        <w:jc w:val="center"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2.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Цена Контракта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-144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 2.1. 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Цена Контракта составляет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_________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  (___________________)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  рублей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в том числе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НДС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vertAlign w:val="superscript"/>
        </w:rPr>
        <w:footnoteReference w:id="2"/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 / НДС не облагается.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vertAlign w:val="superscript"/>
        </w:rPr>
        <w:footnoteReference w:id="3"/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vertAlign w:val="superscript"/>
        </w:rPr>
        <w:t xml:space="preserve"> 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32"/>
        <w:contextualSpacing/>
        <w:ind w:left="0" w:right="-144" w:firstLine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en-US" w:bidi="en-US"/>
        </w:rPr>
        <w:t xml:space="preserve">2.2. 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val="en-US" w:eastAsia="en-US" w:bidi="en-US"/>
        </w:rPr>
        <w:t xml:space="preserve">Цена Контракта, указанная в пункте 2.1.,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включает в себя стоимость услуг,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 также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</w:rPr>
        <w:t xml:space="preserve"> компенсацию всех издержек Исполнителя, связанных с исполнением настоящего 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  <w:lang w:eastAsia="en-US"/>
        </w:rPr>
        <w:t xml:space="preserve">Контракт</w:t>
      </w: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white"/>
        </w:rPr>
        <w:t xml:space="preserve">а, в том числе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транспортные расходы, страхование, налоги, сборы и другие обязательные платежи.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32"/>
        <w:contextualSpacing/>
        <w:ind w:left="0" w:right="-144" w:firstLine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2.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3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 w:bidi="en-US"/>
        </w:rPr>
        <w:t xml:space="preserve">. Цена Контракта является твердой и определяется на весь срок его исполнения,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 исключением случаев, установленных ФЗ-44 и настоящим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/>
        <w:ind w:firstLine="567"/>
        <w:jc w:val="center"/>
        <w:spacing w:before="0" w:after="0" w:line="120" w:lineRule="auto"/>
        <w:widowControl w:val="off"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/>
        <w:ind w:left="0" w:right="0" w:firstLine="567"/>
        <w:jc w:val="center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 w:bidi="en-US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3. 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Порядок расчетов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3.1. Государственный заказчик производит расчет с Исполнителем за фактически оказанные услуги в течение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(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семи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) рабочих дней с даты подписания Государственным заказчиком документа о приемке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(Акт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сдачи-приемки оказанных услуг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, универсальный передаточный документ (далее - УПД))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3.2. 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Суммы, п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длежащие уплате Исполнителю,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уменьшаются Государственным заказчиком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3.3. Оплата за оказанные услуги осуществляется в валюте Российской Федерации из средств федерального бюджета.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3.4. 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Оплата по настоящему Контракту осуществляется в безналичной форме путем перечисления денежных средств на расчетный счет Исполнителя, указанный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в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разделе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11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настоящего Контракта.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В случае изменения банковских реквизитов, Исполнитель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в течение 3 (трех) рабочих дней с момента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возникновения указанных обстоятельств, уведомляет Государственного заказчика в порядке, предусмотренном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п.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8.3.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ar-SA"/>
        </w:rPr>
        <w:t xml:space="preserve"> настоящего Контракта. В противном случае Исполнитель несет все риски по не поступлению денежных средств на его счет.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3.5. 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Обязательство Государственного заказчика по оплате считается выполненным в день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  <w:lang w:eastAsia="ru-RU"/>
        </w:rPr>
        <w:t xml:space="preserve">списания денежных средств со счета Государственного заказчика.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34"/>
        <w:contextualSpacing/>
        <w:jc w:val="center"/>
        <w:keepLines/>
        <w:spacing w:before="120" w:after="28" w:line="120" w:lineRule="auto"/>
        <w:shd w:val="clear" w:color="ffffff" w:themeColor="background1" w:fill="ffffff" w:themeFill="background1"/>
        <w:rPr>
          <w:rFonts w:ascii="Tinos" w:hAnsi="Tinos" w:cs="Tinos"/>
          <w:b/>
          <w:bCs/>
          <w:sz w:val="16"/>
          <w:szCs w:val="16"/>
          <w:highlight w:val="white"/>
        </w:rPr>
        <w:suppressLineNumbers w:val="0"/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16"/>
          <w:szCs w:val="16"/>
          <w:highlight w:val="white"/>
        </w:rPr>
      </w:r>
      <w:r>
        <w:rPr>
          <w:rFonts w:ascii="Tinos" w:hAnsi="Tinos" w:cs="Tinos"/>
          <w:b/>
          <w:bCs/>
          <w:sz w:val="16"/>
          <w:szCs w:val="16"/>
          <w:highlight w:val="white"/>
        </w:rPr>
      </w:r>
    </w:p>
    <w:p>
      <w:pPr>
        <w:pStyle w:val="934"/>
        <w:contextualSpacing/>
        <w:jc w:val="center"/>
        <w:keepLines/>
        <w:spacing w:before="120" w:line="240" w:lineRule="auto"/>
        <w:shd w:val="clear" w:color="ffffff" w:themeColor="background1" w:fill="ffffff" w:themeFill="background1"/>
        <w:rPr>
          <w:rFonts w:ascii="Tinos" w:hAnsi="Tinos" w:eastAsia="Tinos" w:cs="Tinos"/>
          <w:b/>
          <w:bCs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4</w:t>
      </w:r>
      <w:r>
        <w:rPr>
          <w:rFonts w:ascii="Tinos" w:hAnsi="Tinos" w:eastAsia="Tinos" w:cs="Tinos"/>
          <w:b/>
          <w:bCs/>
          <w:sz w:val="22"/>
          <w:szCs w:val="22"/>
          <w:highlight w:val="white"/>
        </w:rPr>
        <w:t xml:space="preserve">. Права и обязанности сторон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ind w:left="0" w:right="28" w:firstLine="567"/>
        <w:jc w:val="both"/>
        <w:spacing w:line="240" w:lineRule="auto"/>
        <w:shd w:val="clear" w:color="ffffff" w:themeColor="background1" w:fill="ffffff" w:themeFill="background1"/>
        <w:tabs>
          <w:tab w:val="left" w:pos="-4320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  <w:lang w:eastAsia="ru-RU"/>
        </w:rPr>
        <w:t xml:space="preserve">4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  <w:lang w:eastAsia="ru-RU"/>
        </w:rPr>
        <w:t xml:space="preserve">.1.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  <w:lang w:eastAsia="ru-RU"/>
        </w:rPr>
        <w:t xml:space="preserve">Исполнитель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  <w:lang w:eastAsia="ru-RU"/>
        </w:rPr>
        <w:t xml:space="preserve"> вправе: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white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.1.1.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Т</w:t>
      </w:r>
      <w:r>
        <w:rPr>
          <w:rFonts w:ascii="Tinos" w:hAnsi="Tinos" w:eastAsia="Tinos" w:cs="Tinos"/>
          <w:sz w:val="22"/>
          <w:szCs w:val="22"/>
        </w:rPr>
        <w:t xml:space="preserve">ребовать приемки оказанных надлежащим образом услуг в порядке, сроки и на условиях, предусмотренных Контрактом.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4.1.2. Требовать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в установленные настоящим Контрактом сроки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оплату за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оказанные надлежащим образом услуги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4.1.3. Запрашивать и получать у Государственного заказчика информацию и документы, необходимые для исполнения настоящего Контракта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4.1.4.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Принять решение об одностороннем отказе от исполнения Контракта по основаниям, пр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ед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усмотренн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ым Гражданским кодексом Российской Федерации для одностороннего отказа от исполнения отдельных видов обязат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ельств.</w:t>
      </w:r>
      <w:r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bCs/>
          <w:color w:val="000000" w:themeColor="text1"/>
          <w:sz w:val="22"/>
          <w:szCs w:val="22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4.2.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Исполнитель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обязан: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pStyle w:val="932"/>
        <w:ind w:left="0" w:right="0" w:firstLine="567"/>
        <w:jc w:val="both"/>
        <w:spacing w:line="240" w:lineRule="auto"/>
        <w:widowControl/>
        <w:tabs>
          <w:tab w:val="left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4.2.1. О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казать услуги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 порядке, объеме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сроки и на условиях, предусмотренных настоящим 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онтрактом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4.2.2. 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Обеспечить соответствие оказанных услуг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обязательным требованиям, установленным действующими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нормативно-правовыми актами Российской Федерации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4.2.3. Устранить за свой счет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выявленные недостатки оказанных услуг.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4.2.4. 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Предоставить Государственному заказчику надлежащим образом оформленные первичные документы (счет, счет-фактура (при наличии), акт оказанных услуг, УПД).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4.2.5. 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Предоставлять Госу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дарственному заказчику документы, относящиеся к предмету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а также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информацию о ходе исполнения своих обязательств, в том числе о сложностях, возникающих при его исполнении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4.2.6. 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Обеспечивать Государственному Заказчику возможность контроля за ходом исполнения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28" w:firstLine="0"/>
        <w:jc w:val="both"/>
        <w:spacing w:line="240" w:lineRule="auto"/>
        <w:tabs>
          <w:tab w:val="left" w:pos="-4320" w:leader="none"/>
        </w:tabs>
        <w:rPr>
          <w:rFonts w:ascii="Tinos" w:hAnsi="Tinos" w:cs="Tinos"/>
          <w:b/>
          <w:bCs/>
          <w:color w:val="000000" w:themeColor="text1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    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    4.3. Государственный заказчик вправе:</w:t>
      </w:r>
      <w:r>
        <w:rPr>
          <w:rFonts w:ascii="Tinos" w:hAnsi="Tinos" w:cs="Tinos"/>
          <w:b/>
          <w:bCs/>
          <w:color w:val="000000" w:themeColor="text1"/>
          <w14:ligatures w14:val="none"/>
        </w:rPr>
      </w:r>
      <w:r>
        <w:rPr>
          <w:rFonts w:ascii="Tinos" w:hAnsi="Tinos" w:cs="Tinos"/>
          <w:b/>
          <w:bCs/>
          <w:color w:val="000000" w:themeColor="text1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4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.3.1. 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Требовать от Исполнителя надлежащего исполнения обязательств в соответствии с настоящим Контрактом.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4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.3.2. 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Требовать от Исп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олнителя 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своевременного устранения выявленных недостатков оказанных услуг.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4</w:t>
      </w:r>
      <w:r>
        <w:rPr>
          <w:rFonts w:ascii="Tinos" w:hAnsi="Tinos" w:eastAsia="Tinos" w:cs="Tinos"/>
          <w:sz w:val="22"/>
          <w:szCs w:val="22"/>
          <w:highlight w:val="white"/>
          <w:lang w:eastAsia="ar-SA"/>
        </w:rPr>
        <w:t xml:space="preserve">.3.3. 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4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.3.4. П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роверять ход и качество оказания Исполнителем услуг по Контракту, не вмешиваясь в его деятельность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4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.3.5. Отказаться от приемки и оплаты оказанных услуг, не соответствующих требованиям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eastAsia="Tinos" w:cs="Tinos"/>
          <w:sz w:val="22"/>
          <w:szCs w:val="22"/>
          <w:highlight w:val="white"/>
          <w:lang w:eastAsia="ru-RU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eastAsia="Tinos" w:cs="Tinos"/>
          <w:sz w:val="22"/>
          <w:szCs w:val="22"/>
        </w:rPr>
        <w:t xml:space="preserve">4.3.6. 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Привлекать экспертов, экспертные организации для проведения экспертизы оказанных услуг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</w:rPr>
        <w:t xml:space="preserve">.</w:t>
      </w:r>
      <w:r>
        <w:rPr>
          <w:rFonts w:ascii="Tinos" w:hAnsi="Tinos" w:eastAsia="Tinos" w:cs="Tinos"/>
          <w:sz w:val="22"/>
          <w:szCs w:val="22"/>
          <w:highlight w:val="white"/>
          <w:lang w:eastAsia="ru-RU"/>
          <w14:ligatures w14:val="none"/>
        </w:rPr>
      </w:r>
      <w:r>
        <w:rPr>
          <w:rFonts w:ascii="Tinos" w:hAnsi="Tinos" w:eastAsia="Tinos" w:cs="Tinos"/>
          <w:sz w:val="22"/>
          <w:szCs w:val="22"/>
          <w:highlight w:val="white"/>
          <w:lang w:eastAsia="ru-RU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eastAsia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sz w:val="22"/>
          <w:szCs w:val="22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4.3.7. Т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ребовать уплаты неустоек (штрафов, пеней) в соответствии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с разделом 6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настоящего Контракта.</w:t>
      </w:r>
      <w:r>
        <w:rPr>
          <w:rFonts w:ascii="Tinos" w:hAnsi="Tinos" w:eastAsia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  <w14:ligatures w14:val="none"/>
        </w:rPr>
      </w:r>
    </w:p>
    <w:p>
      <w:pPr>
        <w:pStyle w:val="959"/>
        <w:ind w:left="0" w:right="-144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4.3.8. Принять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решение об одностороннем отказе от исполнения контракта по основаниям, предусмотренным </w:t>
      </w:r>
      <w:hyperlink r:id="rId11" w:tooltip="https://internet.garant.ru/#/multilink/70353464/paragraph/3862/number/0" w:history="1">
        <w:r>
          <w:rPr>
            <w:rStyle w:val="942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Гражданским кодексом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Российской Федерации для одностороннего отказа от исполнения отдельных видов обязательств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4.4. Государственный заказчик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обязан: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28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none"/>
          <w:lang w:eastAsia="ru-RU"/>
        </w:rPr>
        <w:t xml:space="preserve">4.4.1. 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Предоставить по запросу 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документы и информацию, необходимые для исполнения обязательств по настоящему Контракту.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28" w:firstLine="567"/>
        <w:jc w:val="both"/>
        <w:spacing w:line="240" w:lineRule="auto"/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14:ligatures w14:val="none"/>
        </w:rPr>
        <w:t xml:space="preserve">4.4.2. В порядке и в сроки, установленные настоящим Контрактом, принять и оплатить оказанные надлежащим образом услуги</w:t>
      </w:r>
      <w:r>
        <w:rPr>
          <w:rFonts w:ascii="Tinos" w:hAnsi="Tinos" w:eastAsia="Tinos" w:cs="Tinos"/>
          <w:color w:val="000000" w:themeColor="text1"/>
          <w:sz w:val="22"/>
          <w:szCs w:val="22"/>
          <w14:ligatures w14:val="non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contextualSpacing w:val="0"/>
        <w:ind w:left="0" w:right="0" w:firstLine="567"/>
        <w:jc w:val="both"/>
        <w:spacing w:line="240" w:lineRule="auto"/>
        <w:tabs>
          <w:tab w:val="left" w:pos="-4320" w:leader="none"/>
        </w:tabs>
        <w:rPr>
          <w:rFonts w:ascii="Tinos" w:hAnsi="Tinos" w:cs="Tinos"/>
          <w:color w:val="000000" w:themeColor="text1"/>
          <w14:ligatures w14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4.4.3. 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Провести экспертизу результатов оказанных услуг, предусмотренных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Контрактом, в части их соответствия условиям настоящего Контракта.</w:t>
      </w:r>
      <w:r>
        <w:rPr>
          <w:rFonts w:ascii="Tinos" w:hAnsi="Tinos" w:cs="Tinos"/>
          <w:color w:val="000000" w:themeColor="text1"/>
          <w14:ligatures w14:val="none"/>
        </w:rPr>
      </w:r>
      <w:r>
        <w:rPr>
          <w:rFonts w:ascii="Tinos" w:hAnsi="Tinos" w:cs="Tinos"/>
          <w:color w:val="000000" w:themeColor="text1"/>
          <w14:ligatures w14:val="none"/>
        </w:rPr>
      </w:r>
    </w:p>
    <w:p>
      <w:pPr>
        <w:pStyle w:val="934"/>
        <w:contextualSpacing w:val="0"/>
        <w:ind w:right="0"/>
        <w:jc w:val="center"/>
        <w:spacing w:before="120" w:after="0" w:line="120" w:lineRule="auto"/>
        <w:rPr>
          <w:rFonts w:ascii="Tinos" w:hAnsi="Tinos" w:eastAsia="Tinos" w:cs="Tinos"/>
          <w:sz w:val="16"/>
          <w:szCs w:val="16"/>
          <w:highlight w:val="none"/>
        </w:rPr>
        <w:suppressLineNumbers w:val="0"/>
      </w:pPr>
      <w:r>
        <w:rPr>
          <w:rFonts w:ascii="Tinos" w:hAnsi="Tinos" w:eastAsia="Tinos" w:cs="Tinos"/>
          <w:sz w:val="16"/>
          <w:szCs w:val="16"/>
          <w:highlight w:val="none"/>
        </w:rPr>
      </w:r>
      <w:r>
        <w:rPr>
          <w:rFonts w:ascii="Tinos" w:hAnsi="Tinos" w:eastAsia="Tinos" w:cs="Tinos"/>
          <w:sz w:val="16"/>
          <w:szCs w:val="16"/>
          <w:highlight w:val="none"/>
        </w:rPr>
      </w:r>
      <w:r>
        <w:rPr>
          <w:rFonts w:ascii="Tinos" w:hAnsi="Tinos" w:eastAsia="Tinos" w:cs="Tinos"/>
          <w:sz w:val="16"/>
          <w:szCs w:val="16"/>
          <w:highlight w:val="none"/>
        </w:rPr>
      </w:r>
    </w:p>
    <w:p>
      <w:pPr>
        <w:contextualSpacing/>
        <w:ind w:left="0" w:right="0" w:firstLine="0"/>
        <w:jc w:val="center"/>
        <w:spacing w:after="0" w:line="240" w:lineRule="auto"/>
        <w:widowControl w:val="off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  <w:t xml:space="preserve">5. Порядок приемки оказанных услуг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 факту оказания услуг Исполнитель в течение 5 (пяти) рабочих дней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составляет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и предоставляет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 сдачи-приемки оказанных услуг/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УПД (далее – документ о приемке)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одним из следующих способов: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5.1.1. На бумажном носителе: Исполнитель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подписывает документ о приемке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собственноручной подписью уполномоченного лица, скрепляет печатью (при наличии) и направляет/передает на бумажном носителе на подписание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/>
        </w:rPr>
        <w:t xml:space="preserve">5.1.2. В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виде электронного документа: Исполнитель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подписывает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 о приемке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электронной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подписью уполномоченного лица и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направляет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в виде электронного документа в системе электронного документооборота (ЭДО) на подписание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Государственному заказчику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  <w:r>
        <w:rPr>
          <w:rFonts w:ascii="Tinos" w:hAnsi="Tinos" w:cs="Tinos"/>
          <w:color w:val="000000" w:themeColor="text1"/>
          <w:sz w:val="22"/>
          <w:szCs w:val="22"/>
          <w14:ligatures w14:val="none"/>
        </w:rPr>
      </w:r>
    </w:p>
    <w:p>
      <w:pPr>
        <w:pStyle w:val="932"/>
        <w:contextualSpacing/>
        <w:ind w:left="0" w:right="0" w:firstLine="567"/>
        <w:jc w:val="both"/>
        <w:spacing w:line="240" w:lineRule="auto"/>
        <w:widowControl w:val="off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5.2.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 документу о приемке Исполнитель прилагает документы на оплату оказанных услуг, в том числе: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счет на оплату,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счет-фактуру (в случае, если законодательством предусмотрено ее оформление)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5.3. Государственный заказчик проводит проверку оказанных услуг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на предмет соответствия условиям настоящего Контракта и осуществляет их приемку в течение 5 (пяти) рабочих дней, следующих за днем получения документа о приемке.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5.4. При приемке оказанных услуг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Государственный заказчик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своими силами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проводит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экспертизу на предмет их соответствия условиям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5.5. По результатам приемки, в случае соответствия оказанных услуг требован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иям Контракта, уполномоченное лицо Государственного заказчика в указанный в п. 5.3. Контракта срок в ГИИС "Электронный бюджет" подсистема ПУиО, ПУНФА (1С: Предприятие) формирует документ о приемке - Акт прие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мки оказанных услуг по форме 0510452, утвержден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ной приказом Министерства финансов Российской Федерации от 15.04.2021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государственных (муниципальных)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учреждений, и Методических указаний по их формированию и применению» (далее - Акт приемки (ф. 0510452)).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 приемки (ф. 0510452) формируется на основании данных документов Исполнителя, указанных в п. 5.1. Контракта, после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чего Акт приемки (ф. 0510452) подписыв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ается электронной подписью ответственного лица Государственного заказчика и утверждается Государственным заказчиком электронной подписью.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5.6. Одновременно с Актом приемки (ф. 0510452) Государственным заказчиком подписывае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тся документ о приемке, указанный в п. 5.1. Контракта, который в течение 3 (трёх) рабочих дней со дня, следующего за датой подписания, направляется/передается Исполнителю посредством почтовой связи или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по телекоммуникационным канал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ам связи через оператора ЭДО.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5.7. Датой приемки оказанных услуг считается дата подписания Государственным заказчиком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документов о приемке, указанных в п.п. 5.1., 5.5.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5.8. В случае обнаружения недостатков оказанных услуг представителем Государственного заказчика формируется Акт приемки (ф. 0510452) в порядке, предусмотренном п. 5.5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. Контракта, в котором отражаются выявленные несоответствия оказанных услуг условиям Контракта.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Одновременно с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Актом приемки (ф. 0510452) Государственным заказчиком составляется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мотивированный отказ от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документа о приемке оказанных услуг.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5.9. Акт приемки (ф. 0510452)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 и мотивированный отказ от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документа о приемке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в течение 3 (трёх) рабочих дней со дня, следующего за датой подписания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Акта приемки (ф. 0510452)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, направляются/передаются Исполнителю посредством почтовой связи или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по телекоммуникационным канал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ам связи через оператора ЭДО.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5.10. 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После устранения Исполнителем выявленных недостатков Государственный заказчик проводит повторную приемку оказанных услуг в срок, указанный в п. 5.3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eastAsia="Tinos" w:cs="Tinos"/>
          <w:color w:val="000000" w:themeColor="text1"/>
          <w:sz w:val="16"/>
          <w:szCs w:val="16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en-US"/>
        </w:rPr>
      </w:r>
      <w:r>
        <w:rPr>
          <w:rFonts w:ascii="Tinos" w:hAnsi="Tinos" w:eastAsia="Tinos" w:cs="Tinos"/>
          <w:color w:val="000000" w:themeColor="text1"/>
          <w:sz w:val="16"/>
          <w:szCs w:val="16"/>
          <w:highlight w:val="none"/>
          <w14:ligatures w14:val="none"/>
        </w:rPr>
      </w:r>
      <w:r>
        <w:rPr>
          <w:rFonts w:ascii="Tinos" w:hAnsi="Tinos" w:eastAsia="Tinos" w:cs="Tinos"/>
          <w:color w:val="000000" w:themeColor="text1"/>
          <w:sz w:val="16"/>
          <w:szCs w:val="16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yellow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6.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Ответственность сторон</w:t>
      </w:r>
      <w:r>
        <w:rPr>
          <w:rFonts w:ascii="Tinos" w:hAnsi="Tinos" w:cs="Tinos"/>
          <w:color w:val="000000" w:themeColor="text1"/>
          <w:sz w:val="22"/>
          <w:szCs w:val="22"/>
          <w:highlight w:val="yellow"/>
        </w:rPr>
      </w:r>
      <w:r>
        <w:rPr>
          <w:rFonts w:ascii="Tinos" w:hAnsi="Tinos" w:cs="Tinos"/>
          <w:color w:val="000000" w:themeColor="text1"/>
          <w:sz w:val="22"/>
          <w:szCs w:val="22"/>
          <w:highlight w:val="yellow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lang w:eastAsia="ru-RU"/>
        </w:rPr>
        <w:t xml:space="preserve">6.1. Сторона, не исполнившая, или ненадлежащим образом исполнившая обязательства по настоящему Контракту, несет ответственность в соответствии с настоящим Контрактом и действующим законодательством Российской Федерации.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  <w:lang w:eastAsia="ru-RU"/>
        </w:rPr>
        <w:t xml:space="preserve">6.2. 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В случае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истечения установленного Контрактом срока исполнения обязательства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 размере одной трехсотой действующей на дату уплаты пеней </w:t>
      </w:r>
      <w:hyperlink r:id="rId12" w:tooltip="https://internet.garant.ru/#/document/10180094/entry/100" w:history="1">
        <w:r>
          <w:rPr>
            <w:rStyle w:val="942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ключевой ставки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Центрального банка Российской Федерации от не уплаченной в срок суммы. 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6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.3.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Штрафы начисляются за ненадлежащее исполнение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штрафа устанавливается в</w:t>
      </w:r>
      <w:hyperlink r:id="rId13" w:tooltip="https://internet.garant.ru/#/document/71757358/entry/1000" w:history="1">
        <w:r>
          <w:rPr>
            <w:rStyle w:val="942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42"/>
            <w:rFonts w:ascii="Tinos" w:hAnsi="Tinos" w:eastAsia="Tinos" w:cs="Tinos"/>
            <w:color w:val="000000" w:themeColor="text1"/>
            <w:sz w:val="22"/>
            <w:szCs w:val="22"/>
            <w:highlight w:val="white"/>
            <w:u w:val="none"/>
          </w:rPr>
          <w:t xml:space="preserve">порядке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 предусмотренном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Пра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язательств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заказчиком, поставщиком (подрядчиком, исполнителем), утвержденными п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остановлением Правительства РФ от 30.08.2017 № 1042 (далее - п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остановление Правительства РФ от 30.08.2017 № 1042)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whit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  <w:lang w:eastAsia="ru-RU"/>
        </w:rPr>
        <w:t xml:space="preserve">6.4. 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В случае просрочки исполнения Исполнителем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Исполнителем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 обязательств, предусмотренных настоящим Контрактом, Государственный заказчик направляет Исполнителю требование об уплате неустоек (штрафов, пеней).</w:t>
      </w:r>
      <w:r>
        <w:rPr>
          <w:rFonts w:ascii="Tinos" w:hAnsi="Tinos" w:cs="Tinos"/>
          <w:color w:val="auto"/>
          <w:sz w:val="22"/>
          <w:szCs w:val="22"/>
          <w:highlight w:val="white"/>
        </w:rPr>
      </w:r>
      <w:r>
        <w:rPr>
          <w:rFonts w:ascii="Tinos" w:hAnsi="Tinos" w:cs="Tinos"/>
          <w:color w:val="auto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.5.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обязательства,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 в размере одной трехсотой действующей на дату уплаты пени</w:t>
      </w:r>
      <w:hyperlink r:id="rId14" w:tooltip="https://internet.garant.ru/#/document/10180094/entry/100" w:history="1">
        <w:r>
          <w:rPr>
            <w:rStyle w:val="942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42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ключевой ставки</w:t>
        </w:r>
        <w:r>
          <w:rPr>
            <w:rStyle w:val="942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</w:hyperlink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6.6. 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сполнителем обязательств (в том числе гарантийн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ого обязательства), предусмотренных Контрактом. Размер штрафа устанавливается в</w:t>
      </w:r>
      <w:hyperlink r:id="rId15" w:tooltip="https://internet.garant.ru/#/document/71757358/entry/1000" w:history="1">
        <w:r>
          <w:rPr>
            <w:rStyle w:val="942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 </w:t>
        </w:r>
        <w:r>
          <w:rPr>
            <w:rStyle w:val="942"/>
            <w:rFonts w:ascii="Tinos" w:hAnsi="Tinos" w:eastAsia="Tinos" w:cs="Tinos"/>
            <w:color w:val="auto"/>
            <w:sz w:val="22"/>
            <w:szCs w:val="22"/>
            <w:highlight w:val="white"/>
            <w:u w:val="none"/>
          </w:rPr>
          <w:t xml:space="preserve">порядке</w:t>
        </w:r>
      </w:hyperlink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, предусмотренном 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п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остановлением Правительства РФ от 30.08.2017 N 1042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  <w:highlight w:val="none"/>
        </w:rPr>
        <w:t xml:space="preserve">6.7. </w:t>
      </w:r>
      <w:r>
        <w:rPr>
          <w:rFonts w:ascii="Tinos" w:hAnsi="Tinos" w:eastAsia="Tinos" w:cs="Tinos"/>
          <w:color w:val="auto"/>
          <w:sz w:val="22"/>
          <w:szCs w:val="22"/>
          <w:highlight w:val="white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.8. При предъявлении Государственным заказчиком требований об уплате штрафных санкций общая сумма начисленн</w:t>
      </w:r>
      <w:r>
        <w:rPr>
          <w:rFonts w:ascii="Tinos" w:hAnsi="Tinos" w:eastAsia="Tinos" w:cs="Tinos"/>
          <w:color w:val="auto"/>
          <w:sz w:val="22"/>
          <w:szCs w:val="22"/>
        </w:rPr>
        <w:t xml:space="preserve">ых</w:t>
      </w:r>
      <w:r>
        <w:rPr>
          <w:rFonts w:ascii="Tinos" w:hAnsi="Tinos" w:eastAsia="Tinos" w:cs="Tinos"/>
          <w:color w:val="auto"/>
          <w:sz w:val="22"/>
          <w:szCs w:val="22"/>
        </w:rPr>
        <w:t xml:space="preserve"> штрафных санкций за неисполнение или ненадлежащее исполнение Исполнителем обязательств, предусмотренных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auto"/>
          <w:sz w:val="22"/>
          <w:szCs w:val="22"/>
        </w:rPr>
        <w:t xml:space="preserve">, не может превышать цену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.9. При предъявлении Исполнителем требований об уплате штрафных санкций общая сумма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начисленн</w:t>
      </w:r>
      <w:r>
        <w:rPr>
          <w:rFonts w:ascii="Tinos" w:hAnsi="Tinos" w:eastAsia="Tinos" w:cs="Tinos"/>
          <w:color w:val="auto"/>
          <w:sz w:val="22"/>
          <w:szCs w:val="22"/>
        </w:rPr>
        <w:t xml:space="preserve">ых</w:t>
      </w:r>
      <w:r>
        <w:rPr>
          <w:rFonts w:ascii="Tinos" w:hAnsi="Tinos" w:eastAsia="Tinos" w:cs="Tinos"/>
          <w:color w:val="auto"/>
          <w:sz w:val="22"/>
          <w:szCs w:val="22"/>
        </w:rPr>
        <w:t xml:space="preserve"> штрафных санкций за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неисполнение или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ненадлежащее исполнение Государственным заказчиком обязательств, предусмотренных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auto"/>
          <w:sz w:val="22"/>
          <w:szCs w:val="22"/>
        </w:rPr>
        <w:t xml:space="preserve">, не может превышать цену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</w:t>
      </w:r>
      <w:r>
        <w:rPr>
          <w:rFonts w:ascii="Tinos" w:hAnsi="Tinos" w:cs="Tinos"/>
          <w:color w:val="auto"/>
          <w:sz w:val="22"/>
          <w:szCs w:val="22"/>
        </w:rPr>
      </w:r>
      <w:r>
        <w:rPr>
          <w:rFonts w:ascii="Tinos" w:hAnsi="Tinos" w:cs="Tinos"/>
          <w:color w:val="auto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widowControl w:val="off"/>
        <w:rPr>
          <w:rFonts w:ascii="Tinos" w:hAnsi="Tinos" w:cs="Tinos"/>
          <w:color w:val="auto"/>
          <w:sz w:val="22"/>
          <w:szCs w:val="22"/>
          <w:highlight w:val="none"/>
        </w:rPr>
      </w:pPr>
      <w:r>
        <w:rPr>
          <w:rFonts w:ascii="Tinos" w:hAnsi="Tinos" w:eastAsia="Tinos" w:cs="Tinos"/>
          <w:color w:val="auto"/>
          <w:sz w:val="22"/>
          <w:szCs w:val="22"/>
        </w:rPr>
        <w:t xml:space="preserve">6</w:t>
      </w:r>
      <w:r>
        <w:rPr>
          <w:rFonts w:ascii="Tinos" w:hAnsi="Tinos" w:eastAsia="Tinos" w:cs="Tinos"/>
          <w:color w:val="auto"/>
          <w:sz w:val="22"/>
          <w:szCs w:val="22"/>
        </w:rPr>
        <w:t xml:space="preserve">.10. Уплата неустойки за ненадлежащее исполнение или неисполнение предусмотренных настоящим 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Контракт</w:t>
      </w:r>
      <w:r>
        <w:rPr>
          <w:rFonts w:ascii="Tinos" w:hAnsi="Tinos" w:eastAsia="Tinos" w:cs="Tinos"/>
          <w:color w:val="auto"/>
          <w:sz w:val="22"/>
          <w:szCs w:val="22"/>
        </w:rPr>
        <w:t xml:space="preserve">ом обязательств не освобождает Стороны от исполнения принятых обязательств.</w:t>
      </w:r>
      <w:r>
        <w:rPr>
          <w:rFonts w:ascii="Tinos" w:hAnsi="Tinos" w:cs="Tinos"/>
          <w:color w:val="auto"/>
          <w:sz w:val="22"/>
          <w:szCs w:val="22"/>
          <w:highlight w:val="none"/>
        </w:rPr>
      </w:r>
      <w:r>
        <w:rPr>
          <w:rFonts w:ascii="Tinos" w:hAnsi="Tinos" w:cs="Tinos"/>
          <w:color w:val="auto"/>
          <w:sz w:val="22"/>
          <w:szCs w:val="22"/>
          <w:highlight w:val="none"/>
        </w:rPr>
      </w:r>
    </w:p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16"/>
          <w:szCs w:val="16"/>
        </w:rPr>
      </w:pPr>
      <w:r>
        <w:rPr>
          <w:rFonts w:ascii="Tinos" w:hAnsi="Tinos" w:eastAsia="Tinos" w:cs="Tinos"/>
          <w:b/>
          <w:color w:val="000000" w:themeColor="text1"/>
          <w:sz w:val="16"/>
          <w:szCs w:val="16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</w:rPr>
      </w:r>
      <w:r>
        <w:rPr>
          <w:rFonts w:ascii="Tinos" w:hAnsi="Tinos" w:cs="Tinos"/>
          <w:b/>
          <w:bCs/>
          <w:color w:val="000000" w:themeColor="text1"/>
          <w:sz w:val="16"/>
          <w:szCs w:val="16"/>
        </w:rPr>
      </w:r>
    </w:p>
    <w:p>
      <w:pPr>
        <w:ind w:left="0" w:right="0" w:firstLine="0"/>
        <w:jc w:val="center"/>
        <w:spacing w:after="0" w:line="240" w:lineRule="auto"/>
        <w:tabs>
          <w:tab w:val="left" w:pos="567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7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. 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Обстоятельства непреодолимой силы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rPr>
          <w:rFonts w:ascii="Tinos" w:hAnsi="Tinos" w:cs="Tinos"/>
          <w:b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.1. Стороны освобождаются от ответственности за полное или частичное неисполнение своих обя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зательств по Контракту, если их неисполнение явилось следствием обстоятельств непреодолимой силы.</w:t>
      </w:r>
      <w:r>
        <w:rPr>
          <w:rFonts w:ascii="Tinos" w:hAnsi="Tinos" w:cs="Tinos"/>
          <w:b/>
          <w:color w:val="000000" w:themeColor="text1"/>
          <w:sz w:val="22"/>
          <w:szCs w:val="22"/>
        </w:rPr>
      </w:r>
      <w:r>
        <w:rPr>
          <w:rFonts w:ascii="Tinos" w:hAnsi="Tinos" w:cs="Tinos"/>
          <w:b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.2. Под обстоятельствами непреодолимой силы Стороны понимают т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стихийные бедствия (пожар, наводнение, землетрясение и другие стихийные бедствия)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действия и акты органов государственной власти, террористические акты, военные действия, при этом такие обстоятельства оказывают воздействие на выполнение обязательств по настоящему Контракту и подтверждены упо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лномоченными органами.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before="0" w:after="0" w:line="240" w:lineRule="auto"/>
        <w:rPr>
          <w:rFonts w:ascii="Tinos" w:hAnsi="Tinos" w:cs="Tinos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.3. Сто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рона, у которой возникли обстоятельства непреодолимой силы, обязана в течение 5 (пяти) рабочих дней письменно информировать другую Сторону о наступлении таких обстоятельств и причинах их возникновения.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 w:val="0"/>
        <w:spacing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.4. 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Если Сторона в отношении которой действуют обстоятельства непреодолимой силы не направит или несвоевременно направит документы, указанные в пунктах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7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.2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- 7.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3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К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онтракта другой Стороне,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то такая Сторона не вправе ссылаться на возникновение обстоятельства непреодолимой силы в целях обоснования неисполнения и (или) ненадлежаще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го исполнения обязательства по настоящему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Контракту.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keepLines w:val="0"/>
        <w:spacing w:line="240" w:lineRule="auto"/>
        <w:rPr>
          <w:rFonts w:ascii="Tinos" w:hAnsi="Tinos" w:cs="Tinos"/>
          <w:color w:val="000000" w:themeColor="text1"/>
          <w:sz w:val="16"/>
          <w:szCs w:val="16"/>
        </w:rPr>
        <w:suppressLineNumbers w:val="0"/>
      </w:pP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  <w:r>
        <w:rPr>
          <w:rFonts w:ascii="Tinos" w:hAnsi="Tinos" w:cs="Tinos"/>
          <w:color w:val="000000" w:themeColor="text1"/>
          <w:sz w:val="16"/>
          <w:szCs w:val="16"/>
        </w:rPr>
      </w:r>
    </w:p>
    <w:p>
      <w:pPr>
        <w:jc w:val="center"/>
        <w:spacing w:after="0" w:line="240" w:lineRule="auto"/>
        <w:shd w:val="clear" w:color="auto" w:fill="ffffff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pPr>
      <w:r>
        <w:rPr>
          <w:rFonts w:ascii="Tinos" w:hAnsi="Tinos" w:eastAsia="Tinos" w:cs="Tinos"/>
          <w:b/>
          <w:bCs/>
          <w:caps/>
          <w:color w:val="000000" w:themeColor="text1"/>
          <w:sz w:val="22"/>
          <w:szCs w:val="22"/>
          <w:lang w:eastAsia="ja-JP"/>
        </w:rPr>
        <w:t xml:space="preserve">8</w:t>
      </w:r>
      <w:r>
        <w:rPr>
          <w:rFonts w:ascii="Tinos" w:hAnsi="Tinos" w:eastAsia="Tinos" w:cs="Tinos"/>
          <w:b/>
          <w:bCs/>
          <w:caps/>
          <w:color w:val="000000" w:themeColor="text1"/>
          <w:sz w:val="22"/>
          <w:szCs w:val="22"/>
          <w:lang w:eastAsia="ja-JP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lang w:eastAsia="ru-RU"/>
        </w:rPr>
        <w:t xml:space="preserve"> Порядок изменения и расторжения Контракта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8.1. 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При заключении и исполнении Контракта изменение его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существенных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условий не допускается, за исключением случаев, предусмотренных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ФЗ-44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8.2. В случае изменения существенных услови</w:t>
      </w: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й настоящего Контракта сторонами заключается дополнительное соглашение, которое является неотъемлемой частью настоящего Контракта. 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8.3. Стороны вправе не заключать дополнительное соглашение к настоящему Контракту в</w:t>
      </w: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 случае изменения места нахождения, почтового адреса, номера телефона, адреса электронной почты, банковских реквизитов (далее – реквизиты Сторон).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При этом Стороны настоящего Контракта обязаны письменно информировать друг друга об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изменении реквизитов в срок не превышающий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3 (трёх) рабочих дней с даты соответствующего изм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енения. Сторона настоящего Контракта несвоевременно или ненадлежащим образом уведомившая другую Сторону об изменении своих реквизитов несет риск наступления неблагоприятных последствий, обусловленных непринятием мер по своевременному уведомлению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другой Стороны настоящего Контракта.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lang w:eastAsia="ru-RU"/>
        </w:rPr>
        <w:t xml:space="preserve">8.4. 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8.5. Стороны в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праве принять решение об одностороннем отказе от исполнения Контракта по основаниям, предусмотренным Гражданским </w:t>
      </w:r>
      <w:hyperlink r:id="rId16" w:tooltip="consultantplus://offline/ref=F174975D8C2C2429B2BB081949B2575B8624B14B07BB5628CB5844574DtAZ8E" w:history="1">
        <w:r>
          <w:rPr>
            <w:rFonts w:ascii="Tinos" w:hAnsi="Tinos" w:eastAsia="Tinos" w:cs="Tinos"/>
            <w:color w:val="000000" w:themeColor="text1"/>
            <w:sz w:val="22"/>
            <w:szCs w:val="22"/>
          </w:rPr>
          <w:t xml:space="preserve">кодексом</w:t>
        </w:r>
      </w:hyperlink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Российской Федерации для одностороннего отказа от исполнения отдельных видов обязательств в порядке и сроки, определенные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ФЗ-44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  <w:r>
        <w:rPr>
          <w:rFonts w:ascii="Tinos" w:hAnsi="Tinos" w:cs="Tinos"/>
          <w:color w:val="000000" w:themeColor="text1"/>
          <w:spacing w:val="-4"/>
          <w:sz w:val="22"/>
          <w:szCs w:val="22"/>
        </w:rPr>
      </w:r>
    </w:p>
    <w:p>
      <w:pPr>
        <w:contextualSpacing w:val="0"/>
        <w:ind w:firstLine="567"/>
        <w:jc w:val="both"/>
        <w:spacing w:after="0" w:line="240" w:lineRule="auto"/>
        <w:tabs>
          <w:tab w:val="num" w:pos="0" w:leader="none"/>
        </w:tabs>
        <w:rPr>
          <w:rFonts w:ascii="Tinos" w:hAnsi="Tinos" w:cs="Tinos"/>
          <w:color w:val="000000" w:themeColor="text1"/>
          <w:spacing w:val="-4"/>
          <w:sz w:val="16"/>
          <w:szCs w:val="16"/>
        </w:rPr>
        <w:suppressLineNumbers w:val="0"/>
      </w:pPr>
      <w:r>
        <w:rPr>
          <w:rFonts w:ascii="Tinos" w:hAnsi="Tinos" w:eastAsia="Tinos" w:cs="Tinos"/>
          <w:color w:val="000000" w:themeColor="text1"/>
          <w:spacing w:val="-4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pacing w:val="-4"/>
          <w:sz w:val="16"/>
          <w:szCs w:val="16"/>
        </w:rPr>
      </w:r>
      <w:r>
        <w:rPr>
          <w:rFonts w:ascii="Tinos" w:hAnsi="Tinos" w:cs="Tinos"/>
          <w:color w:val="000000" w:themeColor="text1"/>
          <w:spacing w:val="-4"/>
          <w:sz w:val="16"/>
          <w:szCs w:val="16"/>
        </w:rPr>
      </w:r>
    </w:p>
    <w:p>
      <w:pPr>
        <w:jc w:val="center"/>
        <w:spacing w:after="0" w:line="240" w:lineRule="auto"/>
        <w:rPr>
          <w:rFonts w:ascii="Tinos" w:hAnsi="Tinos" w:cs="Tinos"/>
          <w:b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9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. Порядок урегулирования споров </w:t>
      </w:r>
      <w:r>
        <w:rPr>
          <w:rFonts w:ascii="Tinos" w:hAnsi="Tinos" w:cs="Tinos"/>
          <w:b/>
          <w:color w:val="000000" w:themeColor="text1"/>
          <w:sz w:val="22"/>
          <w:szCs w:val="22"/>
        </w:rPr>
      </w:r>
      <w:r>
        <w:rPr>
          <w:rFonts w:ascii="Tinos" w:hAnsi="Tinos" w:cs="Tinos"/>
          <w:b/>
          <w:color w:val="000000" w:themeColor="text1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9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.1.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Все споры и разногласия, возникающие при исполнении настоящего Контракта, Стороны будут стремиться урегулировать путем переговоров между ними, в том числе в претензионном порядке.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Срок рассмотрения претензии составляет 5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(пять) рабочих дней со дня ее получения.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contextualSpacing/>
        <w:ind w:firstLine="567"/>
        <w:jc w:val="both"/>
        <w:spacing w:after="0" w:line="240" w:lineRule="auto"/>
        <w:widowControl w:val="off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9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.2.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В случае отсутствия мотивированного ответа по существу претензии,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претензионный порядок урегулирования спора считается соблюденным.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9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ru-RU"/>
        </w:rPr>
        <w:t xml:space="preserve">.3. При невозможности разрешения спора путем переговоров и в претензионном порядке любая из Сторон вправе передать спор на рассмотрение в Арбитражный суд по месту нахождения Государственного заказчика. 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1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0</w:t>
      </w:r>
      <w:r>
        <w:rPr>
          <w:rFonts w:ascii="Tinos" w:hAnsi="Tinos" w:eastAsia="Tinos" w:cs="Tinos"/>
          <w:b/>
          <w:color w:val="000000" w:themeColor="text1"/>
          <w:sz w:val="22"/>
          <w:szCs w:val="22"/>
          <w:lang w:eastAsia="ru-RU"/>
        </w:rPr>
        <w:t xml:space="preserve">. Заключительные положения 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10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.1. </w:t>
      </w:r>
      <w:r>
        <w:rPr>
          <w:rFonts w:ascii="Tinos" w:hAnsi="Tinos" w:eastAsia="Tinos" w:cs="Tinos"/>
          <w:strike w:val="0"/>
          <w:color w:val="000000" w:themeColor="text1"/>
          <w:sz w:val="22"/>
          <w:szCs w:val="22"/>
          <w:u w:val="none"/>
          <w:lang w:eastAsia="ru-RU"/>
        </w:rPr>
        <w:t xml:space="preserve">Срок действия Контракта: 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настоящий Контракт вступает в силу с даты его заключения и действует по 30.09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.2026</w:t>
      </w:r>
      <w:r>
        <w:rPr>
          <w:rFonts w:ascii="Tinos" w:hAnsi="Tinos" w:eastAsia="Tinos" w:cs="Tinos"/>
          <w:b/>
          <w:bCs/>
          <w:strike w:val="0"/>
          <w:color w:val="000000" w:themeColor="text1"/>
          <w:sz w:val="22"/>
          <w:szCs w:val="22"/>
          <w:u w:val="none"/>
          <w:lang w:eastAsia="ru-RU"/>
        </w:rPr>
        <w:t xml:space="preserve"> г.,</w:t>
      </w:r>
      <w:r>
        <w:rPr>
          <w:rFonts w:ascii="Tinos" w:hAnsi="Tinos" w:eastAsia="Tinos" w:cs="Tinos"/>
          <w:strike w:val="0"/>
          <w:color w:val="000000" w:themeColor="text1"/>
          <w:sz w:val="22"/>
          <w:szCs w:val="22"/>
          <w:u w:val="non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а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части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принятых в период действия настоящего Контракта обязательств -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до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полного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исполнения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таких обязательств Сторонами.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en-US"/>
        </w:rPr>
        <w:t xml:space="preserve">Окончание срока действия Контракта не освобождает Стороны от ответственности за его нарушение. 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1065" w:leader="none"/>
          <w:tab w:val="left" w:pos="1785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10.2. Взаимоотношения Сторон, не урегулированные настоящим Контрактом, регулируются по правилам и в порядке, установленном законодательством Российской Федерации.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pStyle w:val="932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10</w:t>
      </w: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3</w:t>
      </w: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 </w:t>
      </w:r>
      <w:r>
        <w:rPr>
          <w:rFonts w:ascii="Tinos" w:hAnsi="Tinos" w:eastAsia="Tinos" w:cs="Tinos"/>
          <w:caps/>
          <w:color w:val="000000" w:themeColor="text1"/>
          <w:sz w:val="22"/>
          <w:szCs w:val="22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е доп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ускается перемена 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, за исключением случая, если новый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является правопреемником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по настоящему Контракту вследствие реорган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изации юридического лица в форме преобразования, слияния или присоединения.</w:t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keepLines/>
        <w:spacing w:before="0" w:after="0" w:line="240" w:lineRule="auto"/>
        <w:rPr>
          <w:rFonts w:ascii="Tinos" w:hAnsi="Tinos" w:cs="Tinos"/>
          <w:color w:val="000000" w:themeColor="text1"/>
          <w:sz w:val="24"/>
          <w:szCs w:val="24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10.4. В случае перемены Государственного заказчика его права и обязанности, предусмотренные настоящим Контрактом, переходят к новому Государственному заказчику.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32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10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5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Любое уведомление, из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ещение, заявление иное юридически значимое сообщение, с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которыми закон или настоящий Контракт связывают наступление гражданско-правовых последствий, совершаются в письменной форме в соответствии с реквизитами, указанными в разделе 11  настоящего 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В рамках настоящего Контракта обмен юридически значимыми сообщениями осуществляется посредством электронной почты по адресам, указанным в разделе 11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настоящего Контракта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Направлени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е документов по электронной почте должно обеспечивать наличие подтверждения доставки/прочтения направленного сообщения. При неполучении отправителем документов отметки о невозможности доставки электронного сообщения, такое сообщение считается доставленным.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Указанные юри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дически значимые сообщения дополнительно могут быть переданы другой Стороне путем вручения под расписку уполномоченному представителю Стороны либо путем направления с использованием почтовой (заказное или с объявленной ценностью) или курьерской связи.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В случае направления документов с использованием почтовой или курьерской связи такие документы будут считаться полученными другой стор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оной с момента, обозначенного в отчете о доставке. При невозможности вручения документа, направленного с использованием почтовой связи, документ, считается доставленным, если он поступил адресату, но по обстоятельствам зависящим от него не был ему вручен.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В случаях внесения изменений в условия настоящего Контракта, его расторжения, а также направления первичных учетных документов обмен оригинальными документами обязателен.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pStyle w:val="932"/>
        <w:ind w:left="0" w:right="0" w:firstLine="567"/>
        <w:jc w:val="both"/>
        <w:spacing w:after="0" w:afterAutospacing="0" w:line="240" w:lineRule="auto"/>
        <w:widowControl/>
        <w:tabs>
          <w:tab w:val="left" w:pos="851" w:leader="none"/>
        </w:tabs>
        <w:rPr>
          <w:rFonts w:ascii="Tinos" w:hAnsi="Tinos" w:cs="Tinos"/>
          <w:b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10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.6. 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Все приложения и дополнения являются неотъемлемой частью Контракта.</w:t>
      </w:r>
      <w:r>
        <w:rPr>
          <w:rFonts w:ascii="Tinos" w:hAnsi="Tinos" w:cs="Tinos"/>
          <w:b/>
          <w:color w:val="000000" w:themeColor="text1"/>
          <w:sz w:val="22"/>
          <w:szCs w:val="22"/>
        </w:rPr>
      </w:r>
      <w:r>
        <w:rPr>
          <w:rFonts w:ascii="Tinos" w:hAnsi="Tinos" w:cs="Tinos"/>
          <w:b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10.7. </w:t>
      </w:r>
      <w:r>
        <w:rPr>
          <w:rFonts w:ascii="Tinos" w:hAnsi="Tinos" w:eastAsia="Tinos" w:cs="Tinos"/>
          <w:color w:val="000000" w:themeColor="text1"/>
          <w:sz w:val="22"/>
          <w:szCs w:val="22"/>
          <w:lang w:val="en-US" w:eastAsia="ar-SA"/>
        </w:rPr>
        <w:t xml:space="preserve">Обмен документами между Сторонами может происходить в сис</w:t>
      </w:r>
      <w:r>
        <w:rPr>
          <w:rFonts w:ascii="Tinos" w:hAnsi="Tinos" w:eastAsia="Tinos" w:cs="Tinos"/>
          <w:color w:val="000000" w:themeColor="text1"/>
          <w:sz w:val="22"/>
          <w:szCs w:val="22"/>
          <w:lang w:val="en-US" w:eastAsia="ar-SA"/>
        </w:rPr>
        <w:t xml:space="preserve">теме ЭДО. Стороны признают юридическую силу за документами, подписанными электроной подписью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jc w:val="left"/>
        <w:spacing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ind w:firstLine="708"/>
        <w:jc w:val="left"/>
        <w:spacing w:line="240" w:lineRule="auto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  <w:t xml:space="preserve">Приложение: «Описание объекта закупки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»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firstLine="708"/>
        <w:jc w:val="left"/>
        <w:spacing w:line="240" w:lineRule="auto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34"/>
        <w:spacing w:before="12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11. Реквизиты и подписи Сторон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tbl>
      <w:tblPr>
        <w:tblW w:w="991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242"/>
        <w:gridCol w:w="4677"/>
      </w:tblGrid>
      <w:tr>
        <w:tblPrEx/>
        <w:trPr>
          <w:trHeight w:val="71"/>
        </w:trPr>
        <w:tc>
          <w:tcPr>
            <w:tcW w:w="524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lang w:eastAsia="zh-CN"/>
              </w:rPr>
              <w:t xml:space="preserve">Государственный заказчик: 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W w:w="5242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Управление Федеральной </w:t>
            </w: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службы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государственной регистрации, </w:t>
            </w: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кадастра</w:t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  <w:highlight w:val="white"/>
                <w:lang w:eastAsia="zh-CN"/>
              </w:rPr>
              <w:t xml:space="preserve">и картографии по Курганской области </w:t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Юридический и почтовый адрес: 640020, Курганская область, г. Курган, ул.Куйбышева, д.28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тел. /факс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(3522) 41-95-41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, 41-95-58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41-95-02,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ИНН 4501111750  КПП 450101001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  <w:t xml:space="preserve">Банковские реквизиты: </w:t>
            </w:r>
            <w:r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i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Управление Федерального казначейства по Новосибирской области (Управление Федеральной службы государственной регистрации, кадастра и картографии по Курганской области, 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/с 03431W00530)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Сч.  03211643000000015110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ОКЦ № 1 Сибирского ГУ Банка России //УФК по Новосибирской области, г. Новосибирск</w:t>
            </w:r>
            <w:r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bCs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БИК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 015004950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Сч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. 40102810445370000043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Адрес эл. почты: </w:t>
            </w:r>
            <w:hyperlink r:id="rId17" w:tooltip="mailto:odr@r45.rosreestr.ru" w:history="1">
              <w:r>
                <w:rPr>
                  <w:rFonts w:ascii="Tinos" w:hAnsi="Tinos" w:eastAsia="Tinos" w:cs="Tinos"/>
                  <w:color w:val="000000" w:themeColor="text1"/>
                  <w:sz w:val="22"/>
                  <w:szCs w:val="22"/>
                  <w:highlight w:val="white"/>
                  <w:u w:val="single"/>
                  <w:lang w:val="en-US"/>
                </w:rPr>
                <w:t xml:space="preserve">odr</w:t>
              </w:r>
              <w:r>
                <w:rPr>
                  <w:rFonts w:ascii="Tinos" w:hAnsi="Tinos" w:eastAsia="Tinos" w:cs="Tinos"/>
                  <w:color w:val="000000" w:themeColor="text1"/>
                  <w:sz w:val="22"/>
                  <w:szCs w:val="22"/>
                  <w:highlight w:val="white"/>
                  <w:u w:val="single"/>
                </w:rPr>
                <w:t xml:space="preserve">@r45.rosreestr.ru</w:t>
              </w:r>
            </w:hyperlink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Заместитель руководителя: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___________________/Е.В.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Яношук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__________________ /____________________/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jc w:val="right"/>
        <w:spacing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right"/>
        <w:spacing w:line="240" w:lineRule="auto"/>
        <w:rPr>
          <w:rFonts w:ascii="Tinos" w:hAnsi="Tinos" w:eastAsia="Tinos" w:cs="Tinos"/>
          <w:sz w:val="22"/>
          <w:szCs w:val="22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0" w:right="850" w:bottom="850" w:left="1417" w:header="709" w:footer="709" w:gutter="0"/>
          <w:cols w:num="1" w:sep="0" w:space="708" w:equalWidth="1"/>
          <w:docGrid w:linePitch="360"/>
        </w:sect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jc w:val="right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right"/>
        <w:spacing w:line="240" w:lineRule="auto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Приложение № 1 </w:t>
      </w:r>
      <w:r>
        <w:rPr>
          <w:rFonts w:ascii="Tinos" w:hAnsi="Tinos" w:eastAsia="Tinos" w:cs="Tinos"/>
          <w:sz w:val="22"/>
          <w:szCs w:val="22"/>
        </w:rPr>
        <w:br/>
        <w:t xml:space="preserve">к Контракту № ___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от  «</w:t>
      </w:r>
      <w:r>
        <w:rPr>
          <w:rFonts w:ascii="Tinos" w:hAnsi="Tinos" w:eastAsia="Tinos" w:cs="Tinos"/>
          <w:sz w:val="22"/>
          <w:szCs w:val="22"/>
        </w:rPr>
        <w:t xml:space="preserve">___» ________ 2026 г.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jc w:val="right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left="0" w:right="0" w:firstLine="567"/>
        <w:jc w:val="center"/>
        <w:spacing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  <w:t xml:space="preserve">Описание объекта закупки</w:t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1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.1. 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тав оказываемых услуг: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услуги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по разработке паспортов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отходов I-IV классов опасности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по форме, утвержденной приказом Минприроды России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от 08.12.2020 № 1026 «Об утверждении порядка паспортизации и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 типовых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форм паспортов отходов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I-IV классов опасности»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(далее – услуги)</w:t>
      </w:r>
      <w:r>
        <w:rPr>
          <w:rFonts w:ascii="Tinos" w:hAnsi="Tinos" w:eastAsia="Tinos" w:cs="Tinos"/>
          <w:color w:val="000000" w:themeColor="text1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  <w:t xml:space="preserve">Исполнитель осуществляет: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– выезд на место расположения отходов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0" w:right="0" w:firstLine="567"/>
        <w:jc w:val="both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– </w:t>
      </w:r>
      <w:r>
        <w:rPr>
          <w:rFonts w:ascii="Tinos" w:hAnsi="Tinos" w:eastAsia="Tinos" w:cs="Tinos"/>
          <w:sz w:val="22"/>
          <w:szCs w:val="22"/>
        </w:rPr>
        <w:t xml:space="preserve">отбор проб для разработки паспорта отходов и </w:t>
      </w:r>
      <w:r>
        <w:rPr>
          <w:rFonts w:ascii="Tinos" w:hAnsi="Tinos" w:eastAsia="Tinos" w:cs="Tinos"/>
          <w:bCs/>
          <w:sz w:val="22"/>
          <w:szCs w:val="22"/>
        </w:rPr>
        <w:t xml:space="preserve">проведение необходимых лабораторных исследований (</w:t>
      </w:r>
      <w:r>
        <w:rPr>
          <w:rFonts w:ascii="Tinos" w:hAnsi="Tinos" w:eastAsia="Tinos" w:cs="Tinos"/>
          <w:sz w:val="22"/>
          <w:szCs w:val="22"/>
        </w:rPr>
        <w:t xml:space="preserve">в случаях и в порядке, предусмотренных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Приказом Министерства природных ресурсов и экологии РФ от 08.12.2020 г.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№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1027 «Об утверждении порядка подтверждения отнесения отходов I-V классов опасности к конкретному классу опасности» (далее – Приказ Минприроды РФ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от 08.12.2020 г.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№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1027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bCs/>
          <w:sz w:val="22"/>
          <w:szCs w:val="22"/>
        </w:rPr>
        <w:t xml:space="preserve">;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left="0" w:right="0" w:firstLine="567"/>
        <w:jc w:val="both"/>
        <w:rPr>
          <w:rFonts w:ascii="Tinos" w:hAnsi="Tinos" w:cs="Tinos"/>
          <w:bCs/>
          <w:sz w:val="20"/>
          <w:szCs w:val="20"/>
        </w:rPr>
        <w:outlineLvl w:val="1"/>
      </w:pPr>
      <w:r>
        <w:rPr>
          <w:rFonts w:ascii="Tinos" w:hAnsi="Tinos" w:eastAsia="Tinos" w:cs="Tinos"/>
          <w:sz w:val="22"/>
          <w:szCs w:val="22"/>
        </w:rPr>
        <w:t xml:space="preserve">– </w:t>
      </w:r>
      <w:r>
        <w:rPr>
          <w:rFonts w:ascii="Tinos" w:hAnsi="Tinos" w:eastAsia="Tinos" w:cs="Tinos"/>
          <w:bCs/>
          <w:sz w:val="22"/>
          <w:szCs w:val="22"/>
        </w:rPr>
        <w:t xml:space="preserve">передачу Государственному заказчику оригиналов документов, оформление которых предусмотрено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Приказом Минприроды РФ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от 08.12.2020 г.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№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1027</w:t>
      </w:r>
      <w:r>
        <w:rPr>
          <w:rFonts w:ascii="Tinos" w:hAnsi="Tinos" w:eastAsia="Tinos" w:cs="Tinos"/>
          <w:bCs/>
          <w:sz w:val="22"/>
          <w:szCs w:val="22"/>
        </w:rPr>
        <w:t xml:space="preserve">;</w:t>
      </w:r>
      <w:r>
        <w:rPr>
          <w:rFonts w:ascii="Tinos" w:hAnsi="Tinos" w:cs="Tinos"/>
          <w:bCs/>
          <w:sz w:val="20"/>
          <w:szCs w:val="20"/>
        </w:rPr>
      </w:r>
      <w:r>
        <w:rPr>
          <w:rFonts w:ascii="Tinos" w:hAnsi="Tinos" w:cs="Tinos"/>
          <w:bCs/>
          <w:sz w:val="20"/>
          <w:szCs w:val="20"/>
        </w:rPr>
      </w:r>
    </w:p>
    <w:p>
      <w:pPr>
        <w:ind w:left="0" w:right="0" w:firstLine="567"/>
        <w:jc w:val="both"/>
        <w:rPr>
          <w:rFonts w:ascii="Tinos" w:hAnsi="Tinos" w:cs="Tinos"/>
          <w:bCs/>
          <w:sz w:val="22"/>
          <w:szCs w:val="22"/>
        </w:rPr>
        <w:outlineLvl w:val="1"/>
      </w:pPr>
      <w:r>
        <w:rPr>
          <w:rFonts w:ascii="Tinos" w:hAnsi="Tinos" w:eastAsia="Tinos" w:cs="Tinos"/>
          <w:sz w:val="22"/>
          <w:szCs w:val="22"/>
        </w:rPr>
        <w:t xml:space="preserve">– </w:t>
      </w:r>
      <w:r>
        <w:rPr>
          <w:rFonts w:ascii="Tinos" w:hAnsi="Tinos" w:eastAsia="Tinos" w:cs="Tinos"/>
          <w:bCs/>
          <w:sz w:val="22"/>
          <w:szCs w:val="22"/>
        </w:rPr>
        <w:t xml:space="preserve">разработку и оформление проекта паспорта отходов I-IV классов;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ind w:left="0" w:right="0" w:firstLine="567"/>
        <w:jc w:val="both"/>
        <w:tabs>
          <w:tab w:val="left" w:pos="993" w:leader="none"/>
        </w:tabs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– </w:t>
      </w:r>
      <w:r>
        <w:rPr>
          <w:rFonts w:ascii="Tinos" w:hAnsi="Tinos" w:eastAsia="Tinos" w:cs="Tinos"/>
          <w:bCs/>
          <w:sz w:val="22"/>
          <w:szCs w:val="22"/>
        </w:rPr>
        <w:t xml:space="preserve">передачу Государственному заказчику проекта паспорта отходов I-IV классов опасности.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left="0" w:right="0" w:firstLine="567"/>
        <w:jc w:val="both"/>
        <w:tabs>
          <w:tab w:val="left" w:pos="993" w:leader="none"/>
        </w:tabs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56" w:lineRule="auto"/>
        <w:tabs>
          <w:tab w:val="left" w:pos="425" w:leader="none"/>
        </w:tabs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1.2. 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Срок оказания услуг: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lang w:eastAsia="en-US"/>
        </w:rPr>
        <w:t xml:space="preserve">в течение 20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shd w:val="clear" w:color="ffffff" w:themeColor="background1" w:fill="ffffff" w:themeFill="background1"/>
          <w:lang w:eastAsia="en-US"/>
        </w:rPr>
        <w:t xml:space="preserve">(двадцати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  <w:shd w:val="clear" w:color="ffffff" w:themeColor="background1" w:fill="ffffff" w:themeFill="background1"/>
          <w:lang w:eastAsia="en-US"/>
        </w:rPr>
        <w:t xml:space="preserve">) дней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lang w:eastAsia="en-US"/>
        </w:rPr>
        <w:t xml:space="preserve">с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lang w:eastAsia="en-US"/>
        </w:rPr>
        <w:t xml:space="preserve">даты заключения Контракта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56" w:lineRule="auto"/>
        <w:tabs>
          <w:tab w:val="left" w:pos="425" w:leader="none"/>
        </w:tabs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56" w:lineRule="auto"/>
        <w:tabs>
          <w:tab w:val="left" w:pos="425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1.3.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з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г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: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ж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56" w:lineRule="auto"/>
        <w:tabs>
          <w:tab w:val="left" w:pos="425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Место нахождения отходов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: Курганская область, г. Курган, ул. Куйбышева, 28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line="256" w:lineRule="auto"/>
        <w:tabs>
          <w:tab w:val="left" w:pos="425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tabs>
          <w:tab w:val="left" w:pos="993" w:leader="none"/>
        </w:tabs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1.4. Порядок оказания услуг: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  <w:lang w:eastAsia="ar-SA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осуществляет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выезд на место расположения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отходов,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ц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ю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юч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й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ц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й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г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(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–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 уведомляет Государственного заказчика о предполагаемой дате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выезда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не менее чем за 1 (один) рабочий день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p>
      <w:pPr>
        <w:pStyle w:val="962"/>
        <w:contextualSpacing/>
        <w:ind w:left="0" w:right="0" w:firstLine="567"/>
        <w:jc w:val="both"/>
        <w:spacing w:after="0" w:line="240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Доступ в помещения Государственного заказчика обеспечивается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 рабочие дни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понедельник – четверг с 8-30 до 16-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00 часов (время местное), пятница 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с 8-30 до 15-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00 часов (время местное)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</w:rPr>
        <w:t xml:space="preserve"> обеденный перерыв с 12-00 до 13-00 часов</w:t>
      </w:r>
      <w:r>
        <w:rPr>
          <w:rFonts w:ascii="Tinos" w:hAnsi="Tinos" w:eastAsia="Tinos" w:cs="Tinos"/>
          <w:b w:val="0"/>
          <w:bCs w:val="0"/>
          <w:color w:val="000000" w:themeColor="text1"/>
          <w:sz w:val="22"/>
          <w:szCs w:val="22"/>
          <w:lang w:eastAsia="en-US"/>
        </w:rPr>
        <w:t xml:space="preserve">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 случае,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если при сопоставлении классификационных признаков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отходов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 классификационными признаками видов отходов, включенных в ФККО и в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банк данных об отходах, полное соответствие классифи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кационных признаков не установлено, Исполнитель осуществляет определение класса опасности отходов в соответствии с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Приказом Минприроды РФ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от 08.12.2020 г.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№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 1027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Проведение необходимых лабораторных исследований отходов производится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br/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с соблюдением требований Федерального закона от 26.06.2008 № 102-ФЗ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«Об обеспечении единства измерений»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eastAsia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</w:r>
      <w:r>
        <w:rPr>
          <w:rFonts w:ascii="Tinos" w:hAnsi="Tinos" w:eastAsia="Tinos" w:cs="Tinos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widowControl w:val="off"/>
        <w:tabs>
          <w:tab w:val="num" w:pos="567" w:leader="none"/>
        </w:tabs>
        <w:rPr>
          <w:rFonts w:ascii="Tinos" w:hAnsi="Tinos" w:cs="Tinos"/>
          <w:color w:val="000000" w:themeColor="text1"/>
          <w:sz w:val="22"/>
          <w:szCs w:val="22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2"/>
          <w:szCs w:val="22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1.5. Результатом оказанных услуг являются: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nos" w:hAnsi="Tinos" w:cs="Tinos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– 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передача Государственному заказчику оригиналов актов отбора проб отходов, протоколов исследований (при необходимости проведения таких исследований);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выкопировок из технологических регламентов и/или технических условий, и/или стандартов, и/или руководства по эксплуатации, и/или проектной документации, содержащие сведения о химическом и (или) компонентном составе отходов (в случае установления химическог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 и (или) компонентного состава отходов на основании сведений, содержащихся в таких документах);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расчет класса опасности по степени опасности отхода для окружающей среды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протокол биотестирования (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при установлении класса опасности отходов на основании 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критериев отнесения отходов к I-V классам опасности по степени негативного воздействия на окружающую среду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)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ind w:firstLine="709"/>
        <w:jc w:val="both"/>
        <w:rPr>
          <w:rFonts w:ascii="Tinos" w:hAnsi="Tinos" w:cs="Tinos"/>
          <w:bCs/>
          <w:sz w:val="20"/>
          <w:szCs w:val="20"/>
        </w:rPr>
      </w:pPr>
      <w:r>
        <w:rPr>
          <w:rFonts w:ascii="Tinos" w:hAnsi="Tinos" w:eastAsia="Tinos" w:cs="Tinos"/>
          <w:sz w:val="22"/>
          <w:szCs w:val="22"/>
        </w:rPr>
        <w:t xml:space="preserve">– </w:t>
      </w:r>
      <w:r>
        <w:rPr>
          <w:rFonts w:ascii="Tinos" w:hAnsi="Tinos" w:eastAsia="Tinos" w:cs="Tinos"/>
          <w:bCs/>
          <w:sz w:val="22"/>
          <w:szCs w:val="22"/>
        </w:rPr>
        <w:t xml:space="preserve">передача Государственному заказчику проектов паспортов</w:t>
      </w:r>
      <w:r>
        <w:rPr>
          <w:rFonts w:ascii="Tinos" w:hAnsi="Tinos" w:eastAsia="Tinos" w:cs="Tinos"/>
          <w:bCs/>
          <w:sz w:val="22"/>
          <w:szCs w:val="22"/>
        </w:rPr>
        <w:t xml:space="preserve"> отходов I-IV классов опасности (по месту нахождения Государственного заказчика)</w:t>
      </w:r>
      <w:r>
        <w:rPr>
          <w:rFonts w:ascii="Tinos" w:hAnsi="Tinos" w:eastAsia="Tinos" w:cs="Tinos"/>
          <w:bCs/>
          <w:sz w:val="22"/>
          <w:szCs w:val="22"/>
        </w:rPr>
        <w:t xml:space="preserve">.</w:t>
      </w:r>
      <w:r>
        <w:rPr>
          <w:rFonts w:ascii="Tinos" w:hAnsi="Tinos" w:cs="Tinos"/>
          <w:bCs/>
          <w:sz w:val="20"/>
          <w:szCs w:val="20"/>
        </w:rPr>
      </w:r>
      <w:r>
        <w:rPr>
          <w:rFonts w:ascii="Tinos" w:hAnsi="Tinos" w:cs="Tinos"/>
          <w:bCs/>
          <w:sz w:val="20"/>
          <w:szCs w:val="20"/>
        </w:rPr>
      </w:r>
    </w:p>
    <w:p>
      <w:pPr>
        <w:contextualSpacing w:val="0"/>
        <w:ind w:left="0" w:right="0" w:firstLine="567"/>
        <w:jc w:val="both"/>
        <w:spacing w:before="0" w:after="0" w:line="256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2"/>
          <w:szCs w:val="22"/>
          <w:highlight w:val="yellow"/>
          <w:lang w:eastAsia="en-US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  <w:t xml:space="preserve">1.6. Требования к услугам: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Качество, результат и безопасность оказанных услуг должны соответствовать обязательным требованиям нормативно – правовых актов Российской Федерации 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условия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м Контракта.</w:t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56" w:lineRule="auto"/>
        <w:rPr>
          <w:rFonts w:ascii="Tinos" w:hAnsi="Tinos" w:cs="Tinos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  <w:r>
        <w:rPr>
          <w:rFonts w:ascii="Tinos" w:hAnsi="Tinos" w:cs="Tinos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  <w:outlineLvl w:val="1"/>
      </w:pP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  <w:t xml:space="preserve">1.7. 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Перечень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 отходов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  <w:t xml:space="preserve"> подлежащих паспортизации:</w:t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  <w:highlight w:val="none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677"/>
        <w:gridCol w:w="1417"/>
        <w:gridCol w:w="1417"/>
        <w:gridCol w:w="1560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№ п/п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Наименование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Имущества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, подлежащего паспортизации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К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оличес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тво, шт.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14:ligatures w14:val="none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Цена, руб.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superscript"/>
              </w:rPr>
              <w:footnoteReference w:id="4"/>
            </w:r>
            <w:r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14:ligatures w14:val="none"/>
              </w:rPr>
            </w:r>
            <w:r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Стоимость, </w:t>
            </w:r>
            <w:r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b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</w:rPr>
              <w:t xml:space="preserve">руб.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superscript"/>
              </w:rPr>
              <w:t xml:space="preserve">3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Буксировочный трос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2. 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Сотовый телефон/смартфон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3.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Радиостанция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4.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Антенна телевизионная 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5.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Диктофон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Видеокамера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7.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Система пожарной сигнализации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Счетчик электрический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9.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Сушилка для рук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10.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Тепловая завеса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11.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Манометр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12.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Уничтожитель для бумаг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13.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Автоматический электрический разрядник JSJ-808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14.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</w: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Дальномер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</w: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USB флеш-накопитель 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16.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Компьютер портативный (ноутбук)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17.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Компьютер-моноблок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18.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Тюнеры, модемы, серверы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19.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white"/>
              </w:rPr>
              <w:t xml:space="preserve">Коммутаторы, маршрутизаторы сетевые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8362" w:type="dxa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ИТОГО: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jc w:val="left"/>
        <w:spacing w:line="276" w:lineRule="auto"/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  <w:t xml:space="preserve">Подписи сторон:</w:t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tbl>
      <w:tblPr>
        <w:tblW w:w="991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785"/>
        <w:gridCol w:w="5134"/>
      </w:tblGrid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Государственный заказчик:</w:t>
            </w:r>
            <w:r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  <w:lang w:val="en-US"/>
              </w:rPr>
              <w:t xml:space="preserve">Заместитель руководителя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_______________________ Е.В. Яношук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Должность: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pt-BR"/>
              </w:rPr>
              <w:t xml:space="preserve">_______________________ /____________________/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spacing w:line="240" w:lineRule="auto"/>
              <w:tabs>
                <w:tab w:val="left" w:pos="1236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850" w:right="850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 CYR">
    <w:panose1 w:val="02000603000000000000"/>
  </w:font>
  <w:font w:name="Courier New">
    <w:panose1 w:val="02070409020205020404"/>
  </w:font>
  <w:font w:name="TimesET;Times New Roman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15"/>
        <w:jc w:val="both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Указывается в случае, если Контракт заключается с лицами, являющимися в соответствии с Налоговым кодексом Российской Федерации плательщиками НДС</w:t>
      </w:r>
      <w:r/>
    </w:p>
  </w:footnote>
  <w:footnote w:id="3">
    <w:p>
      <w:pPr>
        <w:pStyle w:val="915"/>
        <w:jc w:val="both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Указывается в случае, если Контракт заключается с лицами, не являющимися в соответствии с Налоговым кодексом Российской Федерации плательщиками НДС.</w:t>
      </w:r>
      <w:r/>
    </w:p>
  </w:footnote>
  <w:footnote w:id="4">
    <w:p>
      <w:pPr>
        <w:pStyle w:val="915"/>
      </w:pPr>
      <w:r>
        <w:rPr>
          <w:rStyle w:val="917"/>
        </w:rPr>
        <w:footnoteRef/>
      </w:r>
      <w:r>
        <w:t xml:space="preserve"> </w:t>
      </w:r>
      <w:r>
        <w:t xml:space="preserve"> Указывается с НДС / без НДС в зависимости от результатов закупочной сессии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4.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2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04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249" w:hanging="720"/>
        <w:tabs>
          <w:tab w:val="num" w:pos="0" w:leader="none"/>
        </w:tabs>
      </w:pPr>
      <w:rPr>
        <w:i w:val="0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  <w:lvlOverride w:ilvl="0">
      <w:startOverride w:val="2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936"/>
    <w:link w:val="933"/>
    <w:uiPriority w:val="9"/>
    <w:rPr>
      <w:rFonts w:ascii="Arial" w:hAnsi="Arial" w:eastAsia="Arial" w:cs="Arial"/>
      <w:sz w:val="40"/>
      <w:szCs w:val="40"/>
    </w:rPr>
  </w:style>
  <w:style w:type="character" w:styleId="761">
    <w:name w:val="Heading 2 Char"/>
    <w:basedOn w:val="936"/>
    <w:link w:val="934"/>
    <w:uiPriority w:val="9"/>
    <w:rPr>
      <w:rFonts w:ascii="Arial" w:hAnsi="Arial" w:eastAsia="Arial" w:cs="Arial"/>
      <w:sz w:val="34"/>
    </w:rPr>
  </w:style>
  <w:style w:type="character" w:styleId="762">
    <w:name w:val="Heading 3 Char"/>
    <w:basedOn w:val="936"/>
    <w:link w:val="935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2"/>
    <w:next w:val="932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6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2"/>
    <w:next w:val="932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6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2"/>
    <w:next w:val="932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6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2"/>
    <w:next w:val="932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6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2"/>
    <w:next w:val="932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6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2"/>
    <w:next w:val="932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6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932"/>
    <w:uiPriority w:val="34"/>
    <w:qFormat/>
    <w:pPr>
      <w:contextualSpacing/>
      <w:ind w:left="720"/>
    </w:pPr>
  </w:style>
  <w:style w:type="paragraph" w:styleId="776">
    <w:name w:val="No Spacing"/>
    <w:uiPriority w:val="1"/>
    <w:qFormat/>
    <w:pPr>
      <w:spacing w:before="0" w:after="0" w:line="240" w:lineRule="auto"/>
    </w:pPr>
  </w:style>
  <w:style w:type="paragraph" w:styleId="777">
    <w:name w:val="Title"/>
    <w:basedOn w:val="932"/>
    <w:next w:val="932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>
    <w:name w:val="Title Char"/>
    <w:basedOn w:val="936"/>
    <w:link w:val="777"/>
    <w:uiPriority w:val="10"/>
    <w:rPr>
      <w:sz w:val="48"/>
      <w:szCs w:val="48"/>
    </w:rPr>
  </w:style>
  <w:style w:type="paragraph" w:styleId="779">
    <w:name w:val="Subtitle"/>
    <w:basedOn w:val="932"/>
    <w:next w:val="932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basedOn w:val="936"/>
    <w:link w:val="779"/>
    <w:uiPriority w:val="11"/>
    <w:rPr>
      <w:sz w:val="24"/>
      <w:szCs w:val="24"/>
    </w:rPr>
  </w:style>
  <w:style w:type="paragraph" w:styleId="781">
    <w:name w:val="Quote"/>
    <w:basedOn w:val="932"/>
    <w:next w:val="932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932"/>
    <w:next w:val="932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character" w:styleId="785">
    <w:name w:val="Header Char"/>
    <w:basedOn w:val="936"/>
    <w:link w:val="946"/>
    <w:uiPriority w:val="99"/>
  </w:style>
  <w:style w:type="character" w:styleId="786">
    <w:name w:val="Footer Char"/>
    <w:basedOn w:val="936"/>
    <w:link w:val="948"/>
    <w:uiPriority w:val="99"/>
  </w:style>
  <w:style w:type="paragraph" w:styleId="787">
    <w:name w:val="Caption"/>
    <w:basedOn w:val="932"/>
    <w:next w:val="932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948"/>
    <w:uiPriority w:val="99"/>
  </w:style>
  <w:style w:type="table" w:styleId="789">
    <w:name w:val="Table Grid"/>
    <w:basedOn w:val="9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36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basedOn w:val="936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  <w:rPr>
      <w:sz w:val="24"/>
      <w:szCs w:val="24"/>
    </w:rPr>
  </w:style>
  <w:style w:type="paragraph" w:styleId="933">
    <w:name w:val="Heading 1"/>
    <w:basedOn w:val="932"/>
    <w:next w:val="932"/>
    <w:link w:val="93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4">
    <w:name w:val="Heading 2"/>
    <w:basedOn w:val="932"/>
    <w:link w:val="940"/>
    <w:uiPriority w:val="99"/>
    <w:qFormat/>
    <w:pPr>
      <w:jc w:val="center"/>
      <w:keepNext/>
      <w:spacing w:before="28" w:after="28"/>
      <w:outlineLvl w:val="1"/>
    </w:pPr>
    <w:rPr>
      <w:b/>
      <w:bCs/>
      <w:color w:val="000000"/>
      <w:sz w:val="26"/>
      <w:szCs w:val="26"/>
    </w:rPr>
  </w:style>
  <w:style w:type="paragraph" w:styleId="935">
    <w:name w:val="Heading 3"/>
    <w:basedOn w:val="932"/>
    <w:link w:val="941"/>
    <w:uiPriority w:val="99"/>
    <w:qFormat/>
    <w:pPr>
      <w:jc w:val="center"/>
      <w:keepNext/>
      <w:spacing w:before="28" w:after="28"/>
      <w:outlineLvl w:val="2"/>
    </w:pPr>
    <w:rPr>
      <w:b/>
      <w:bCs/>
      <w:color w:val="000000"/>
      <w:sz w:val="22"/>
      <w:szCs w:val="22"/>
    </w:rPr>
  </w:style>
  <w:style w:type="character" w:styleId="936" w:default="1">
    <w:name w:val="Default Paragraph Font"/>
    <w:uiPriority w:val="1"/>
    <w:semiHidden/>
    <w:unhideWhenUsed/>
  </w:style>
  <w:style w:type="table" w:styleId="9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8" w:default="1">
    <w:name w:val="No List"/>
    <w:uiPriority w:val="99"/>
    <w:semiHidden/>
    <w:unhideWhenUsed/>
  </w:style>
  <w:style w:type="character" w:styleId="939" w:customStyle="1">
    <w:name w:val="Заголовок 1 Знак"/>
    <w:link w:val="933"/>
    <w:uiPriority w:val="99"/>
    <w:rPr>
      <w:rFonts w:ascii="Cambria" w:hAnsi="Cambria" w:cs="Cambria"/>
      <w:b/>
      <w:bCs/>
      <w:sz w:val="32"/>
      <w:szCs w:val="32"/>
    </w:rPr>
  </w:style>
  <w:style w:type="character" w:styleId="940" w:customStyle="1">
    <w:name w:val="Заголовок 2 Знак"/>
    <w:link w:val="934"/>
    <w:uiPriority w:val="99"/>
    <w:rPr>
      <w:b/>
      <w:bCs/>
      <w:color w:val="000000"/>
      <w:sz w:val="26"/>
      <w:szCs w:val="26"/>
      <w:lang w:val="ru-RU" w:eastAsia="ru-RU"/>
    </w:rPr>
  </w:style>
  <w:style w:type="character" w:styleId="941" w:customStyle="1">
    <w:name w:val="Заголовок 3 Знак"/>
    <w:link w:val="935"/>
    <w:uiPriority w:val="99"/>
    <w:semiHidden/>
    <w:rPr>
      <w:rFonts w:ascii="Cambria" w:hAnsi="Cambria" w:cs="Cambria"/>
      <w:b/>
      <w:bCs/>
      <w:sz w:val="26"/>
      <w:szCs w:val="26"/>
    </w:rPr>
  </w:style>
  <w:style w:type="character" w:styleId="942">
    <w:name w:val="Hyperlink"/>
    <w:uiPriority w:val="99"/>
    <w:rPr>
      <w:color w:val="000080"/>
      <w:u w:val="single"/>
    </w:rPr>
  </w:style>
  <w:style w:type="paragraph" w:styleId="943">
    <w:name w:val="Normal (Web)"/>
    <w:basedOn w:val="932"/>
    <w:uiPriority w:val="99"/>
    <w:pPr>
      <w:spacing w:before="100" w:beforeAutospacing="1" w:after="119"/>
    </w:pPr>
  </w:style>
  <w:style w:type="paragraph" w:styleId="944">
    <w:name w:val="Body Text"/>
    <w:basedOn w:val="932"/>
    <w:link w:val="945"/>
    <w:uiPriority w:val="99"/>
    <w:pPr>
      <w:jc w:val="center"/>
    </w:pPr>
    <w:rPr>
      <w:b/>
      <w:bCs/>
      <w:sz w:val="28"/>
      <w:szCs w:val="28"/>
    </w:rPr>
  </w:style>
  <w:style w:type="character" w:styleId="945" w:customStyle="1">
    <w:name w:val="Основной текст Знак"/>
    <w:link w:val="944"/>
    <w:uiPriority w:val="99"/>
    <w:semiHidden/>
    <w:rPr>
      <w:sz w:val="24"/>
      <w:szCs w:val="24"/>
    </w:rPr>
  </w:style>
  <w:style w:type="paragraph" w:styleId="946">
    <w:name w:val="Header"/>
    <w:basedOn w:val="932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link w:val="946"/>
    <w:uiPriority w:val="99"/>
    <w:rPr>
      <w:sz w:val="24"/>
      <w:szCs w:val="24"/>
    </w:rPr>
  </w:style>
  <w:style w:type="paragraph" w:styleId="948">
    <w:name w:val="Footer"/>
    <w:basedOn w:val="932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949" w:customStyle="1">
    <w:name w:val="Нижний колонтитул Знак"/>
    <w:link w:val="948"/>
    <w:uiPriority w:val="99"/>
    <w:rPr>
      <w:sz w:val="24"/>
      <w:szCs w:val="24"/>
    </w:rPr>
  </w:style>
  <w:style w:type="character" w:styleId="950">
    <w:name w:val="page number"/>
    <w:basedOn w:val="936"/>
    <w:uiPriority w:val="99"/>
  </w:style>
  <w:style w:type="paragraph" w:styleId="951" w:customStyle="1">
    <w:name w:val="p10"/>
    <w:basedOn w:val="932"/>
    <w:uiPriority w:val="99"/>
    <w:pPr>
      <w:spacing w:before="100" w:beforeAutospacing="1" w:after="100" w:afterAutospacing="1"/>
    </w:pPr>
  </w:style>
  <w:style w:type="character" w:styleId="952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53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мини_список"/>
    <w:qFormat/>
    <w:pPr>
      <w:numPr>
        <w:ilvl w:val="0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60" w:beforeAutospacing="0" w:after="6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/>
      <w:i w:val="0"/>
      <w:iCs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55" w:customStyle="1">
    <w:name w:val="Numbered Level 1"/>
    <w:pPr>
      <w:numPr>
        <w:ilvl w:val="0"/>
        <w:numId w:val="0"/>
      </w:numPr>
      <w:contextualSpacing w:val="0"/>
      <w:ind w:left="700" w:right="0" w:hanging="36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6" w:customStyle="1">
    <w:name w:val="Body Text Indent"/>
    <w:basedOn w:val="771"/>
    <w:uiPriority w:val="99"/>
    <w:pPr>
      <w:contextualSpacing w:val="0"/>
      <w:ind w:left="283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7" w:customStyle="1">
    <w:name w:val="Обычный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ET;Times New Roman" w:hAnsi="TimesET;Times New Roman" w:eastAsia="Times New Roman" w:cs="TimesET;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8" w:customStyle="1">
    <w:name w:val="Маркированный список с тире"/>
    <w:next w:val="769"/>
    <w:qFormat/>
    <w:pPr>
      <w:numPr>
        <w:ilvl w:val="0"/>
        <w:numId w:val="0"/>
      </w:numPr>
      <w:contextualSpacing w:val="0"/>
      <w:ind w:left="889" w:right="0" w:hanging="36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88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9" w:customStyle="1">
    <w:name w:val="Заголовок1"/>
    <w:basedOn w:val="90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60" w:customStyle="1">
    <w:name w:val="Текстовка"/>
    <w:basedOn w:val="942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Нормальный (таблица)"/>
    <w:link w:val="827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2" w:customStyle="1">
    <w:name w:val="Body Text 2"/>
    <w:link w:val="795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agregatoreat.ru/lk/customer/eat/announcement/7f6585b2-5b10-4592-bd21-11e234b90dac" TargetMode="External"/><Relationship Id="rId11" Type="http://schemas.openxmlformats.org/officeDocument/2006/relationships/hyperlink" Target="https://internet.garant.ru/#/multilink/70353464/paragraph/3862/number/0" TargetMode="External"/><Relationship Id="rId12" Type="http://schemas.openxmlformats.org/officeDocument/2006/relationships/hyperlink" Target="https://internet.garant.ru/#/document/10180094/entry/100" TargetMode="External"/><Relationship Id="rId13" Type="http://schemas.openxmlformats.org/officeDocument/2006/relationships/hyperlink" Target="https://internet.garant.ru/#/document/71757358/entry/1000" TargetMode="External"/><Relationship Id="rId14" Type="http://schemas.openxmlformats.org/officeDocument/2006/relationships/hyperlink" Target="https://internet.garant.ru/#/document/10180094/entry/100" TargetMode="External"/><Relationship Id="rId15" Type="http://schemas.openxmlformats.org/officeDocument/2006/relationships/hyperlink" Target="https://internet.garant.ru/#/document/71757358/entry/1000" TargetMode="External"/><Relationship Id="rId16" Type="http://schemas.openxmlformats.org/officeDocument/2006/relationships/hyperlink" Target="consultantplus://offline/ref=F174975D8C2C2429B2BB081949B2575B8624B14B07BB5628CB5844574DtAZ8E" TargetMode="External"/><Relationship Id="rId17" Type="http://schemas.openxmlformats.org/officeDocument/2006/relationships/hyperlink" Target="mailto:odr@r4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Программный центр Помощь образованию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 1</dc:title>
  <dc:subject/>
  <dc:creator>PC26</dc:creator>
  <cp:keywords/>
  <dc:description/>
  <cp:lastModifiedBy>belova.av</cp:lastModifiedBy>
  <cp:revision>51</cp:revision>
  <dcterms:created xsi:type="dcterms:W3CDTF">2023-03-09T13:35:00Z</dcterms:created>
  <dcterms:modified xsi:type="dcterms:W3CDTF">2026-06-24T09:31:57Z</dcterms:modified>
</cp:coreProperties>
</file>