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9"/>
        <w:jc w:val="center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Государственный</w:t>
      </w:r>
      <w:r>
        <w:rPr>
          <w:b/>
          <w:sz w:val="22"/>
          <w:szCs w:val="22"/>
        </w:rPr>
        <w:t xml:space="preserve"> контракт № </w:t>
      </w:r>
      <w:r>
        <w:rPr>
          <w:b/>
          <w:color w:val="000000"/>
          <w:sz w:val="22"/>
          <w:szCs w:val="22"/>
        </w:rPr>
        <w:t xml:space="preserve">__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>
      <w:pPr>
        <w:pStyle w:val="9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оказание услуг специальной </w:t>
      </w:r>
      <w:r>
        <w:rPr>
          <w:b/>
          <w:sz w:val="22"/>
          <w:szCs w:val="22"/>
        </w:rPr>
        <w:t xml:space="preserve">почтовой </w:t>
      </w:r>
      <w:r>
        <w:rPr>
          <w:b/>
          <w:sz w:val="22"/>
          <w:szCs w:val="22"/>
        </w:rPr>
        <w:t xml:space="preserve">связи по доставке отправлений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9"/>
        <w:jc w:val="center"/>
        <w:rPr>
          <w:b/>
          <w:color w:val="000000"/>
          <w:sz w:val="22"/>
          <w:szCs w:val="22"/>
        </w:rPr>
      </w:pPr>
      <w:r/>
      <w:permStart w:edGrp="everyone" w:id="1"/>
      <w:r>
        <w:rPr>
          <w:b/>
          <w:sz w:val="22"/>
          <w:szCs w:val="22"/>
        </w:rPr>
        <w:t xml:space="preserve">г. Ростов-на-Дону</w:t>
        <w:tab/>
        <w:tab/>
        <w:tab/>
        <w:t xml:space="preserve">                       </w:t>
        <w:tab/>
      </w:r>
      <w:r>
        <w:rPr>
          <w:b/>
          <w:color w:val="000000"/>
          <w:sz w:val="22"/>
          <w:szCs w:val="22"/>
        </w:rPr>
        <w:t xml:space="preserve">                                   «__» августа 2026 года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>
      <w:pPr>
        <w:pStyle w:val="909"/>
        <w:rPr>
          <w:sz w:val="22"/>
          <w:szCs w:val="22"/>
        </w:rPr>
      </w:pPr>
      <w:r/>
      <w:permEnd w:id="1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09"/>
        <w:ind w:firstLine="709"/>
        <w:jc w:val="both"/>
        <w:rPr>
          <w:color w:val="000000"/>
          <w:lang w:val="en-US" w:eastAsia="en-US"/>
        </w:rPr>
      </w:pPr>
      <w:r>
        <w:rPr>
          <w:lang w:val="en-US" w:eastAsia="en-US"/>
        </w:rPr>
        <w:t xml:space="preserve">Федеральное государственное унитарное предприятие «Г</w:t>
      </w:r>
      <w:r>
        <w:rPr>
          <w:lang w:val="en-US" w:eastAsia="en-US"/>
        </w:rPr>
        <w:t xml:space="preserve">лавный центр специальной связи»</w:t>
      </w:r>
      <w:r>
        <w:rPr>
          <w:lang w:eastAsia="en-US"/>
        </w:rPr>
        <w:t xml:space="preserve"> </w:t>
      </w:r>
      <w:r>
        <w:rPr>
          <w:lang w:val="en-US" w:eastAsia="en-US"/>
        </w:rPr>
        <w:t xml:space="preserve">(</w:t>
      </w:r>
      <w:r>
        <w:rPr>
          <w:lang w:val="en-US" w:eastAsia="en-US"/>
        </w:rPr>
        <w:t xml:space="preserve">Спецсвязь России</w:t>
      </w:r>
      <w:r>
        <w:rPr>
          <w:lang w:val="en-US" w:eastAsia="en-US"/>
        </w:rPr>
        <w:t xml:space="preserve">), именуемое в дальнейшем «Исполнитель», представленное филиалом – Региональным </w:t>
      </w:r>
      <w:r>
        <w:rPr>
          <w:lang w:eastAsia="en-US"/>
        </w:rPr>
        <w:t xml:space="preserve">у</w:t>
      </w:r>
      <w:r>
        <w:rPr>
          <w:lang w:val="en-US" w:eastAsia="en-US"/>
        </w:rPr>
        <w:t xml:space="preserve">правлением специальной связи по Южному региону</w:t>
      </w:r>
      <w:r>
        <w:rPr>
          <w:lang w:eastAsia="en-US"/>
        </w:rPr>
        <w:t xml:space="preserve"> </w:t>
      </w:r>
      <w:r>
        <w:rPr>
          <w:lang w:val="en-US" w:eastAsia="en-US"/>
        </w:rPr>
        <w:t xml:space="preserve"> - Управлением специальной связи по Ростовской области,  в лице заместителя начальника Управления по развитию Вербило Олега Михайловича, действующего на основании доверенности  от </w:t>
      </w:r>
      <w:r>
        <w:t xml:space="preserve">1</w:t>
      </w:r>
      <w:r>
        <w:t xml:space="preserve">0 сентября</w:t>
      </w:r>
      <w:r>
        <w:t xml:space="preserve"> 202</w:t>
      </w:r>
      <w:r>
        <w:t xml:space="preserve">5</w:t>
      </w:r>
      <w:r>
        <w:t xml:space="preserve"> года № </w:t>
      </w:r>
      <w:r>
        <w:t xml:space="preserve">410</w:t>
      </w:r>
      <w:r>
        <w:t xml:space="preserve">/2</w:t>
      </w:r>
      <w:r>
        <w:t xml:space="preserve">5</w:t>
      </w:r>
      <w:r>
        <w:rPr>
          <w:color w:val="000000"/>
          <w:lang w:eastAsia="en-US"/>
        </w:rPr>
        <w:t xml:space="preserve">,</w:t>
      </w:r>
      <w:r>
        <w:rPr>
          <w:color w:val="000000"/>
          <w:lang w:val="en-US" w:eastAsia="en-US"/>
        </w:rPr>
        <w:t xml:space="preserve"> с одной Стороны, </w:t>
      </w:r>
      <w:r>
        <w:rPr>
          <w:color w:val="000000"/>
          <w:lang w:val="en-US" w:eastAsia="en-US"/>
        </w:rPr>
      </w:r>
      <w:r>
        <w:rPr>
          <w:color w:val="000000"/>
          <w:lang w:val="en-US" w:eastAsia="en-US"/>
        </w:rPr>
      </w:r>
    </w:p>
    <w:p>
      <w:pPr>
        <w:ind w:firstLine="709"/>
        <w:jc w:val="both"/>
        <w:rPr>
          <w:color w:val="000000"/>
          <w:lang w:eastAsia="en-US"/>
        </w:rPr>
      </w:pPr>
      <w:r/>
      <w:permStart w:colFirst="0" w:colLast="0" w:displacedbyCustomXml="next" w:edGrp="everyone" w:id="undefined"/>
      <w:r>
        <w:rPr>
          <w:color w:val="000000"/>
          <w:lang w:val="en-US" w:eastAsia="en-US"/>
        </w:rPr>
        <w:t xml:space="preserve">и </w:t>
      </w:r>
      <w:r>
        <w:rPr>
          <w:color w:val="000000"/>
          <w:lang w:val="en-US" w:eastAsia="en-US"/>
        </w:rPr>
        <w:t xml:space="preserve">Федеральное казенное учреждение «Управление федеральных автомобильных дорог «Новороссия» Федерального дорожного агентства» (</w:t>
      </w:r>
      <w:r>
        <w:rPr>
          <w:color w:val="000000"/>
          <w:lang w:val="en-US" w:eastAsia="en-US"/>
        </w:rPr>
        <w:t xml:space="preserve">ФКУ Упрдор «Новороссия»)</w:t>
      </w:r>
      <w:r>
        <w:rPr>
          <w:color w:val="000000"/>
          <w:lang w:val="en-US" w:eastAsia="en-US"/>
        </w:rPr>
        <w:t xml:space="preserve">, </w:t>
      </w:r>
      <w:r>
        <w:rPr>
          <w:color w:val="000000"/>
          <w:lang w:eastAsia="en-US"/>
        </w:rPr>
        <w:t xml:space="preserve"> </w:t>
      </w:r>
      <w:r>
        <w:rPr>
          <w:color w:val="000000"/>
          <w:lang w:val="en-US" w:eastAsia="en-US"/>
        </w:rPr>
        <w:t xml:space="preserve">именуемое в дальнейшем  «Заказчик»</w:t>
      </w:r>
      <w:r>
        <w:rPr>
          <w:color w:val="000000"/>
          <w:lang w:eastAsia="en-US"/>
        </w:rPr>
        <w:t xml:space="preserve">,</w:t>
      </w:r>
      <w:r>
        <w:rPr>
          <w:color w:val="000000"/>
          <w:lang w:val="en-US" w:eastAsia="en-US"/>
        </w:rPr>
        <w:t xml:space="preserve"> в лице заместителя</w:t>
      </w:r>
      <w:r>
        <w:rPr>
          <w:color w:val="000000"/>
          <w:lang w:val="en-US" w:eastAsia="en-US"/>
        </w:rPr>
        <w:t xml:space="preserve"> начальника Гулого Олега Николаевича, действующего на основании доверенности от 29.12.2025 г. №04/26, с другой Стороны, именуемые совместно «Стороны», и каждая в отдельности «Сторона», заключили настоящий </w:t>
      </w:r>
      <w:r>
        <w:rPr>
          <w:color w:val="000000"/>
          <w:lang w:eastAsia="en-US"/>
        </w:rPr>
        <w:t xml:space="preserve">Государственный</w:t>
      </w:r>
      <w:r>
        <w:rPr>
          <w:color w:val="000000"/>
          <w:lang w:eastAsia="en-US"/>
        </w:rPr>
        <w:t xml:space="preserve"> контракт (далее - Контракт)</w:t>
      </w:r>
      <w:r>
        <w:rPr>
          <w:color w:val="000000"/>
          <w:lang w:val="en-US" w:eastAsia="en-US"/>
        </w:rPr>
        <w:t xml:space="preserve"> на основании п. 4 ст. 93 Федерального закона от 05.04.2013 N 44-ФЗ "О Контрактной системе в сфере закупок товаров, работ, услуг для обеспечения государственных и муниципальных нужд" о нижеследующем</w:t>
      </w:r>
      <w:r>
        <w:rPr>
          <w:color w:val="000000"/>
          <w:lang w:eastAsia="en-US"/>
        </w:rPr>
        <w:t xml:space="preserve">:</w:t>
      </w:r>
      <w:r>
        <w:rPr>
          <w:color w:val="000000"/>
          <w:lang w:eastAsia="en-US"/>
        </w:rPr>
      </w:r>
      <w:r>
        <w:rPr>
          <w:color w:val="000000"/>
          <w:lang w:eastAsia="en-US"/>
        </w:rPr>
      </w:r>
    </w:p>
    <w:p>
      <w:pPr>
        <w:pStyle w:val="909"/>
        <w:ind w:firstLine="709"/>
        <w:jc w:val="both"/>
        <w:rPr>
          <w:color w:val="000000"/>
          <w:lang w:eastAsia="en-US"/>
        </w:rPr>
      </w:pPr>
      <w:r/>
      <w:permEnd w:id="2"/>
      <w:r>
        <w:rPr>
          <w:color w:val="000000"/>
          <w:lang w:eastAsia="en-US"/>
        </w:rPr>
      </w:r>
      <w:r>
        <w:rPr>
          <w:color w:val="000000"/>
          <w:lang w:eastAsia="en-US"/>
        </w:rPr>
      </w:r>
    </w:p>
    <w:p>
      <w:pPr>
        <w:pStyle w:val="909"/>
        <w:numPr>
          <w:ilvl w:val="0"/>
          <w:numId w:val="2"/>
        </w:numPr>
        <w:jc w:val="center"/>
        <w:rPr>
          <w:b/>
        </w:rPr>
      </w:pPr>
      <w:r>
        <w:rPr>
          <w:b/>
        </w:rPr>
        <w:t xml:space="preserve">ПРЕДМЕТ КОНТРАКТА</w:t>
      </w:r>
      <w:r>
        <w:rPr>
          <w:b/>
        </w:rPr>
      </w:r>
      <w:r>
        <w:rPr>
          <w:b/>
        </w:rPr>
      </w:r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</w:tabs>
      </w:pPr>
      <w:r>
        <w:t xml:space="preserve">Исполнитель обязуется оказывать Заказчику, а Заказчик – принимать и оплачивать услуги специальной </w:t>
      </w:r>
      <w:r>
        <w:t xml:space="preserve">почтовой </w:t>
      </w:r>
      <w:r>
        <w:t xml:space="preserve">связи по приему, обработке, хранению, доставке, перевозке и вручению следующих отправлений (далее по тексту – Отправления):</w:t>
      </w:r>
      <w:r/>
    </w:p>
    <w:p>
      <w:pPr>
        <w:pStyle w:val="909"/>
        <w:numPr>
          <w:ilvl w:val="2"/>
          <w:numId w:val="3"/>
        </w:numPr>
        <w:ind w:left="0" w:firstLine="567"/>
        <w:jc w:val="both"/>
        <w:tabs>
          <w:tab w:val="left" w:pos="851" w:leader="none"/>
          <w:tab w:val="num" w:pos="1276" w:leader="none"/>
        </w:tabs>
      </w:pPr>
      <w:r>
        <w:t xml:space="preserve">пакетной корреспонденции весом до двух килограммов и размерами пакета не менее 11х15 см и не более 5х25х35 см (5х30х38 – для пересылки внутри сети маршрутов </w:t>
      </w:r>
      <w:r>
        <w:rPr>
          <w:lang w:val="en-US" w:eastAsia="en-US"/>
        </w:rPr>
        <w:t xml:space="preserve">Спецсвязи России</w:t>
      </w:r>
      <w:r>
        <w:t xml:space="preserve">), в том числе:</w:t>
      </w:r>
      <w:r/>
    </w:p>
    <w:p>
      <w:pPr>
        <w:pStyle w:val="909"/>
        <w:numPr>
          <w:ilvl w:val="3"/>
          <w:numId w:val="3"/>
        </w:numPr>
        <w:ind w:left="1276" w:hanging="709"/>
        <w:jc w:val="both"/>
        <w:tabs>
          <w:tab w:val="left" w:pos="993" w:leader="none"/>
        </w:tabs>
      </w:pPr>
      <w:r>
        <w:t xml:space="preserve">пакетов с вложениями, содержащими сведения</w:t>
      </w:r>
      <w:r>
        <w:t xml:space="preserve">, составляющие государственную </w:t>
      </w:r>
      <w:r>
        <w:t xml:space="preserve">тайну (далее по тексту – секретные пакеты);</w:t>
      </w:r>
      <w:r/>
    </w:p>
    <w:p>
      <w:pPr>
        <w:pStyle w:val="909"/>
        <w:numPr>
          <w:ilvl w:val="3"/>
          <w:numId w:val="3"/>
        </w:numPr>
        <w:ind w:left="1276" w:hanging="709"/>
        <w:jc w:val="both"/>
        <w:tabs>
          <w:tab w:val="left" w:pos="993" w:leader="none"/>
        </w:tabs>
      </w:pPr>
      <w:r>
        <w:t xml:space="preserve">пакетов с вложениями документов и изделий, содержащих конфиденциальную информацию, служебную или коммерческую тайну (далее по тексту – несекретные пакеты); </w:t>
      </w:r>
      <w:r/>
    </w:p>
    <w:p>
      <w:pPr>
        <w:pStyle w:val="909"/>
        <w:numPr>
          <w:ilvl w:val="3"/>
          <w:numId w:val="3"/>
        </w:numPr>
        <w:ind w:left="1276" w:hanging="709"/>
        <w:jc w:val="both"/>
        <w:tabs>
          <w:tab w:val="left" w:pos="993" w:leader="none"/>
        </w:tabs>
      </w:pPr>
      <w:r>
        <w:t xml:space="preserve">пакетов с оценочной стоимостью (далее по тексту – ценные пакеты).</w:t>
      </w:r>
      <w:r/>
    </w:p>
    <w:p>
      <w:pPr>
        <w:pStyle w:val="909"/>
        <w:numPr>
          <w:ilvl w:val="2"/>
          <w:numId w:val="3"/>
        </w:numPr>
        <w:ind w:left="0" w:firstLine="567"/>
        <w:jc w:val="both"/>
        <w:tabs>
          <w:tab w:val="left" w:pos="1134" w:leader="none"/>
          <w:tab w:val="num" w:pos="1418" w:leader="none"/>
        </w:tabs>
      </w:pPr>
      <w:r>
        <w:t xml:space="preserve">посылок размером не менее 5х10х15 с</w:t>
      </w:r>
      <w:r>
        <w:t xml:space="preserve">м и не более 45 см по каждому из трех измерений весом до 10 кг, а в рулонах цилиндрической формы (тубусах) – диаметром до 45 см и длиной до 150 см, посылок с картографическими материалами размером не более 15х150х150 см и весом не более 20 кг, в том числе:</w:t>
      </w:r>
      <w:r/>
    </w:p>
    <w:p>
      <w:pPr>
        <w:pStyle w:val="909"/>
        <w:numPr>
          <w:ilvl w:val="3"/>
          <w:numId w:val="3"/>
        </w:numPr>
        <w:ind w:left="1276"/>
        <w:jc w:val="both"/>
        <w:tabs>
          <w:tab w:val="left" w:pos="993" w:leader="none"/>
          <w:tab w:val="num" w:pos="1276" w:leader="none"/>
        </w:tabs>
      </w:pPr>
      <w:r>
        <w:t xml:space="preserve">посылок с вложениями, содержащими сведения, составляющие государственную тайну (далее по тексту – секретные посылки);</w:t>
      </w:r>
      <w:r/>
    </w:p>
    <w:p>
      <w:pPr>
        <w:pStyle w:val="909"/>
        <w:numPr>
          <w:ilvl w:val="3"/>
          <w:numId w:val="3"/>
        </w:numPr>
        <w:ind w:left="1276"/>
        <w:jc w:val="both"/>
        <w:tabs>
          <w:tab w:val="left" w:pos="993" w:leader="none"/>
          <w:tab w:val="num" w:pos="1276" w:leader="none"/>
        </w:tabs>
      </w:pPr>
      <w:r>
        <w:t xml:space="preserve">посылок с вложениями документов и изделий, содержащих конфиденциальную информацию, служебную или коммерческую тайну (далее по тексту – несекретные посылки);</w:t>
      </w:r>
      <w:r/>
    </w:p>
    <w:p>
      <w:pPr>
        <w:pStyle w:val="909"/>
        <w:numPr>
          <w:ilvl w:val="3"/>
          <w:numId w:val="3"/>
        </w:numPr>
        <w:ind w:left="1276"/>
        <w:jc w:val="both"/>
        <w:tabs>
          <w:tab w:val="left" w:pos="993" w:leader="none"/>
          <w:tab w:val="num" w:pos="1276" w:leader="none"/>
        </w:tabs>
      </w:pPr>
      <w:r>
        <w:t xml:space="preserve">посылок с оценочной стоимостью (далее по тексту – ценные посылки);</w:t>
      </w:r>
      <w:r/>
    </w:p>
    <w:p>
      <w:pPr>
        <w:pStyle w:val="909"/>
        <w:numPr>
          <w:ilvl w:val="2"/>
          <w:numId w:val="3"/>
        </w:numPr>
        <w:ind w:left="0" w:firstLine="567"/>
        <w:jc w:val="both"/>
        <w:tabs>
          <w:tab w:val="left" w:pos="993" w:leader="none"/>
          <w:tab w:val="num" w:pos="1276" w:leader="none"/>
        </w:tabs>
      </w:pPr>
      <w:r>
        <w:t xml:space="preserve">упаковок в твердой таре (метизов) размером места не более 200х100х75 см (длина, высота и ширина) и максимальным весом не более 300 кг, в том числе:</w:t>
      </w:r>
      <w:r/>
    </w:p>
    <w:p>
      <w:pPr>
        <w:pStyle w:val="909"/>
        <w:numPr>
          <w:ilvl w:val="3"/>
          <w:numId w:val="3"/>
        </w:numPr>
        <w:ind w:left="1276"/>
        <w:jc w:val="both"/>
        <w:tabs>
          <w:tab w:val="left" w:pos="993" w:leader="none"/>
        </w:tabs>
      </w:pPr>
      <w:r>
        <w:t xml:space="preserve">упаковок с вложениями, содержащими сведения, составляющие государственную тайну (далее по тексту – секретные упаковки);</w:t>
      </w:r>
      <w:r/>
    </w:p>
    <w:p>
      <w:pPr>
        <w:pStyle w:val="909"/>
        <w:numPr>
          <w:ilvl w:val="3"/>
          <w:numId w:val="3"/>
        </w:numPr>
        <w:ind w:left="1276"/>
        <w:jc w:val="both"/>
        <w:tabs>
          <w:tab w:val="left" w:pos="993" w:leader="none"/>
        </w:tabs>
      </w:pPr>
      <w:r>
        <w:t xml:space="preserve">упаковок с вложениями документов и изделий, содержащих конфиденциальную информацию, служебную или коммерческую тайну (далее по тексту – несекретные упаковки);</w:t>
      </w:r>
      <w:r/>
    </w:p>
    <w:p>
      <w:pPr>
        <w:pStyle w:val="909"/>
        <w:numPr>
          <w:ilvl w:val="3"/>
          <w:numId w:val="3"/>
        </w:numPr>
        <w:ind w:left="1276"/>
        <w:jc w:val="both"/>
        <w:tabs>
          <w:tab w:val="left" w:pos="993" w:leader="none"/>
        </w:tabs>
      </w:pPr>
      <w:r>
        <w:t xml:space="preserve">упаковок с оценочной стоимостью (далее по тексту – ценные упаковки).</w:t>
      </w:r>
      <w:r/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</w:tabs>
      </w:pPr>
      <w:r>
        <w:t xml:space="preserve">Доставка секретных пакетов, секретных посылок, секретных упаковок осуществляется Исполнителем при наличии у получателей (далее по тексту именуемые получатели):</w:t>
      </w:r>
      <w:r/>
    </w:p>
    <w:p>
      <w:pPr>
        <w:pStyle w:val="909"/>
        <w:ind w:firstLine="567"/>
        <w:jc w:val="both"/>
        <w:tabs>
          <w:tab w:val="left" w:pos="993" w:leader="none"/>
        </w:tabs>
      </w:pPr>
      <w:r>
        <w:t xml:space="preserve">1.2.1</w:t>
      </w:r>
      <w:r>
        <w:t xml:space="preserve"> предприятий, учреждений или организаций - лицензии на проведение работ с использованием сведений, составляющих государственную тайну;</w:t>
      </w:r>
      <w:r/>
    </w:p>
    <w:p>
      <w:pPr>
        <w:pStyle w:val="909"/>
        <w:ind w:firstLine="567"/>
        <w:jc w:val="both"/>
        <w:tabs>
          <w:tab w:val="left" w:pos="993" w:leader="none"/>
        </w:tabs>
      </w:pPr>
      <w:r>
        <w:t xml:space="preserve">1.2.</w:t>
      </w:r>
      <w:r>
        <w:t xml:space="preserve">2</w:t>
      </w:r>
      <w:r>
        <w:t xml:space="preserve"> органов государственной власти Российской Федерации, органов государственной вл</w:t>
      </w:r>
      <w:r>
        <w:t xml:space="preserve">асти субъектов Российской Федерации, органов местного самоуправления – согласования (разрешения) органов, уполномоченных на ведение лицензионной деятельности в области защиты государственной тайны, на размещение (создание) режимно-секретных подразделений. </w:t>
      </w:r>
      <w:r/>
    </w:p>
    <w:p>
      <w:pPr>
        <w:pStyle w:val="909"/>
        <w:ind w:firstLine="567"/>
        <w:jc w:val="both"/>
        <w:tabs>
          <w:tab w:val="left" w:pos="0" w:leader="none"/>
          <w:tab w:val="num" w:pos="2771" w:leader="none"/>
        </w:tabs>
      </w:pPr>
      <w:r>
        <w:t xml:space="preserve">Все риски, связанные с утратой, гибелью, повреждением Отправления, принятого к доставке, или его части, застрахованы Исполнителем в полном объеме.</w:t>
      </w:r>
      <w:r/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</w:tabs>
      </w:pPr>
      <w:r>
        <w:t xml:space="preserve">Информация о получателе и адресе доставки секретных пакетов, секретных посылок, секретных упаковок п</w:t>
      </w:r>
      <w:r>
        <w:t xml:space="preserve">редставляется Исполнителю таким образом, чтобы данную информацию нельзя было отнести к сведениям, составляющим государственную тайну. Адреса доставки в обязательном порядке должны быть указаны на секретных пакетах, секретных посылках, секретных упаковках. </w:t>
      </w:r>
      <w:r/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  <w:tab w:val="num" w:pos="1048" w:leader="none"/>
        </w:tabs>
      </w:pPr>
      <w:r>
        <w:t xml:space="preserve">Форма письменной заявки на оказание услуг установлена в Приложении № 1 к настоящему Контракту.</w:t>
      </w:r>
      <w:r/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  <w:tab w:val="num" w:pos="1048" w:leader="none"/>
        </w:tabs>
      </w:pPr>
      <w:r>
        <w:t xml:space="preserve">Тарифы на доставку Отправлений (секретных, несекретных, ценных) установлены в Приложени</w:t>
      </w:r>
      <w:r>
        <w:t xml:space="preserve">и</w:t>
      </w:r>
      <w:r>
        <w:br w:type="textWrapping" w:clear="all"/>
        <w:t xml:space="preserve"> № 2</w:t>
      </w:r>
      <w:r>
        <w:t xml:space="preserve"> </w:t>
      </w:r>
      <w:r>
        <w:t xml:space="preserve">к настоящему Контракту</w:t>
      </w:r>
      <w:r>
        <w:t xml:space="preserve">.</w:t>
      </w:r>
      <w:r/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  <w:tab w:val="num" w:pos="1048" w:leader="none"/>
        </w:tabs>
      </w:pPr>
      <w:r>
        <w:t xml:space="preserve">Порядок подачи и приема заявок, приема и вручения Отправлений (секретных, несекретных, ценных) установлен в Приложении № 3 к настоящему Контракту.</w:t>
      </w:r>
      <w:r/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  <w:tab w:val="num" w:pos="1048" w:leader="none"/>
        </w:tabs>
      </w:pPr>
      <w:r>
        <w:t xml:space="preserve">Требования к оформлению Отправлений установлены в Приложении № 4 к настоящему Контракту.</w:t>
      </w:r>
      <w:r/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  <w:tab w:val="num" w:pos="1048" w:leader="none"/>
        </w:tabs>
      </w:pPr>
      <w:r>
        <w:t xml:space="preserve">Формы реестров на отправку Отправлений (секретных, несекретных, ценных) приведены в Приложении № 5 к Контракту.</w:t>
      </w:r>
      <w:r/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  <w:tab w:val="num" w:pos="1048" w:leader="none"/>
        </w:tabs>
      </w:pPr>
      <w:r>
        <w:t xml:space="preserve">Сроки доставки Отправлений установлены в Приложении № 6 к Контракту.</w:t>
      </w:r>
      <w:r/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  <w:tab w:val="num" w:pos="1048" w:leader="none"/>
        </w:tabs>
      </w:pPr>
      <w:r>
        <w:t xml:space="preserve"> Зональное распределение регионов для Отправлений (секретных, несекретных, ценных) установлено в Приложении №</w:t>
      </w:r>
      <w:r>
        <w:rPr>
          <w:lang w:val="en-US"/>
        </w:rPr>
        <w:t xml:space="preserve"> </w:t>
      </w:r>
      <w:r>
        <w:t xml:space="preserve">7 к Контракту.</w:t>
      </w:r>
      <w:r/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  <w:tab w:val="num" w:pos="1048" w:leader="none"/>
        </w:tabs>
      </w:pPr>
      <w:r>
        <w:t xml:space="preserve"> Действие настоящего Контракта не распространяется на услуги по приему, обработке, хранению, доставке и вручению Отправлений, содержащих вложения в виде драгоценных металлов, драгоценных камней и изделий из них,</w:t>
      </w:r>
      <w:r>
        <w:t xml:space="preserve"> ювелирных изделий, культурных ценностей, наличных денежных средств (банкнот и монет), документарных ценных бумаг (в том числе векселей и облигаций), наркотических средств, психотропных веществ, оружия, а также опасных грузов и грузов повышенной опасности.</w:t>
      </w:r>
      <w:r/>
    </w:p>
    <w:p>
      <w:pPr>
        <w:pStyle w:val="909"/>
        <w:numPr>
          <w:ilvl w:val="1"/>
          <w:numId w:val="3"/>
        </w:numPr>
        <w:ind w:left="0" w:firstLine="567"/>
        <w:jc w:val="both"/>
        <w:tabs>
          <w:tab w:val="num" w:pos="0" w:leader="none"/>
          <w:tab w:val="left" w:pos="993" w:leader="none"/>
        </w:tabs>
      </w:pPr>
      <w:r>
        <w:t xml:space="preserve">Контактные лица  Сторон при исполнении настоящего Контракта:</w:t>
      </w:r>
      <w:r/>
    </w:p>
    <w:tbl>
      <w:tblPr>
        <w:tblW w:w="10543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93"/>
        <w:gridCol w:w="845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09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tabs>
                <w:tab w:val="left" w:pos="993" w:leader="none"/>
              </w:tabs>
              <w:rPr>
                <w:b/>
              </w:rPr>
            </w:pPr>
            <w:r/>
            <w:permStart w:colFirst="0" w:colLast="0" w:displacedbyCustomXml="next" w:edGrp="everyone" w:id="undefined"/>
            <w:r/>
            <w:permStart w:colFirst="0" w:colLast="0" w:displacedbyCustomXml="next" w:edGrp="everyone" w:id="undefined"/>
            <w:r>
              <w:rPr>
                <w:b/>
              </w:rPr>
              <w:t xml:space="preserve">- от Заказчика -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450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tabs>
                <w:tab w:val="left" w:pos="993" w:leader="none"/>
              </w:tabs>
              <w:rPr>
                <w:highlight w:val="yellow"/>
              </w:rPr>
            </w:pPr>
            <w:r>
              <w:rPr>
                <w:highlight w:val="yellow"/>
              </w:rPr>
              <w:t xml:space="preserve">Сотрудник режимно-секретного подразделения - 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rPr>
          <w:trHeight w:val="415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3" w:type="dxa"/>
            <w:vAlign w:val="top"/>
            <w:textDirection w:val="lrTb"/>
            <w:noWrap w:val="false"/>
          </w:tcPr>
          <w:p>
            <w:pPr>
              <w:jc w:val="both"/>
              <w:tabs>
                <w:tab w:val="left" w:pos="993" w:leader="none"/>
              </w:tabs>
              <w:rPr>
                <w:sz w:val="21"/>
                <w:szCs w:val="21"/>
                <w:highlight w:val="yellow"/>
                <w14:ligatures w14:val="none"/>
              </w:rPr>
            </w:pPr>
            <w:r>
              <w:rPr>
                <w:sz w:val="21"/>
                <w:szCs w:val="21"/>
                <w:highlight w:val="yellow"/>
              </w:rPr>
            </w:r>
            <w:permEnd w:displacedbyCustomXml="next" w:id=""/>
            <w:r>
              <w:rPr>
                <w:sz w:val="21"/>
                <w:szCs w:val="21"/>
                <w:highlight w:val="yellow"/>
              </w:rPr>
            </w:r>
            <w:permEnd w:displacedbyCustomXml="next" w:id=""/>
            <w:r>
              <w:rPr>
                <w:sz w:val="21"/>
                <w:szCs w:val="21"/>
                <w:highlight w:val="yellow"/>
              </w:rPr>
            </w:r>
            <w:permStart w:colFirst="0" w:colLast="0" w:displacedbyCustomXml="next" w:edGrp="everyone" w:id="undefined"/>
            <w:r>
              <w:rPr>
                <w:sz w:val="21"/>
                <w:szCs w:val="21"/>
                <w:highlight w:val="yellow"/>
              </w:rPr>
              <w:t xml:space="preserve">в</w:t>
            </w:r>
            <w:r>
              <w:rPr>
                <w:sz w:val="21"/>
                <w:szCs w:val="21"/>
                <w:highlight w:val="yellow"/>
              </w:rPr>
              <w:t xml:space="preserve">едущий специалист по защите государственной тайны</w:t>
            </w:r>
            <w:r>
              <w:rPr>
                <w:sz w:val="21"/>
                <w:szCs w:val="21"/>
                <w:highlight w:val="yellow"/>
              </w:rPr>
              <w:t xml:space="preserve"> Р</w:t>
            </w:r>
            <w:r>
              <w:rPr>
                <w:sz w:val="21"/>
                <w:szCs w:val="21"/>
                <w:highlight w:val="yellow"/>
              </w:rPr>
              <w:t xml:space="preserve">в</w:t>
            </w:r>
            <w:r>
              <w:rPr>
                <w:sz w:val="21"/>
                <w:szCs w:val="21"/>
                <w:highlight w:val="yellow"/>
              </w:rPr>
              <w:t xml:space="preserve">анцов Андрей Анатольевич, тел. (863) 283-75-69, </w:t>
            </w:r>
            <w:r>
              <w:rPr>
                <w:sz w:val="21"/>
                <w:szCs w:val="21"/>
                <w:highlight w:val="yellow"/>
                <w14:ligatures w14:val="none"/>
              </w:rPr>
            </w:r>
            <w:r>
              <w:rPr>
                <w:sz w:val="21"/>
                <w:szCs w:val="21"/>
                <w:highlight w:val="yellow"/>
                <w14:ligatures w14:val="none"/>
              </w:rPr>
            </w:r>
          </w:p>
          <w:p>
            <w:pPr>
              <w:jc w:val="both"/>
              <w:tabs>
                <w:tab w:val="left" w:pos="993" w:leader="none"/>
              </w:tabs>
              <w:rPr>
                <w:sz w:val="21"/>
                <w:szCs w:val="21"/>
                <w:highlight w:val="yellow"/>
                <w14:ligatures w14:val="none"/>
              </w:rPr>
            </w:pPr>
            <w:r>
              <w:rPr>
                <w:sz w:val="21"/>
                <w:szCs w:val="21"/>
                <w:highlight w:val="yellow"/>
              </w:rPr>
            </w:r>
            <w:r>
              <w:rPr>
                <w:sz w:val="21"/>
                <w:szCs w:val="21"/>
                <w:highlight w:val="yellow"/>
              </w:rPr>
              <w:t xml:space="preserve">e-mail: a.rvancov@nvr.rosavtodor.gov.ru</w:t>
            </w:r>
            <w:r>
              <w:rPr>
                <w:sz w:val="21"/>
                <w:szCs w:val="21"/>
                <w:highlight w:val="yellow"/>
                <w14:ligatures w14:val="none"/>
              </w:rPr>
            </w:r>
            <w:r>
              <w:rPr>
                <w:sz w:val="21"/>
                <w:szCs w:val="21"/>
                <w:highlight w:val="yellow"/>
                <w14:ligatures w14:val="none"/>
              </w:rPr>
            </w:r>
          </w:p>
          <w:p>
            <w:pPr>
              <w:pStyle w:val="909"/>
              <w:jc w:val="center"/>
              <w:tabs>
                <w:tab w:val="left" w:pos="993" w:leader="none"/>
              </w:tabs>
              <w:rPr>
                <w:sz w:val="21"/>
                <w:szCs w:val="21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(должность, фамилия, имя, отчество, контактная информация, адрес электронной почты)</w:t>
            </w:r>
            <w:r>
              <w:rPr>
                <w:sz w:val="21"/>
                <w:szCs w:val="21"/>
                <w:highlight w:val="yellow"/>
              </w:rPr>
            </w:r>
            <w:r>
              <w:rPr>
                <w:sz w:val="21"/>
                <w:szCs w:val="21"/>
                <w:highlight w:val="yellow"/>
              </w:rPr>
            </w:r>
          </w:p>
        </w:tc>
      </w:tr>
      <w:tr>
        <w:trPr>
          <w:trHeight w:val="41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09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tabs>
                <w:tab w:val="left" w:pos="993" w:leader="none"/>
              </w:tabs>
              <w:rPr>
                <w:sz w:val="21"/>
                <w:szCs w:val="21"/>
                <w:highlight w:val="yellow"/>
              </w:rPr>
            </w:pPr>
            <w:r>
              <w:rPr>
                <w:highlight w:val="yellow"/>
              </w:rPr>
            </w:r>
            <w:permEnd w:displacedbyCustomXml="next" w:id=""/>
            <w:r>
              <w:rPr>
                <w:highlight w:val="yellow"/>
              </w:rPr>
            </w:r>
            <w:permStart w:colFirst="0" w:colLast="0" w:displacedbyCustomXml="next" w:edGrp="everyone" w:id="undefined"/>
            <w:r>
              <w:rPr>
                <w:highlight w:val="yellow"/>
              </w:rPr>
            </w:r>
            <w:permStart w:colFirst="0" w:colLast="0" w:displacedbyCustomXml="next" w:edGrp="everyone" w:id="undefined"/>
            <w:r>
              <w:rPr>
                <w:sz w:val="21"/>
                <w:szCs w:val="21"/>
                <w:highlight w:val="yellow"/>
              </w:rPr>
            </w:r>
            <w:r>
              <w:rPr>
                <w:sz w:val="21"/>
                <w:szCs w:val="21"/>
                <w:highlight w:val="yellow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450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tabs>
                <w:tab w:val="left" w:pos="993" w:leader="none"/>
              </w:tabs>
              <w:rPr>
                <w:highlight w:val="yellow"/>
              </w:rPr>
            </w:pPr>
            <w:r>
              <w:rPr>
                <w:highlight w:val="yellow"/>
              </w:rPr>
              <w:t xml:space="preserve">Сотрудник – инициатор заключения контракта -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rPr>
          <w:trHeight w:val="415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3" w:type="dxa"/>
            <w:vAlign w:val="top"/>
            <w:textDirection w:val="lrTb"/>
            <w:noWrap w:val="false"/>
          </w:tcPr>
          <w:p>
            <w:pPr>
              <w:jc w:val="both"/>
              <w:tabs>
                <w:tab w:val="left" w:pos="993" w:leader="none"/>
              </w:tabs>
              <w:rPr>
                <w:sz w:val="21"/>
                <w:szCs w:val="21"/>
                <w:highlight w:val="yellow"/>
                <w14:ligatures w14:val="none"/>
              </w:rPr>
            </w:pPr>
            <w:r>
              <w:rPr>
                <w:sz w:val="21"/>
                <w:szCs w:val="21"/>
                <w:highlight w:val="yellow"/>
              </w:rPr>
            </w:r>
            <w:permEnd w:displacedbyCustomXml="next" w:id=""/>
            <w:r>
              <w:rPr>
                <w:sz w:val="21"/>
                <w:szCs w:val="21"/>
                <w:highlight w:val="yellow"/>
              </w:rPr>
            </w:r>
            <w:permEnd w:displacedbyCustomXml="next" w:id=""/>
            <w:r>
              <w:rPr>
                <w:sz w:val="21"/>
                <w:szCs w:val="21"/>
                <w:highlight w:val="yellow"/>
              </w:rPr>
            </w:r>
            <w:permStart w:colFirst="0" w:colLast="0" w:displacedbyCustomXml="next" w:edGrp="everyone" w:id="undefined"/>
            <w:r>
              <w:rPr>
                <w:sz w:val="21"/>
                <w:szCs w:val="21"/>
                <w:highlight w:val="yellow"/>
              </w:rPr>
              <w:t xml:space="preserve">в</w:t>
            </w:r>
            <w:r>
              <w:rPr>
                <w:sz w:val="21"/>
                <w:szCs w:val="21"/>
                <w:highlight w:val="yellow"/>
              </w:rPr>
              <w:t xml:space="preserve">едущий специалист по защите государственной тайны</w:t>
            </w:r>
            <w:r>
              <w:rPr>
                <w:sz w:val="21"/>
                <w:szCs w:val="21"/>
                <w:highlight w:val="yellow"/>
              </w:rPr>
              <w:t xml:space="preserve"> Р</w:t>
            </w:r>
            <w:r>
              <w:rPr>
                <w:sz w:val="21"/>
                <w:szCs w:val="21"/>
                <w:highlight w:val="yellow"/>
              </w:rPr>
              <w:t xml:space="preserve">в</w:t>
            </w:r>
            <w:r>
              <w:rPr>
                <w:sz w:val="21"/>
                <w:szCs w:val="21"/>
                <w:highlight w:val="yellow"/>
              </w:rPr>
              <w:t xml:space="preserve">анцов Андрей Анатольевич, тел. (863) 283-75-69, </w:t>
            </w:r>
            <w:r>
              <w:rPr>
                <w:sz w:val="21"/>
                <w:szCs w:val="21"/>
                <w:highlight w:val="yellow"/>
                <w14:ligatures w14:val="none"/>
              </w:rPr>
            </w:r>
            <w:r>
              <w:rPr>
                <w:sz w:val="21"/>
                <w:szCs w:val="21"/>
                <w:highlight w:val="yellow"/>
                <w14:ligatures w14:val="none"/>
              </w:rPr>
            </w:r>
          </w:p>
          <w:p>
            <w:pPr>
              <w:jc w:val="both"/>
              <w:tabs>
                <w:tab w:val="left" w:pos="993" w:leader="none"/>
              </w:tabs>
              <w:rPr>
                <w:sz w:val="21"/>
                <w:szCs w:val="21"/>
                <w:highlight w:val="yellow"/>
                <w14:ligatures w14:val="none"/>
              </w:rPr>
            </w:pPr>
            <w:r>
              <w:rPr>
                <w:sz w:val="21"/>
                <w:szCs w:val="21"/>
                <w:highlight w:val="yellow"/>
              </w:rPr>
            </w:r>
            <w:r>
              <w:rPr>
                <w:sz w:val="21"/>
                <w:szCs w:val="21"/>
                <w:highlight w:val="yellow"/>
              </w:rPr>
              <w:t xml:space="preserve">e-mail: a.rvancov@nvr.rosavtodor.gov.ru</w:t>
            </w:r>
            <w:r>
              <w:rPr>
                <w:highlight w:val="yellow"/>
              </w:rPr>
            </w:r>
            <w:permEnd w:displacedbyCustomXml="next" w:id=""/>
            <w:r>
              <w:rPr>
                <w:highlight w:val="yellow"/>
              </w:rPr>
            </w:r>
            <w:permEnd w:displacedbyCustomXml="next" w:id=""/>
            <w:r>
              <w:rPr>
                <w:highlight w:val="yellow"/>
              </w:rPr>
            </w:r>
            <w:permStart w:colFirst="0" w:colLast="0" w:displacedbyCustomXml="next" w:edGrp="everyone" w:id="undefined"/>
            <w:r>
              <w:rPr>
                <w:sz w:val="21"/>
                <w:szCs w:val="21"/>
                <w:highlight w:val="yellow"/>
                <w14:ligatures w14:val="none"/>
              </w:rPr>
            </w:r>
            <w:r>
              <w:rPr>
                <w:sz w:val="21"/>
                <w:szCs w:val="21"/>
                <w:highlight w:val="yellow"/>
                <w14:ligatures w14:val="none"/>
              </w:rPr>
            </w:r>
          </w:p>
          <w:p>
            <w:pPr>
              <w:pStyle w:val="909"/>
              <w:jc w:val="center"/>
              <w:tabs>
                <w:tab w:val="left" w:pos="993" w:leader="none"/>
              </w:tabs>
              <w:rPr>
                <w:sz w:val="21"/>
                <w:szCs w:val="21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(должность, фамилия, имя, отчество, контактная информация, адрес электронной почты)</w:t>
            </w:r>
            <w:r>
              <w:rPr>
                <w:sz w:val="21"/>
                <w:szCs w:val="21"/>
                <w:highlight w:val="yellow"/>
              </w:rPr>
            </w:r>
            <w:r>
              <w:rPr>
                <w:sz w:val="21"/>
                <w:szCs w:val="21"/>
                <w:highlight w:val="yellow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09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tabs>
                <w:tab w:val="left" w:pos="993" w:leader="none"/>
              </w:tabs>
            </w:pPr>
            <w:r/>
            <w:permEnd w:id="8"/>
            <w:r>
              <w:t xml:space="preserve">- </w:t>
            </w:r>
            <w:r>
              <w:rPr>
                <w:b/>
              </w:rPr>
              <w:t xml:space="preserve">от Исполнителя</w:t>
            </w:r>
            <w:r>
              <w:t xml:space="preserve"> -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450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tabs>
                <w:tab w:val="left" w:pos="993" w:leader="none"/>
              </w:tabs>
            </w:pPr>
            <w:r>
              <w:t xml:space="preserve">Диденко Елена Александровна, </w:t>
            </w:r>
            <w:r>
              <w:t xml:space="preserve">начальник отдела клиентского обслуживания</w:t>
            </w:r>
            <w:r>
              <w:t xml:space="preserve">, </w:t>
            </w:r>
            <w:r>
              <w:br w:type="textWrapping" w:clear="all"/>
            </w:r>
            <w:r>
              <w:t xml:space="preserve">8(863) 218-42-15,</w:t>
            </w:r>
            <w:r>
              <w:t xml:space="preserve"> </w:t>
            </w:r>
            <w:r>
              <w:t xml:space="preserve">е.</w:t>
            </w:r>
            <w:r>
              <w:rPr>
                <w:lang w:val="en-US"/>
              </w:rPr>
              <w:t xml:space="preserve">d</w:t>
            </w:r>
            <w:r>
              <w:rPr>
                <w:lang w:val="en-US"/>
              </w:rPr>
              <w:t xml:space="preserve">idenko</w:t>
            </w:r>
            <w:r>
              <w:t xml:space="preserve">@</w:t>
            </w:r>
            <w:r>
              <w:rPr>
                <w:lang w:val="en-US"/>
              </w:rPr>
              <w:t xml:space="preserve">cccb</w:t>
            </w:r>
            <w:r>
              <w:t xml:space="preserve">.</w:t>
            </w:r>
            <w:r>
              <w:rPr>
                <w:lang w:val="en-US"/>
              </w:rPr>
              <w:t xml:space="preserve">ru</w:t>
            </w:r>
            <w:r/>
          </w:p>
        </w:tc>
      </w:tr>
      <w:tr>
        <w:trPr>
          <w:trHeight w:val="415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4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tabs>
                <w:tab w:val="left" w:pos="993" w:leader="none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________________________________________________________________________________________________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  <w:p>
            <w:pPr>
              <w:pStyle w:val="909"/>
              <w:jc w:val="center"/>
              <w:tabs>
                <w:tab w:val="left" w:pos="993" w:leader="none"/>
              </w:tabs>
              <w:rPr>
                <w:sz w:val="21"/>
                <w:szCs w:val="21"/>
              </w:rPr>
            </w:pPr>
            <w:r>
              <w:rPr>
                <w:sz w:val="16"/>
                <w:szCs w:val="16"/>
              </w:rPr>
              <w:t xml:space="preserve">(должность, фамилия, имя, отчество, контактная информация, адрес электронной почты)</w: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</w:r>
          </w:p>
        </w:tc>
      </w:tr>
    </w:tbl>
    <w:p>
      <w:pPr>
        <w:pStyle w:val="909"/>
        <w:numPr>
          <w:ilvl w:val="1"/>
          <w:numId w:val="3"/>
        </w:numPr>
        <w:ind w:left="0" w:firstLine="567"/>
        <w:jc w:val="both"/>
        <w:tabs>
          <w:tab w:val="left" w:pos="993" w:leader="none"/>
        </w:tabs>
      </w:pPr>
      <w:r>
        <w:t xml:space="preserve">Тарифы, приведенные в Приложени</w:t>
      </w:r>
      <w:r>
        <w:t xml:space="preserve">и</w:t>
      </w:r>
      <w:r>
        <w:t xml:space="preserve"> № 2 к настоящему Контракту, действуют для сбора/</w:t>
      </w:r>
      <w:r>
        <w:t xml:space="preserve">доставки Отправлений (секретных, несекретных, ценных), обслуживаемых плановыми маршрутами «Исполнителя».</w:t>
      </w:r>
      <w:r/>
    </w:p>
    <w:p>
      <w:pPr>
        <w:pStyle w:val="910"/>
        <w:ind w:left="0" w:firstLine="360"/>
        <w:jc w:val="both"/>
        <w:rPr>
          <w:sz w:val="20"/>
        </w:rPr>
      </w:pPr>
      <w:r>
        <w:rPr>
          <w:sz w:val="20"/>
        </w:rPr>
        <w:t xml:space="preserve">    Тарифы</w:t>
      </w:r>
      <w:r>
        <w:rPr>
          <w:sz w:val="20"/>
        </w:rPr>
        <w:t xml:space="preserve">,</w:t>
      </w:r>
      <w:r>
        <w:rPr>
          <w:sz w:val="20"/>
        </w:rPr>
        <w:t xml:space="preserve"> </w:t>
      </w:r>
      <w:r>
        <w:rPr>
          <w:sz w:val="20"/>
        </w:rPr>
        <w:t xml:space="preserve">приведенные в </w:t>
      </w:r>
      <w:r>
        <w:rPr>
          <w:sz w:val="20"/>
        </w:rPr>
        <w:t xml:space="preserve">Приложении № 2 </w:t>
      </w:r>
      <w:r>
        <w:rPr>
          <w:sz w:val="20"/>
        </w:rPr>
        <w:t xml:space="preserve">к настоящему Контракту </w:t>
      </w:r>
      <w:r>
        <w:rPr>
          <w:sz w:val="20"/>
        </w:rPr>
        <w:t xml:space="preserve">и возможность осуществления сбора/ доставки Отправлений (секретных, несекретных, ценных</w:t>
      </w:r>
      <w:r>
        <w:rPr>
          <w:sz w:val="20"/>
        </w:rPr>
        <w:t xml:space="preserve">)</w:t>
      </w:r>
      <w:r>
        <w:rPr>
          <w:sz w:val="20"/>
        </w:rPr>
        <w:t xml:space="preserve"> из/ в населенные пункты, не обслуживаемые плановыми маршрутами </w:t>
      </w:r>
      <w:r>
        <w:rPr>
          <w:sz w:val="20"/>
        </w:rPr>
        <w:t xml:space="preserve">«Исполнителя»</w:t>
      </w:r>
      <w:r>
        <w:rPr>
          <w:sz w:val="20"/>
        </w:rPr>
        <w:t xml:space="preserve">, рассчитывается</w:t>
      </w:r>
      <w:r>
        <w:rPr>
          <w:sz w:val="20"/>
        </w:rPr>
        <w:t xml:space="preserve"> индивидуально. </w:t>
      </w:r>
      <w:r>
        <w:rPr>
          <w:sz w:val="20"/>
        </w:rPr>
        <w:t xml:space="preserve">Тариф учитывает дополнительные расходы, которые понесет </w:t>
      </w:r>
      <w:r>
        <w:rPr>
          <w:sz w:val="20"/>
        </w:rPr>
        <w:t xml:space="preserve">«Исполнитель»</w:t>
      </w:r>
      <w:r>
        <w:rPr>
          <w:sz w:val="20"/>
        </w:rPr>
        <w:t xml:space="preserve"> для оказания данных услуг.</w:t>
      </w:r>
      <w:r>
        <w:rPr>
          <w:sz w:val="20"/>
        </w:rPr>
      </w:r>
      <w:r>
        <w:rPr>
          <w:sz w:val="20"/>
        </w:rPr>
      </w:r>
    </w:p>
    <w:p>
      <w:pPr>
        <w:pStyle w:val="909"/>
        <w:jc w:val="both"/>
      </w:pPr>
      <w:r>
        <w:t xml:space="preserve">            1.14. </w:t>
      </w:r>
      <w:r>
        <w:t xml:space="preserve">Объектом специальной почтовой связи, в котором обслуживается Заказчик является Региональное управление специальной связи по Южному региону - Управление специальной связи по Ростовской области.</w:t>
      </w:r>
      <w:r/>
    </w:p>
    <w:p>
      <w:pPr>
        <w:pStyle w:val="909"/>
        <w:ind w:left="567"/>
        <w:jc w:val="both"/>
        <w:tabs>
          <w:tab w:val="left" w:pos="993" w:leader="none"/>
        </w:tabs>
      </w:pPr>
      <w:r/>
      <w:r/>
    </w:p>
    <w:p>
      <w:pPr>
        <w:pStyle w:val="909"/>
        <w:numPr>
          <w:ilvl w:val="0"/>
          <w:numId w:val="2"/>
        </w:numPr>
        <w:jc w:val="center"/>
        <w:rPr>
          <w:b/>
        </w:rPr>
      </w:pPr>
      <w:r>
        <w:rPr>
          <w:b/>
        </w:rPr>
        <w:t xml:space="preserve">ПРАВА И ОБЯЗАННОСТИ СТОРОН</w:t>
      </w:r>
      <w:r>
        <w:rPr>
          <w:b/>
        </w:rPr>
      </w:r>
      <w:r>
        <w:rPr>
          <w:b/>
        </w:rPr>
      </w:r>
    </w:p>
    <w:p>
      <w:pPr>
        <w:pStyle w:val="909"/>
        <w:numPr>
          <w:ilvl w:val="1"/>
          <w:numId w:val="4"/>
        </w:numPr>
        <w:ind w:firstLine="207"/>
        <w:jc w:val="both"/>
        <w:tabs>
          <w:tab w:val="left" w:pos="993" w:leader="none"/>
        </w:tabs>
        <w:rPr>
          <w:b/>
        </w:rPr>
      </w:pPr>
      <w:r>
        <w:rPr>
          <w:b/>
        </w:rPr>
        <w:t xml:space="preserve">Исполнитель имеет право:</w:t>
      </w:r>
      <w:r>
        <w:rPr>
          <w:b/>
        </w:rPr>
      </w:r>
      <w:r>
        <w:rPr>
          <w:b/>
        </w:rPr>
      </w:r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num" w:pos="-993" w:leader="none"/>
          <w:tab w:val="left" w:pos="0" w:leader="none"/>
        </w:tabs>
      </w:pPr>
      <w:r>
        <w:t xml:space="preserve">получать от Заказчика информацию, необходимую для выполнения своих обязательств по Контракту;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num" w:pos="-993" w:leader="none"/>
          <w:tab w:val="left" w:pos="993" w:leader="none"/>
        </w:tabs>
      </w:pPr>
      <w:r>
        <w:t xml:space="preserve"> </w:t>
      </w:r>
      <w:r>
        <w:t xml:space="preserve">привлекать к выполнению о</w:t>
      </w:r>
      <w:r>
        <w:t xml:space="preserve">бязанностей по Контракту третьих лиц, в том числе пользоваться услугами воздушного, наземного или морского перевозчика для выполнения своих обязательств по Контракту; при этом Исполнитель несет ответственность за действия таких лиц как за свои собственные.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num" w:pos="-993" w:leader="none"/>
          <w:tab w:val="left" w:pos="993" w:leader="none"/>
        </w:tabs>
      </w:pPr>
      <w:r>
        <w:t xml:space="preserve"> </w:t>
      </w:r>
      <w:r>
        <w:t xml:space="preserve">предварительно уведомив Заказчика, приостановить оказание услуг в одностороннем порядке в случае невыполнения или ненадлежащего исполнения Заказчиком своих обязательств, предусмотренных </w:t>
      </w:r>
      <w:r>
        <w:t xml:space="preserve">Контракт</w:t>
      </w:r>
      <w:r>
        <w:t xml:space="preserve">ом (в том числе несвоевременной оплаты счетов, выставленных Исполнителем, неполучения от За</w:t>
      </w:r>
      <w:r>
        <w:t xml:space="preserve">казчика необходимой информации и т.п.) до даты устранения Заказчиком допущенных нарушений. Срок оказания услуг при этом продлевается на период, равный периоду со дня приостановления исполнения обязательств до даты устранения Заказчиком допущенных нарушений</w:t>
      </w:r>
      <w:r>
        <w:rPr>
          <w:rStyle w:val="1003"/>
        </w:rPr>
        <w:footnoteReference w:id="2"/>
      </w:r>
      <w:r>
        <w:t xml:space="preserve">.</w:t>
      </w:r>
      <w:r/>
    </w:p>
    <w:p>
      <w:pPr>
        <w:pStyle w:val="909"/>
        <w:numPr>
          <w:ilvl w:val="1"/>
          <w:numId w:val="4"/>
        </w:numPr>
        <w:ind w:firstLine="207"/>
        <w:jc w:val="both"/>
        <w:tabs>
          <w:tab w:val="clear" w:pos="360" w:leader="none"/>
          <w:tab w:val="num" w:pos="709" w:leader="none"/>
          <w:tab w:val="left" w:pos="993" w:leader="none"/>
        </w:tabs>
        <w:rPr>
          <w:b/>
        </w:rPr>
      </w:pPr>
      <w:r>
        <w:rPr>
          <w:b/>
        </w:rPr>
        <w:t xml:space="preserve">Исполнитель обязуется:</w:t>
      </w:r>
      <w:r>
        <w:rPr>
          <w:b/>
        </w:rPr>
      </w:r>
      <w:r>
        <w:rPr>
          <w:b/>
        </w:rPr>
      </w:r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осуществлять прием, обработку, хранение, доставку и вручение Отправлений в соответствии с Порядком, установленным в Приложении № 3 к Контракту;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при приеме Отправлений на территории Исполнителя осуществлять допуск представителей Заказчика на указанную территорию в определенные настоящим Контрактом дни и часы при предъявлении пропусков, выданных Исполнителем;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оформлять пропуска для представителей Заказчика в течение двух календарных дней с даты обращения Заказчика;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консультировать представителей Заказчика по вопросам оформления сопроводительной документации и упаковки Отправлений;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по запросу Заказчика предоставлять информацию о месте нахождения принятых Отправлений, факте их вручения получателю; 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оформлять и направлять акты об оказанных услугах в порядке и сроки, предусмотренные настоящим Контрактом;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обесп</w:t>
      </w:r>
      <w:r>
        <w:t xml:space="preserve">ечивать сохранность Отправлений.</w:t>
      </w:r>
      <w:r/>
    </w:p>
    <w:p>
      <w:pPr>
        <w:pStyle w:val="909"/>
        <w:numPr>
          <w:ilvl w:val="1"/>
          <w:numId w:val="4"/>
        </w:numPr>
        <w:ind w:left="0" w:firstLine="567"/>
        <w:jc w:val="both"/>
        <w:tabs>
          <w:tab w:val="num" w:pos="0" w:leader="none"/>
        </w:tabs>
        <w:rPr>
          <w:b/>
        </w:rPr>
      </w:pPr>
      <w:r>
        <w:t xml:space="preserve">  </w:t>
      </w:r>
      <w:r>
        <w:rPr>
          <w:b/>
        </w:rPr>
        <w:t xml:space="preserve">Заказчик обязуется: </w:t>
      </w:r>
      <w:r>
        <w:rPr>
          <w:b/>
        </w:rPr>
      </w:r>
      <w:r>
        <w:rPr>
          <w:b/>
        </w:rPr>
      </w:r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при условии передачи Отправлений на своей территории обеспечить подписание и подачу заявок в соответствии </w:t>
      </w:r>
      <w:r>
        <w:t xml:space="preserve">с Порядком, у</w:t>
      </w:r>
      <w:r>
        <w:t xml:space="preserve">становленным в Приложении № 3 к настоящему Контракту;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осуществлять передачу Отправлений и сопроводительной документации в соответствии с Порядком, установленным в Приложении № 3 к настоящему Контракту;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при условии передачи Отправлений на своей территории подготовить и оформить Отправления и сопроводительные документы в соответствии с требованиями Контракта до прибытия представителей Исполнителя;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при условии передачи Отправлений на своей территории обеспечить беспрепятственный проезд автотранспорта Исполнителя и проход представителей Исполнителя к месту приема Отправлений;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предоставлять представителям Исполнителя право пользоваться телефонной связью Заказчика в служебных целях, а также при необходимости оказывать представителям Исполнителя помощь в переносе Отправлений от места приема до автотранспорта Исполнителя;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исключить сдачу Отправлений с вложениями, запрещенными к пересылке действующим законодательством Российской Федерации;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обеспечить передачу Отправлений представителям Исполнителя на своей территории в указанные в заявке часы и дни;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оплачивать по действующим тарифам обратную доставку и возврат Отправлений в </w:t>
      </w:r>
      <w:r>
        <w:t xml:space="preserve">случаях, предусмотренных п. 2.17</w:t>
      </w:r>
      <w:r>
        <w:t xml:space="preserve">. Приложения № 3 к Контракту, в течени</w:t>
      </w:r>
      <w:r>
        <w:t xml:space="preserve">е 5 (пяти) рабочих дней с даты </w:t>
      </w:r>
      <w:r>
        <w:t xml:space="preserve">получения Исполнителем соответствующего счета;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</w:t>
      </w:r>
      <w:r>
        <w:t xml:space="preserve">при обнаружении повреждения, утраты или недостачи Отправления либо его вл</w:t>
      </w:r>
      <w:r>
        <w:t xml:space="preserve">ожения выставить претензию в адрес Исполнителя в течение шести месяцев со дня сдачи Отправления Исполнителю для доставки. Претензия, выставленная с нарушением указанного срока, не принимается к рассмотрению, и причиненный ущерб Исполнителем не возмещается.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оплачивать Услуги Исполнителя в соответствии с положениями Контракта;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соблюдать законодательство Российской Федерации о государственной тайне;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убедиться в наличии у получателя, которому направляется секретный пакет, секретная посылка, секретная упаковка, лицензии на проведение р</w:t>
      </w:r>
      <w:r>
        <w:t xml:space="preserve">абот с использованием сведений, составляющих государственную тайну, или согласования (разрешения) органов, уполномоченных на ведение лицензионной деятельности в области защиты государственной тайны, на размещение (создание) режимно-секретных подразделений;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при отправке получателю секретного пакета, секретной посылки, секретной упаковки,</w:t>
      </w:r>
      <w:r>
        <w:t xml:space="preserve"> убедиться в том, что лицензия </w:t>
      </w:r>
      <w:r>
        <w:t xml:space="preserve">получателя на проведение работ с использованием сведений, составляющих государствен</w:t>
      </w:r>
      <w:r>
        <w:t xml:space="preserve">ную тайну, или согласование (разрешение) органов, уполномоченных на ведение лицензионной деятельности в области защиты государственной тайны, на размещение (создание) режимно-секретных подразделений, выданное получателю, не приостановлены или аннулированы;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обеспечить получателем секретного пакета, секретной посылки, секретной упаковки, предоставление Исполнителю по его требованию заверенной надлежащим образом копии лицензии получателя</w:t>
      </w:r>
      <w:r>
        <w:t xml:space="preserve"> на проведение работ с использованием сведений, составляющих государственную тайну, или копии согласования (разрешения) органов, уполномоченных на ведение лицензионной деятельности в области защиты государственной тайны, на размещение (создание) режимно-се</w:t>
      </w:r>
      <w:r>
        <w:t xml:space="preserve">кретных подразделений. Заверенной надлежащим образом копией лицензии или разрешения признается копия лицензии или разрешения, удостоверенная нотариально в установленном законом порядке, или заверенная подписью руководителя получателя и скрепленная печатью;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проинформировать получателя секретного пакета, секретной посылки, секретной упаковки, о последствиях, предусмотренных п. 2.1</w:t>
      </w:r>
      <w:r>
        <w:t xml:space="preserve">3</w:t>
      </w:r>
      <w:r>
        <w:t xml:space="preserve">, 2.1</w:t>
      </w:r>
      <w:r>
        <w:t xml:space="preserve">7</w:t>
      </w:r>
      <w:r>
        <w:t xml:space="preserve">. Приложения № 3 к Контракту;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при отправке секретных упаковок немедленно уведомить любыми</w:t>
      </w:r>
      <w:r>
        <w:t xml:space="preserve"> средствами связи получателя о </w:t>
      </w:r>
      <w:r>
        <w:t xml:space="preserve">передаче указанных секретных упаковок Исполнителю;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оплачивать в соответствии с тар</w:t>
      </w:r>
      <w:r>
        <w:t xml:space="preserve">ифами, установленными </w:t>
      </w:r>
      <w:r>
        <w:t xml:space="preserve">Приложени</w:t>
      </w:r>
      <w:r>
        <w:t xml:space="preserve">и</w:t>
      </w:r>
      <w:r>
        <w:t xml:space="preserve"> № 2 </w:t>
      </w:r>
      <w:r>
        <w:t xml:space="preserve">к Контракту, дополнительные услуги в случае сдачи Исполнителю Отправлений с нарушением сроков, установленных в заявке, отказа от передачи Отправлений, отказа от заявки с нарушением сроков, установленных в Приложении № 3 к Контракту;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подписывать Акты об оказанных услугах в установленные Контрактом порядке и сроки;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в день заключения Контракта предоставить Исполнителю копи</w:t>
      </w:r>
      <w:r>
        <w:t xml:space="preserve">и учредительных документов и свидетельства о государственной регистрации и постановке на учет в налоговом органе, заверенные надлежащим образом, а также документы, подтверждающие полномочия единоличного Исполнительного органа и лица, подписавшего Контракт;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 в течение пяти рабочих дней уведомлять Исполнителя об изменении наименования, организационно-право</w:t>
      </w:r>
      <w:r>
        <w:t xml:space="preserve">вой формы, об изменениях в составе единоличного Исполнительного органа, адреса места нахождения, почтового адреса, банковских и иных реквизитов, номеров телефонов, а также иных фактах, имеющих существенное значение для исполнения обязательств по Контракту;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уведомлять Исполнителя о приостановлении, аннулировании, возобновлении, переоформлении, о принятии решения о продлении срока действия лицензии на проведение работ с использованием сведений, составляющих государственную тайну, или сог</w:t>
      </w:r>
      <w:r>
        <w:t xml:space="preserve">ласования (разрешения) органов, уполномоченных на ведение лицензионной деятельности в области защиты государственной тайны, на размещение (создание) режимно-секретных подразделений не позднее одного рабочего дня со дня наступления соответствующего события;</w:t>
      </w:r>
      <w:r/>
    </w:p>
    <w:p>
      <w:pPr>
        <w:pStyle w:val="909"/>
        <w:numPr>
          <w:ilvl w:val="2"/>
          <w:numId w:val="4"/>
        </w:numPr>
        <w:ind w:left="0" w:firstLine="567"/>
        <w:jc w:val="both"/>
        <w:tabs>
          <w:tab w:val="left" w:pos="993" w:leader="none"/>
        </w:tabs>
      </w:pPr>
      <w:r>
        <w:t xml:space="preserve">   в случаях, когда законодательством Российской Федер</w:t>
      </w:r>
      <w:r>
        <w:t xml:space="preserve">ации, помимо лицензии на проведение работ с использованием сведений, составляющих государственную тайну, предусмотрено наличие для Заказчика и/или получателя секретного пакета, секретной посылки, секретной упаковки лицензии на проведение работ, связанных  </w:t>
      </w:r>
      <w:r>
        <w:rPr>
          <w:lang w:val="en-US"/>
        </w:rPr>
        <w:t xml:space="preserve">c</w:t>
      </w:r>
      <w:r>
        <w:t xml:space="preserve"> </w:t>
      </w:r>
      <w:r>
        <w:rPr>
          <w:bCs/>
        </w:rPr>
        <w:t xml:space="preserve">осуществлением мероприятий и (или) оказанием услуг по защите государственной тайны, исполнять обязательства, аналогичные предусмотренным п.п. 1.2., 2.3.12.-2.3.1</w:t>
      </w:r>
      <w:r>
        <w:rPr>
          <w:bCs/>
        </w:rPr>
        <w:t xml:space="preserve">7</w:t>
      </w:r>
      <w:r>
        <w:rPr>
          <w:bCs/>
        </w:rPr>
        <w:t xml:space="preserve">,  2.3.21.</w:t>
      </w:r>
      <w:r>
        <w:rPr>
          <w:bCs/>
        </w:rPr>
        <w:t xml:space="preserve">, 6.2</w:t>
      </w:r>
      <w:r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</w:rPr>
        <w:t xml:space="preserve">Контракта, п. 2.1</w:t>
      </w:r>
      <w:r>
        <w:rPr>
          <w:bCs/>
        </w:rPr>
        <w:t xml:space="preserve">3</w:t>
      </w:r>
      <w:r>
        <w:rPr>
          <w:bCs/>
        </w:rPr>
        <w:t xml:space="preserve">, 2.17.6.-2.17</w:t>
      </w:r>
      <w:r>
        <w:rPr>
          <w:bCs/>
        </w:rPr>
        <w:t xml:space="preserve">.8 Приложения № 3 к Контракту.</w:t>
      </w:r>
      <w:r>
        <w:t xml:space="preserve"> </w:t>
      </w:r>
      <w:r/>
    </w:p>
    <w:p>
      <w:pPr>
        <w:pStyle w:val="909"/>
        <w:ind w:firstLine="567"/>
        <w:jc w:val="both"/>
        <w:tabs>
          <w:tab w:val="num" w:pos="-993" w:leader="none"/>
        </w:tabs>
      </w:pPr>
      <w:r>
        <w:t xml:space="preserve">2.4. Заказчик гарантирует, что обладает лицензией </w:t>
      </w:r>
      <w:r>
        <w:t xml:space="preserve">на проведение работ с использованием сведений, составляющих государственную тайну, / согласованием (разрешением) органов, уполномоченных на ведение лицензионной деятельности в области защиты государственной тайны, на размещение (создание) режимно-секретных</w:t>
      </w:r>
      <w:r>
        <w:t xml:space="preserve"> подразделений,  а его работники, передающие секретный пакет, секретную посылку, секретную упаковку для доставки, - соответствующий допуск к государственной тайне, и что на момент заключения Контракта лицензия/разрешение не приостановлены или аннулированы.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Заверенная надлежащим образом копия лицензии на проведение работ с использованием сведений, составляющих государственную т</w:t>
      </w:r>
      <w:r>
        <w:t xml:space="preserve">айну, / согласования (разрешения) органов, уполномоченных на ведение лицензионной деятельности в области защиты государственной тайны, на размещение (создание) режимно-секретных подразделений предоставляется Заказчиком Исполнителю при заключении Контракта.</w:t>
      </w:r>
      <w:r/>
    </w:p>
    <w:p>
      <w:pPr>
        <w:pStyle w:val="909"/>
        <w:ind w:hanging="11"/>
        <w:tabs>
          <w:tab w:val="num" w:pos="-993" w:leader="none"/>
        </w:tabs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09"/>
        <w:numPr>
          <w:ilvl w:val="0"/>
          <w:numId w:val="2"/>
        </w:numPr>
        <w:jc w:val="center"/>
        <w:rPr>
          <w:b/>
        </w:rPr>
      </w:pPr>
      <w:r>
        <w:rPr>
          <w:b/>
        </w:rPr>
        <w:t xml:space="preserve">ЦЕНА КОНТРАКТА И ПОРЯДОК РАСЧЕТОВ</w:t>
      </w:r>
      <w:r>
        <w:rPr>
          <w:b/>
        </w:rPr>
      </w:r>
      <w:r>
        <w:rPr>
          <w:b/>
        </w:rPr>
      </w:r>
    </w:p>
    <w:p>
      <w:pPr>
        <w:pStyle w:val="909"/>
        <w:numPr>
          <w:ilvl w:val="1"/>
          <w:numId w:val="8"/>
        </w:numPr>
        <w:ind w:left="0" w:firstLine="567"/>
        <w:jc w:val="both"/>
        <w:tabs>
          <w:tab w:val="num" w:pos="993" w:leader="none"/>
        </w:tabs>
      </w:pPr>
      <w:r/>
      <w:permStart w:edGrp="everyone" w:id="9"/>
      <w:r>
        <w:t xml:space="preserve">Максимальная ц</w:t>
      </w:r>
      <w:r>
        <w:t xml:space="preserve">ена настоящего Контракта составляет</w:t>
      </w:r>
      <w:r>
        <w:t xml:space="preserve"> 20 000 </w:t>
      </w:r>
      <w:r>
        <w:t xml:space="preserve">(двадцать тысяч) рублей 00 копеек, в том числе НДС по ставке, установленной действующим законодательством Российской Федерации. 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/>
      <w:permEnd w:id="9"/>
      <w:r>
        <w:t xml:space="preserve">Стоимость услуг в совокупности с объемом подлежащих оказанию или оказанных услуг, не должна превысить цену настоящего Контракта. 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3.2. </w:t>
      </w:r>
      <w:r>
        <w:t xml:space="preserve">Цена Контракта является твердой и не подлежит изменению в течении срока действия Контракта.</w:t>
      </w:r>
      <w:r>
        <w:t xml:space="preserve"> </w:t>
      </w:r>
      <w:r>
        <w:t xml:space="preserve">В случ</w:t>
      </w:r>
      <w:r>
        <w:t xml:space="preserve">аях, предусмотренных Федеральным законом от 05 апреля 2013г. № 44-ФЗ «О контрактной системе в сфере закупок товаров, работ, услуг для обеспечения государственных и муниципальных нужд», Заказчик по согласованию с Исполнителем вправе изменить цену Контракта </w:t>
      </w:r>
      <w:permStart w:edGrp="everyone" w:id="10"/>
      <w:r>
        <w:t xml:space="preserve">не более чем на 10%</w:t>
      </w:r>
      <w:permEnd w:id="10"/>
      <w:r>
        <w:t xml:space="preserve">. 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3.3. </w:t>
      </w:r>
      <w:r>
        <w:t xml:space="preserve">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</w:t>
      </w:r>
      <w: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3.4. </w:t>
      </w:r>
      <w:r>
        <w:t xml:space="preserve">Оплата оказываемых услуг осуществляется Заказчиком по тарифам, установленным в </w:t>
      </w:r>
      <w:r>
        <w:t xml:space="preserve">Приложени</w:t>
      </w:r>
      <w:r>
        <w:t xml:space="preserve">и</w:t>
      </w:r>
      <w:r>
        <w:t xml:space="preserve"> № 2 </w:t>
      </w:r>
      <w:r>
        <w:t xml:space="preserve">Контракта.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В случае, если в Контракте и Приложениях к нему не указано иное, все тарифы, установленные настоящим Контрактом, а также Приложениями к нему, не вк</w:t>
      </w:r>
      <w:r>
        <w:t xml:space="preserve">лючают сумму налога на добавленную стоимость (НДС). Сумма НДС предъявляется дополнительно к цене реализуемых услуг в порядке, установленном Налоговым Кодексом Российской Федерации по ставке, установленной действующим законодательством Российской Федерации.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   Оплата производится в безналичном порядке путем перечисления Заказчиком денежных средств на указанный в Контракте расчетный счет Исполнителя.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   Оплата производится в рублях Российской Федерации.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   Расчеты по Контракту производятся в следующем порядке:</w:t>
      </w:r>
      <w:r>
        <w:t xml:space="preserve"> 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/>
      <w:permStart w:edGrp="everyone" w:id="11"/>
      <w:r>
        <w:t xml:space="preserve">3.5. Заказчик осуществляет оплату услуг в течение </w:t>
      </w:r>
      <w:r>
        <w:t xml:space="preserve">10 (десяти</w:t>
      </w:r>
      <w:r>
        <w:t xml:space="preserve">) </w:t>
      </w:r>
      <w:r>
        <w:t xml:space="preserve">рабочих</w:t>
      </w:r>
      <w:r>
        <w:t xml:space="preserve"> дней с даты подписания Акта об оказанных услугах (либо после наступления момента, когда указанный Акт в соответствии с условиями настоящего Контракта считается подписанным) на основании полученного от Исполнителя счета.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Заказчик вправе </w:t>
      </w:r>
      <w:r>
        <w:t xml:space="preserve"> </w:t>
      </w:r>
      <w:r>
        <w:t xml:space="preserve">осуществить о</w:t>
      </w:r>
      <w:r>
        <w:t xml:space="preserve">плат</w:t>
      </w:r>
      <w:r>
        <w:t xml:space="preserve">у</w:t>
      </w:r>
      <w:r>
        <w:t xml:space="preserve"> по Контракту в течение 10 (десяти) рабочих дней с даты получения счета от Исполнителя путем выплаты аванса в размере 100% цены Контракта.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/>
      <w:permEnd w:id="11"/>
      <w:r>
        <w:t xml:space="preserve">3.6. При оплате услуг Исполнителя в целях идентификации Заказчик в обязательном порядке делает в платежном поручении ссылку на номер настоящего Контракта, а также номер счета, выставленного Исполнителем.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В случае неправильного указания в платежном документе банковских реквизитов и наименования получателя платежа, предусмотренных в разд</w:t>
      </w:r>
      <w:r>
        <w:t xml:space="preserve">еле 10 настоящего Контракта, в результате чего денежные средства не поступили на расчетный счет Исполнителя, Заказчик несет риск неблагоприятных последствий, связанных с данным обстоятельством, а также ответственность в соответствии с настоящим Контрактом.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3.7. Обязательства Заказчика по оплате считаются исполненными с момента перечисления денежных средств на расчетный счет Исполнителя.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3.8. Стороны ежеквартально, а также по окончании исполнения всех обязательств по Контракту, проводят сверку взаимных расчетов, результаты которой оформляются двухсторонним актом. Исполнитель не позднее 25 числа ме</w:t>
      </w:r>
      <w:r>
        <w:t xml:space="preserve">сяца, следующего за отчетным периодом, направляет Заказчику Акт сверки взаимных расчетов. Заказчик в течение 10 рабочих дней со дня получения Акта сверки обязан проверить его, подписать и направить один экземпляр Акта сверки Исполнителю или в тот же срок н</w:t>
      </w:r>
      <w:r>
        <w:t xml:space="preserve">аправить Исполнителю мотивированные возражения на Акт сверки. В случае неполучения от Заказчика в установленный срок подписанного Акта сверки, либо мотивированных возражений на Акт сверки, Акт сверки считается принятым и подписанным в редакции Исполнителя.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3.9. Исполнитель не позднее чем за 2 (Два) рабочих дня до истечения срока оплаты оказанных услуг (если оплата не произведена до указанного срока) уведомляет Заказчика о приближении окончания оплаты, в том числе через систему электронного документооборота.</w:t>
      </w:r>
      <w:r/>
    </w:p>
    <w:p>
      <w:pPr>
        <w:pStyle w:val="909"/>
        <w:jc w:val="both"/>
        <w:tabs>
          <w:tab w:val="num" w:pos="-993" w:leader="none"/>
          <w:tab w:val="num" w:pos="-142" w:leader="none"/>
        </w:tabs>
      </w:pPr>
      <w:r>
        <w:t xml:space="preserve">          </w:t>
      </w:r>
      <w:r>
        <w:t xml:space="preserve">3.10. Установленные в Контракте тарифы не являются твердыми и могут быть изменены по инициативе Исполнителя с предварительным </w:t>
      </w:r>
      <w:r>
        <w:t xml:space="preserve">письменным уведомлением Заказчика не позднее, чем за 15 (пятнадцать) календарных дней до даты введения в действие новых (измененных) тарифов. При необходимости, на основе указанного уведомления,  Стороны оформляют и подписывают дополнительное соглашение к </w:t>
      </w:r>
      <w:r>
        <w:t xml:space="preserve">Контракт</w:t>
      </w:r>
      <w:r>
        <w:t xml:space="preserve">у. 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/>
      <w:r/>
    </w:p>
    <w:p>
      <w:pPr>
        <w:pStyle w:val="909"/>
        <w:numPr>
          <w:ilvl w:val="0"/>
          <w:numId w:val="17"/>
        </w:numPr>
        <w:jc w:val="center"/>
        <w:tabs>
          <w:tab w:val="num" w:pos="-142" w:leader="none"/>
        </w:tabs>
        <w:rPr>
          <w:b/>
        </w:rPr>
      </w:pPr>
      <w:r>
        <w:rPr>
          <w:b/>
        </w:rPr>
        <w:t xml:space="preserve">ПОРЯДОК ОФОРМЛЕНИЯ ДОКУМЕНТОВ ОБ ОКАЗАНИИ УСЛУГ</w:t>
      </w:r>
      <w:r>
        <w:rPr>
          <w:b/>
        </w:rPr>
      </w:r>
      <w:r>
        <w:rPr>
          <w:b/>
        </w:rPr>
      </w:r>
    </w:p>
    <w:p>
      <w:pPr>
        <w:pStyle w:val="909"/>
        <w:numPr>
          <w:ilvl w:val="1"/>
          <w:numId w:val="17"/>
        </w:numPr>
        <w:ind w:left="0" w:firstLine="567"/>
        <w:jc w:val="both"/>
        <w:tabs>
          <w:tab w:val="left" w:pos="709" w:leader="none"/>
          <w:tab w:val="left" w:pos="851" w:leader="none"/>
          <w:tab w:val="left" w:pos="1134" w:leader="none"/>
        </w:tabs>
      </w:pPr>
      <w:r>
        <w:t xml:space="preserve">В рамках настоящего </w:t>
      </w:r>
      <w:r>
        <w:t xml:space="preserve">К</w:t>
      </w:r>
      <w:r>
        <w:t xml:space="preserve">онтракта отчетным периодом Стороны согласовали календарный месяц, в котором Исполнитель оказывал услуги по Контракту.</w:t>
      </w:r>
      <w:r/>
    </w:p>
    <w:p>
      <w:pPr>
        <w:pStyle w:val="909"/>
        <w:numPr>
          <w:ilvl w:val="1"/>
          <w:numId w:val="17"/>
        </w:numPr>
        <w:ind w:left="0" w:firstLine="567"/>
        <w:jc w:val="both"/>
        <w:tabs>
          <w:tab w:val="num" w:pos="0" w:leader="none"/>
          <w:tab w:val="left" w:pos="993" w:leader="none"/>
        </w:tabs>
      </w:pPr>
      <w:r>
        <w:t xml:space="preserve">Исполнитель </w:t>
      </w:r>
      <w:r>
        <w:t xml:space="preserve">не позднее 15 (пятнадцати) рабочих дней с даты окончания отчетного периода, в котором оказывались услуги, направляет Заказчику Акт об оказанных  услугах (далее – Акт) в двух экземплярах и направляет его для подписания в адрес Заказчика, счет, счет-фактуру.</w:t>
      </w:r>
      <w:r/>
    </w:p>
    <w:p>
      <w:pPr>
        <w:pStyle w:val="909"/>
        <w:numPr>
          <w:ilvl w:val="1"/>
          <w:numId w:val="17"/>
        </w:numPr>
        <w:ind w:left="0" w:firstLine="567"/>
        <w:jc w:val="both"/>
        <w:tabs>
          <w:tab w:val="num" w:pos="0" w:leader="none"/>
          <w:tab w:val="left" w:pos="993" w:leader="none"/>
        </w:tabs>
      </w:pPr>
      <w:r>
        <w:t xml:space="preserve">Для проверки оказанных услуг в части их </w:t>
      </w:r>
      <w:r>
        <w:t xml:space="preserve">соответствия условиям Контракта Заказчик проводит экспертизу своими силами или с привлечением сторонней организации. При отсутствии замечаний к результатам оказания услуг приемка оказанных услуг осуществляется в течение 3 (трех) рабочих дней со дня получен</w:t>
      </w:r>
      <w:r>
        <w:t xml:space="preserve">ия Акта. Акт подписывается уполномоченным представителем Заказчика в течение срока установленного на сдачу-приемку оказанных услуг и передается в одном экземпляре в течение 2 (двух) рабочих дней со дня подписания уполномоченному представителю Исполнителя. </w:t>
      </w:r>
      <w:r/>
    </w:p>
    <w:p>
      <w:pPr>
        <w:pStyle w:val="909"/>
        <w:numPr>
          <w:ilvl w:val="1"/>
          <w:numId w:val="17"/>
        </w:numPr>
        <w:ind w:left="0" w:firstLine="567"/>
        <w:jc w:val="both"/>
        <w:tabs>
          <w:tab w:val="num" w:pos="0" w:leader="none"/>
          <w:tab w:val="left" w:pos="993" w:leader="none"/>
        </w:tabs>
      </w:pPr>
      <w:r>
        <w:t xml:space="preserve">По результатам эк</w:t>
      </w:r>
      <w:r>
        <w:t xml:space="preserve">спертизы, в случае обнаружения несоответствия оказанных услуг требованиям Контракта, Заказчик отказывается от приемки оказанных услуг и уполномоченный представитель Заказчика в течение срока установленного на сдачу-приемку оказанных услуг оформляет мотивир</w:t>
      </w:r>
      <w:r>
        <w:t xml:space="preserve">ованный отказ от подписания Акта, в котором указываются выявленные недостатки. О необходимости прибытия для составления и подписания указанного выше мотивированного отказа Заказчик уведомляет Исполнителя за 2 (два) рабочих дня до дня составления любым возм</w:t>
      </w:r>
      <w:r>
        <w:t xml:space="preserve">ожным способом. Мотивированный отказ подписывается полномочными представителями Сторон. При отказе Исполнителя (представителя Исполнителя) прибыть для составления мотивированного отказа или подписать мотивированный отказ, в мотивированном отказе делается с</w:t>
      </w:r>
      <w:r>
        <w:t xml:space="preserve">оответствующая отметка и уполномоченный представитель Заказчика в течение 2 (двух) рабочих дней со дня подписания указанного мотивированного отказа передает один экземпляр уполномоченному представителю Исполнителя или направляет в адрес Исполнителя почтой.</w:t>
      </w:r>
      <w:r/>
    </w:p>
    <w:p>
      <w:pPr>
        <w:pStyle w:val="909"/>
        <w:numPr>
          <w:ilvl w:val="1"/>
          <w:numId w:val="17"/>
        </w:numPr>
        <w:ind w:left="0" w:firstLine="567"/>
        <w:jc w:val="both"/>
        <w:tabs>
          <w:tab w:val="num" w:pos="0" w:leader="none"/>
          <w:tab w:val="left" w:pos="993" w:leader="none"/>
        </w:tabs>
      </w:pPr>
      <w:r>
        <w:t xml:space="preserve">Исполнитель обязан рассмотреть мотивированный отказ в течение 3 (трех) рабочих дней со дня его получения и устранить недостатки в срок, указанный Заказчиком в мотивированном отказе. </w:t>
      </w:r>
      <w:r/>
    </w:p>
    <w:p>
      <w:pPr>
        <w:pStyle w:val="909"/>
        <w:numPr>
          <w:ilvl w:val="1"/>
          <w:numId w:val="17"/>
        </w:numPr>
        <w:ind w:left="0" w:firstLine="567"/>
        <w:jc w:val="both"/>
        <w:tabs>
          <w:tab w:val="num" w:pos="0" w:leader="none"/>
          <w:tab w:val="left" w:pos="993" w:leader="none"/>
        </w:tabs>
      </w:pPr>
      <w:r>
        <w:t xml:space="preserve">В случае если в течение 10 (десяти) календарных дней с</w:t>
      </w:r>
      <w:r>
        <w:t xml:space="preserve"> даты получения Заказчиком Акта последний не будет подписан и возвращен Исполнителю либо Исполнителем не будет получен мотивированный отказ от подписания Акта, услуги будут считаться оказанными надлежащим образом и принятыми Заказчиком, а Акт– подписанным.</w:t>
      </w:r>
      <w:r/>
    </w:p>
    <w:p>
      <w:pPr>
        <w:pStyle w:val="909"/>
        <w:numPr>
          <w:ilvl w:val="1"/>
          <w:numId w:val="17"/>
        </w:numPr>
        <w:ind w:left="0" w:firstLine="567"/>
        <w:jc w:val="both"/>
        <w:tabs>
          <w:tab w:val="num" w:pos="0" w:leader="none"/>
          <w:tab w:val="left" w:pos="993" w:leader="none"/>
        </w:tabs>
      </w:pPr>
      <w:r>
        <w:t xml:space="preserve">После подписания Акта и в случаях, предусмотренных п. 4.6. Контракта, претензии Заказчика к Исполнителю по объему и качеству, а также срокам оказанных услуг не принимаются.</w:t>
      </w:r>
      <w:r/>
    </w:p>
    <w:p>
      <w:pPr>
        <w:numPr>
          <w:ilvl w:val="1"/>
          <w:numId w:val="17"/>
        </w:numPr>
        <w:ind w:left="0" w:firstLine="567"/>
        <w:jc w:val="both"/>
        <w:tabs>
          <w:tab w:val="num" w:pos="0" w:leader="none"/>
          <w:tab w:val="left" w:pos="993" w:leader="none"/>
        </w:tabs>
      </w:pPr>
      <w:r>
        <w:rPr>
          <w:highlight w:val="yellow"/>
        </w:rPr>
        <w:t xml:space="preserve">После подписания </w:t>
      </w:r>
      <w:r>
        <w:rPr>
          <w:highlight w:val="yellow"/>
        </w:rPr>
        <w:t xml:space="preserve">Акта</w:t>
      </w:r>
      <w:r>
        <w:rPr>
          <w:highlight w:val="yellow"/>
        </w:rPr>
        <w:t xml:space="preserve"> Заказчик формирует акт </w:t>
      </w:r>
      <w:r>
        <w:rPr>
          <w:highlight w:val="yellow"/>
        </w:rPr>
        <w:t xml:space="preserve">приемки товаров, работ, услуг</w:t>
      </w:r>
      <w:r>
        <w:rPr>
          <w:highlight w:val="yellow"/>
        </w:rPr>
        <w:t xml:space="preserve"> по форме 0510452, который подписывается представителями Сторон.</w:t>
      </w:r>
      <w:r>
        <w:rPr>
          <w:highlight w:val="yellow"/>
        </w:rPr>
        <w:t xml:space="preserve"> </w:t>
      </w:r>
      <w:r>
        <w:rPr>
          <w:highlight w:val="yellow"/>
        </w:rPr>
        <w:t xml:space="preserve">Заказчик вправе при отсутствии претензий, расхождений по результатам приемки, проведенной без участия Исполнителя составить и подписать </w:t>
      </w:r>
      <w:r>
        <w:rPr>
          <w:highlight w:val="yellow"/>
        </w:rPr>
        <w:t xml:space="preserve">акт </w:t>
      </w:r>
      <w:r>
        <w:rPr>
          <w:highlight w:val="yellow"/>
        </w:rPr>
        <w:t xml:space="preserve">приемки товаров, работ, услуг</w:t>
      </w:r>
      <w:r>
        <w:rPr>
          <w:highlight w:val="yellow"/>
        </w:rPr>
        <w:t xml:space="preserve"> по форме 0510452</w:t>
      </w:r>
      <w:r>
        <w:rPr>
          <w:highlight w:val="yellow"/>
        </w:rPr>
        <w:t xml:space="preserve"> в одностороннем по</w:t>
      </w:r>
      <w:r>
        <w:rPr>
          <w:highlight w:val="yellow"/>
        </w:rPr>
        <w:t xml:space="preserve">рядке.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/>
      <w:r/>
    </w:p>
    <w:p>
      <w:pPr>
        <w:pStyle w:val="909"/>
        <w:ind w:firstLine="567"/>
        <w:jc w:val="center"/>
        <w:rPr>
          <w:b/>
        </w:rPr>
      </w:pPr>
      <w:r>
        <w:rPr>
          <w:b/>
        </w:rPr>
        <w:t xml:space="preserve">5. </w:t>
      </w:r>
      <w:r>
        <w:rPr>
          <w:b/>
        </w:rPr>
        <w:t xml:space="preserve">ОТВЕТСТВЕННОСТЬ СТОРОН</w:t>
      </w:r>
      <w:r>
        <w:rPr>
          <w:b/>
        </w:rPr>
      </w:r>
      <w:r>
        <w:rPr>
          <w:b/>
        </w:rPr>
      </w:r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5.1. </w:t>
      </w:r>
      <w:r>
        <w:t xml:space="preserve">Исполнитель несет ответственность перед Заказчиком за утрату, порчу (повреждение), недостачу вложений, недоставку или нарушение сроков доставки Отправлений, иные нарушения установленных требований по оказанию услуг специальной связи.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Убытки, причиненные Заказчику при оказании услуг, возмещаются Исполнителем в следующих размерах: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5.1.1</w:t>
      </w:r>
      <w:r>
        <w:t xml:space="preserve">.</w:t>
      </w:r>
      <w:r>
        <w:t xml:space="preserve"> </w:t>
      </w:r>
      <w:r>
        <w:t xml:space="preserve">в случае</w:t>
      </w:r>
      <w:r>
        <w:t xml:space="preserve"> утраты или порчи (повреждения) Отправления с объявленной стоимостью либо его части - в размере объявленной стоимости Отправления или его части и суммы тарифа, взимаемого Исполнителем за доставку Отправления, за исключением тарифа за объявленную стоимость;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5.1.2. </w:t>
      </w:r>
      <w:r>
        <w:t xml:space="preserve">в случае утраты или порчи (повреждения) Отправления без объявленной стоимости - в двукратном размере суммы тарифа, взимаемого Исполнителем за доставку Отправлений;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5.1.3. </w:t>
      </w:r>
      <w:r>
        <w:t xml:space="preserve">в случае утраты или порчи (повреждения) части вложения в Отправление без объявленной стоимости - в размере однократной суммы тарифа, взимаемого Исполнителем за доставку Отправления.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5.2. За каждый факт неисполнени</w:t>
      </w:r>
      <w:r>
        <w:t xml:space="preserve">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а) 10 процентов цены Контракта (этапа) в случае, если цена Контракта (этапа) не превышает 3 млн. рублей;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</w:pPr>
      <w:r>
        <w:t xml:space="preserve">в) 1 процент цены Контракта (этапа) в случае, если цена Контракта (этапа) составляет от 50 млн. рублей до 100 млн. рублей (включительно);</w:t>
      </w:r>
      <w:r/>
    </w:p>
    <w:p>
      <w:pPr>
        <w:pStyle w:val="909"/>
        <w:ind w:firstLine="567"/>
        <w:jc w:val="both"/>
        <w:tabs>
          <w:tab w:val="num" w:pos="-993" w:leader="none"/>
          <w:tab w:val="num" w:pos="-142" w:leader="none"/>
        </w:tabs>
        <w:rPr>
          <w:iCs/>
        </w:rPr>
      </w:pPr>
      <w:r>
        <w:t xml:space="preserve">г) 0,5 процента цены</w:t>
      </w:r>
      <w:r>
        <w:rPr>
          <w:iCs/>
        </w:rPr>
        <w:t xml:space="preserve"> Контракта (этапа) в случае, если цена Контракта (этапа) составляет от 100 млн. рублей до 500 млн. рублей (включительно);</w:t>
      </w:r>
      <w:r>
        <w:rPr>
          <w:iCs/>
        </w:rPr>
      </w:r>
      <w:r>
        <w:rPr>
          <w:iCs/>
        </w:rPr>
      </w:r>
    </w:p>
    <w:p>
      <w:pPr>
        <w:pStyle w:val="909"/>
        <w:ind w:firstLine="567"/>
        <w:jc w:val="both"/>
        <w:tabs>
          <w:tab w:val="num" w:pos="2771" w:leader="none"/>
        </w:tabs>
        <w:rPr>
          <w:iCs/>
        </w:rPr>
      </w:pPr>
      <w:r>
        <w:rPr>
          <w:iCs/>
        </w:rPr>
        <w:t xml:space="preserve">д) 0,4 процента цены Контракта (этапа) в случае, если цена Контракта (этапа) составляет от 500 млн. рублей до 1 млрд. рублей (включительно);</w:t>
      </w:r>
      <w:r>
        <w:rPr>
          <w:iCs/>
        </w:rPr>
      </w:r>
      <w:r>
        <w:rPr>
          <w:iCs/>
        </w:rPr>
      </w:r>
    </w:p>
    <w:p>
      <w:pPr>
        <w:pStyle w:val="909"/>
        <w:ind w:firstLine="567"/>
        <w:jc w:val="both"/>
        <w:tabs>
          <w:tab w:val="num" w:pos="2771" w:leader="none"/>
        </w:tabs>
        <w:rPr>
          <w:iCs/>
        </w:rPr>
      </w:pPr>
      <w:r>
        <w:rPr>
          <w:iCs/>
        </w:rPr>
        <w:t xml:space="preserve">е) 0,3 процента цены Контракта (этапа) в случае, если цена Контракта (этапа) составляет от 1 млрд. рублей до 2 млрд. рублей (включительно);</w:t>
      </w:r>
      <w:r>
        <w:rPr>
          <w:iCs/>
        </w:rPr>
      </w:r>
      <w:r>
        <w:rPr>
          <w:iCs/>
        </w:rPr>
      </w:r>
    </w:p>
    <w:p>
      <w:pPr>
        <w:pStyle w:val="909"/>
        <w:ind w:firstLine="567"/>
        <w:jc w:val="both"/>
        <w:tabs>
          <w:tab w:val="num" w:pos="2771" w:leader="none"/>
        </w:tabs>
        <w:rPr>
          <w:iCs/>
        </w:rPr>
      </w:pPr>
      <w:r>
        <w:rPr>
          <w:iCs/>
        </w:rPr>
        <w:t xml:space="preserve">ж) 0,25 процента цены Контракта (этапа) в случае, если цена Контракта (этапа) составляет от 2 млрд. рублей до 5 млрд. рублей (включительно);</w:t>
      </w:r>
      <w:r>
        <w:rPr>
          <w:iCs/>
        </w:rPr>
      </w:r>
      <w:r>
        <w:rPr>
          <w:iCs/>
        </w:rPr>
      </w:r>
    </w:p>
    <w:p>
      <w:pPr>
        <w:pStyle w:val="909"/>
        <w:ind w:firstLine="567"/>
        <w:jc w:val="both"/>
        <w:tabs>
          <w:tab w:val="num" w:pos="2771" w:leader="none"/>
        </w:tabs>
        <w:rPr>
          <w:iCs/>
        </w:rPr>
      </w:pPr>
      <w:r>
        <w:rPr>
          <w:iCs/>
        </w:rPr>
        <w:t xml:space="preserve">з) 0,2 процента цены Контракта (этапа) в случае, если цена Контракта (этапа) составляет от 5 млрд. рублей до 10 млрд. рублей (включительно);</w:t>
      </w:r>
      <w:r>
        <w:rPr>
          <w:iCs/>
        </w:rPr>
      </w:r>
      <w:r>
        <w:rPr>
          <w:iCs/>
        </w:rPr>
      </w:r>
    </w:p>
    <w:p>
      <w:pPr>
        <w:pStyle w:val="909"/>
        <w:ind w:firstLine="567"/>
        <w:jc w:val="both"/>
        <w:tabs>
          <w:tab w:val="num" w:pos="2771" w:leader="none"/>
        </w:tabs>
        <w:rPr>
          <w:iCs/>
        </w:rPr>
      </w:pPr>
      <w:r>
        <w:rPr>
          <w:iCs/>
        </w:rPr>
        <w:t xml:space="preserve">и) 0,1 процента цены Контракта (этапа) в случае, если цена контракта (этапа) превышает 10 млрд. рублей.</w:t>
      </w:r>
      <w:r>
        <w:rPr>
          <w:iCs/>
        </w:rPr>
      </w:r>
      <w:r>
        <w:rPr>
          <w:iCs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5.3.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а) 1000 рублей, если цена контракта не превышает 3 млн. рублей;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г) 100000 рублей, если цена контракта превышает 100 млн. рублей.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5.4. Пеня начисляется за каждый день просрочки исполнения Исполнителем обязательства, предусмотренного Ко</w:t>
      </w:r>
      <w:r>
        <w:rPr>
          <w:color w:val="000000"/>
          <w:spacing w:val="-2"/>
        </w:rPr>
        <w:t xml:space="preserve">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</w:t>
      </w:r>
      <w:r>
        <w:rPr>
          <w:color w:val="000000"/>
          <w:spacing w:val="-2"/>
        </w:rPr>
        <w:t xml:space="preserve">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 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5.5.   В случае п</w:t>
      </w:r>
      <w:r>
        <w:rPr>
          <w:color w:val="000000"/>
          <w:spacing w:val="-2"/>
        </w:rPr>
        <w:t xml:space="preserve">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</w:t>
      </w:r>
      <w:r>
        <w:rPr>
          <w:color w:val="000000"/>
          <w:spacing w:val="-2"/>
        </w:rPr>
        <w:t xml:space="preserve">ения установленного Контрактом срока исполнения обязательства. При этом размер пени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jc w:val="both"/>
      </w:pPr>
      <w:r>
        <w:rPr>
          <w:color w:val="000000"/>
          <w:spacing w:val="-2"/>
        </w:rPr>
        <w:t xml:space="preserve">           </w:t>
      </w:r>
      <w:r>
        <w:t xml:space="preserve">5.6.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  <w:r/>
    </w:p>
    <w:p>
      <w:pPr>
        <w:pStyle w:val="909"/>
        <w:ind w:firstLine="567"/>
        <w:jc w:val="both"/>
        <w:rPr>
          <w:color w:val="000000"/>
          <w:spacing w:val="-2"/>
        </w:rPr>
      </w:pPr>
      <w:r>
        <w:t xml:space="preserve">Штраф устанавливается в размере</w:t>
      </w:r>
      <w:r>
        <w:rPr>
          <w:color w:val="000000"/>
          <w:spacing w:val="-2"/>
        </w:rPr>
        <w:t xml:space="preserve">: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а) 1000 рублей, если цена контракта не превышает 3 млн. рублей (включительно);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б) 5000 рублей, если цена контракта составляет от 3 млн. рублей до 50 млн. рублей (включительно);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в) 10000 рублей, если цена контракта составляет от 50 млн. рублей до 100 млн. рублей (включительно);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г) 100000 рублей, если цена контракта превышает 100 млн. рублей.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5.7.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  <w:rPr>
          <w:color w:val="000000"/>
          <w:spacing w:val="-2"/>
        </w:rPr>
      </w:pPr>
      <w:r>
        <w:rPr>
          <w:color w:val="000000"/>
          <w:spacing w:val="-2"/>
        </w:rPr>
        <w:t xml:space="preserve">5.8.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color w:val="000000"/>
          <w:spacing w:val="-2"/>
        </w:rPr>
      </w:r>
      <w:r>
        <w:rPr>
          <w:color w:val="000000"/>
          <w:spacing w:val="-2"/>
        </w:rPr>
      </w:r>
    </w:p>
    <w:p>
      <w:pPr>
        <w:pStyle w:val="909"/>
        <w:ind w:firstLine="567"/>
        <w:jc w:val="both"/>
      </w:pPr>
      <w:r>
        <w:t xml:space="preserve">5.9. В случае наличия у Заказчика задолженности перед Исполнителем за оказанные усл</w:t>
      </w:r>
      <w:r>
        <w:t xml:space="preserve">уги и недостаточности сумм денежных средств, поступивших от Заказчика, для ее погашения, платежи, перечисленные Заказчиком Исполнителю, засчитываются в счет погашения обязательств по оплате, образовавшихся ранее, в календарной очередности их возникновения.</w:t>
      </w:r>
      <w:r/>
    </w:p>
    <w:p>
      <w:pPr>
        <w:pStyle w:val="909"/>
        <w:ind w:firstLine="567"/>
        <w:jc w:val="both"/>
      </w:pPr>
      <w:r>
        <w:t xml:space="preserve">5.10. Исполнитель не несет ответственность за утрату или повреждения Отправ</w:t>
      </w:r>
      <w:r>
        <w:t xml:space="preserve">лений, произошедшие по вине Заказчика или вследствие особых свойств пересылаемых Отправлений (самовозгорание, утечка, усушка, брожение, гниение, старение, коррозия, электрическое и магнитное повреждение, уничтожение электронных и фотографических записей, и</w:t>
      </w:r>
      <w:r>
        <w:t xml:space="preserve">зображений и т.п.). Исполнитель также не несет ответственности за утрату или повреждения Отправления или его части, вызванные или возникшие в результате: дефектов вложения, которые были известны Заказчику или указанному им отправителю до их отправки; норма</w:t>
      </w:r>
      <w:r>
        <w:t xml:space="preserve">тивной утечки, потери веса, объема или нормативного износа Отправлений; ненадлежащей упаковки Отправления; конфискации, реквизиции, ареста Отправления по распоряжению компетентных органов власти; различий во взвешивании; непригодности контейнера, предостав</w:t>
      </w:r>
      <w:r>
        <w:t xml:space="preserve">ленного Заказчиком или отправителем, к перевозке Отправления; военных действий или военных мероприятий и их последствий, террористических актов, народных волнений, гражданской войны, забастовок, прямого или косвенного воздействия атомного взрыва, радиации.</w:t>
      </w:r>
      <w:r/>
    </w:p>
    <w:p>
      <w:pPr>
        <w:pStyle w:val="909"/>
        <w:ind w:firstLine="567"/>
        <w:jc w:val="both"/>
      </w:pPr>
      <w:r>
        <w:t xml:space="preserve">5.11. Исполнитель не несет ответственности за недостачу или повреждение содержимого Отправлений, если в процессе доставки не была нарушена целостность упаковки Отправлений, а также печатей (пломб).</w:t>
      </w:r>
      <w:r/>
    </w:p>
    <w:p>
      <w:pPr>
        <w:pStyle w:val="909"/>
        <w:ind w:firstLine="567"/>
        <w:jc w:val="both"/>
      </w:pPr>
      <w:r>
        <w:t xml:space="preserve">5.12. Исполнитель не н</w:t>
      </w:r>
      <w:r>
        <w:t xml:space="preserve">есет ответственности, если факт вскрытия Отправления или пропажи вложения (части вложения) был установлен после его сдачи Заказчику или указанному им получателю, и в момент сдачи не был составлен  соответствующий  акт с участием представителей Исполнителя.</w:t>
      </w:r>
      <w:r/>
    </w:p>
    <w:p>
      <w:pPr>
        <w:pStyle w:val="909"/>
        <w:ind w:firstLine="567"/>
        <w:jc w:val="both"/>
      </w:pPr>
      <w:r>
        <w:t xml:space="preserve">5.13. Стороны не несут ответственно</w:t>
      </w:r>
      <w:r>
        <w:t xml:space="preserve">сть за полное или частичное невыполнение своих обязательств по настоящему Контракту, вызванное обстоятельствами непреодолимой силы (стихийные бедствия и т.д.). О наступлении подобных обстоятельств Стороны обязуются немедленно письменно извещать друг друга.</w:t>
      </w:r>
      <w:r/>
    </w:p>
    <w:p>
      <w:pPr>
        <w:pStyle w:val="909"/>
        <w:ind w:firstLine="567"/>
        <w:jc w:val="both"/>
        <w:tabs>
          <w:tab w:val="num" w:pos="1134" w:leader="none"/>
        </w:tabs>
      </w:pPr>
      <w:r>
        <w:t xml:space="preserve">5.14.</w:t>
        <w:tab/>
        <w:t xml:space="preserve">Сторона вправе ссылаться на обстоятельства непреодолимой силы, воспрепятствовавшие ее контрагенту по иному заключенному с ней </w:t>
      </w:r>
      <w:r>
        <w:t xml:space="preserve">Контракт</w:t>
      </w:r>
      <w:r>
        <w:t xml:space="preserve">у, исполнить обязательства перед Стороной, если такое неисполнение прямо и непосредственно повлекло за собой соответствующее неисполнение Стороной обязательства по настоящему </w:t>
      </w:r>
      <w:r>
        <w:t xml:space="preserve">Контракт</w:t>
      </w:r>
      <w:r>
        <w:t xml:space="preserve">у.</w:t>
      </w:r>
      <w:r/>
    </w:p>
    <w:p>
      <w:pPr>
        <w:pStyle w:val="909"/>
        <w:ind w:firstLine="567"/>
        <w:jc w:val="both"/>
        <w:tabs>
          <w:tab w:val="num" w:pos="1134" w:leader="none"/>
        </w:tabs>
      </w:pPr>
      <w:r/>
      <w:r/>
    </w:p>
    <w:p>
      <w:pPr>
        <w:pStyle w:val="909"/>
        <w:numPr>
          <w:ilvl w:val="0"/>
          <w:numId w:val="18"/>
        </w:numPr>
        <w:jc w:val="center"/>
        <w:rPr>
          <w:b/>
        </w:rPr>
      </w:pPr>
      <w:r>
        <w:rPr>
          <w:b/>
        </w:rPr>
        <w:t xml:space="preserve">АНТИКОРРУПЦИОННАЯ ОГОВОРКА</w:t>
      </w:r>
      <w:r>
        <w:rPr>
          <w:b/>
        </w:rPr>
      </w:r>
      <w:r>
        <w:rPr>
          <w:b/>
        </w:rPr>
      </w:r>
    </w:p>
    <w:p>
      <w:pPr>
        <w:pStyle w:val="909"/>
        <w:ind w:firstLine="567"/>
        <w:jc w:val="both"/>
      </w:pPr>
      <w:r>
        <w:t xml:space="preserve">6.1.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</w:t>
      </w:r>
      <w:r>
        <w:t xml:space="preserve">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 нас</w:t>
      </w:r>
      <w:r>
        <w:t xml:space="preserve">тоящего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отмыванию) доходов, полученных преступным путем.</w:t>
      </w:r>
      <w:r/>
    </w:p>
    <w:p>
      <w:pPr>
        <w:pStyle w:val="909"/>
        <w:ind w:firstLine="567"/>
        <w:jc w:val="both"/>
        <w:tabs>
          <w:tab w:val="left" w:pos="993" w:leader="none"/>
          <w:tab w:val="num" w:pos="2487" w:leader="none"/>
        </w:tabs>
      </w:pPr>
      <w:r>
        <w:t xml:space="preserve">6.2. В случае нарушения одной Стороной обязательств воздерживаться от запрещенных в предыдущем пункте действий, другая Сторона имеет право расторгнуть Контракт в одно стороннем порядке полностью или</w:t>
      </w:r>
      <w:r>
        <w:t xml:space="preserve">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  <w:r/>
    </w:p>
    <w:p>
      <w:pPr>
        <w:pStyle w:val="909"/>
        <w:ind w:firstLine="567"/>
        <w:jc w:val="both"/>
        <w:tabs>
          <w:tab w:val="left" w:pos="993" w:leader="none"/>
          <w:tab w:val="num" w:pos="2487" w:leader="none"/>
        </w:tabs>
      </w:pPr>
      <w:r/>
      <w:r/>
    </w:p>
    <w:p>
      <w:pPr>
        <w:pStyle w:val="909"/>
        <w:numPr>
          <w:ilvl w:val="0"/>
          <w:numId w:val="18"/>
        </w:numPr>
        <w:jc w:val="center"/>
        <w:rPr>
          <w:b/>
          <w:bCs/>
        </w:rPr>
      </w:pPr>
      <w:r>
        <w:rPr>
          <w:b/>
          <w:bCs/>
        </w:rPr>
        <w:t xml:space="preserve">СРОК ДЕЙСТВИЯ КОНТРАКТА,</w:t>
      </w:r>
      <w:r>
        <w:rPr>
          <w:b/>
          <w:bCs/>
        </w:rPr>
      </w:r>
      <w:r>
        <w:rPr>
          <w:b/>
          <w:bCs/>
        </w:rPr>
      </w:r>
    </w:p>
    <w:p>
      <w:pPr>
        <w:pStyle w:val="9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ПОРЯДОК ЕГО ИЗМЕНЕНИЯ И РАСТОРЖЕНИЯ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09"/>
        <w:ind w:firstLine="540"/>
        <w:jc w:val="both"/>
        <w:rPr>
          <w:color w:val="000000"/>
        </w:rPr>
      </w:pPr>
      <w:r>
        <w:rPr>
          <w:color w:val="000000"/>
        </w:rPr>
        <w:t xml:space="preserve">7.1. </w:t>
      </w:r>
      <w:permStart w:edGrp="everyone" w:id="12"/>
      <w:r>
        <w:rPr>
          <w:color w:val="000000"/>
        </w:rPr>
        <w:t xml:space="preserve">Настоящий Контракт вступает в силу с момента его подписания и распространяет своё действие на правоотношения Сторон, возникшие с «__» </w:t>
      </w:r>
      <w:r>
        <w:rPr>
          <w:color w:val="000000"/>
        </w:rPr>
        <w:t xml:space="preserve">августа 2026 года и действует до «31</w:t>
      </w:r>
      <w:r>
        <w:rPr>
          <w:color w:val="000000"/>
        </w:rPr>
        <w:t xml:space="preserve">» </w:t>
      </w:r>
      <w:r>
        <w:rPr>
          <w:color w:val="000000"/>
        </w:rPr>
        <w:t xml:space="preserve">декабря 202</w:t>
      </w:r>
      <w:r>
        <w:rPr>
          <w:color w:val="000000"/>
        </w:rPr>
        <w:t xml:space="preserve">6 года.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40"/>
        <w:jc w:val="both"/>
        <w:widowControl w:val="off"/>
      </w:pPr>
      <w:r/>
      <w:permEnd w:id="12"/>
      <w:r>
        <w:t xml:space="preserve">Прекращение действия настоящего Контракта не освобождают Сторону, которая его нарушила, от надлежащего исполнения денежных обязательств в рамках настоящего Контракта. </w:t>
      </w:r>
      <w:r/>
    </w:p>
    <w:p>
      <w:pPr>
        <w:pStyle w:val="909"/>
        <w:ind w:firstLine="540"/>
        <w:jc w:val="both"/>
        <w:widowControl w:val="off"/>
      </w:pPr>
      <w:r>
        <w:t xml:space="preserve">В этом случае положения настоящего Контракта, относящиеся к порядку расчета и уплаты штрафных санкций, а также исполнения денежных обязательств Сторон, действуют до момента полной оплаты штрафных санкций и надлежащего исполнения денежных обязательств.</w:t>
      </w:r>
      <w:r/>
    </w:p>
    <w:p>
      <w:pPr>
        <w:pStyle w:val="909"/>
        <w:ind w:firstLine="567"/>
        <w:jc w:val="both"/>
      </w:pPr>
      <w:r>
        <w:t xml:space="preserve">Сторона, заинтересованная в расторжении Контракта или изменении стоимости Контракта, инициирует сверку объ</w:t>
      </w:r>
      <w:r>
        <w:t xml:space="preserve">ёмов оказанных услуг и текущее состояние бухгалтерских расчётов. Результаты сверки оформляются соответствующим актом. Наличие акта сверки расчётов является обязательным условием, при рассмотрении Соглашения о расторжении или изменении стоимости Контракта. </w:t>
      </w:r>
      <w:r/>
    </w:p>
    <w:p>
      <w:pPr>
        <w:pStyle w:val="909"/>
        <w:ind w:firstLine="567"/>
        <w:jc w:val="both"/>
        <w:tabs>
          <w:tab w:val="num" w:pos="720" w:leader="none"/>
        </w:tabs>
      </w:pPr>
      <w:r>
        <w:t xml:space="preserve">Стороны согласились, что при выборке Заказчиком услуг на сумму, установленную п. 3.1. настоящего Контракта,  до истечения срока его действия, установленного в п. 7.1, Контракт прекращает свое действие</w:t>
      </w:r>
      <w:r>
        <w:t xml:space="preserve">. </w:t>
      </w:r>
      <w:r/>
    </w:p>
    <w:p>
      <w:pPr>
        <w:pStyle w:val="909"/>
        <w:ind w:firstLine="567"/>
        <w:jc w:val="both"/>
        <w:tabs>
          <w:tab w:val="num" w:pos="720" w:leader="none"/>
        </w:tabs>
      </w:pPr>
      <w:r>
        <w:t xml:space="preserve">7.2. </w:t>
      </w:r>
      <w:r>
        <w:t xml:space="preserve">В случаях исте</w:t>
      </w:r>
      <w:r>
        <w:t xml:space="preserve">чения срока действия, приостановления или аннулирования лицензии Заказчика на проведение работ с использованием сведений составляющих государственную тайну или согласования (разрешения) органов уполномоченных на ведение лицензионной деятельности в области </w:t>
      </w:r>
      <w:r>
        <w:t xml:space="preserve">защиты государственной тайны, на размещение (создание) режимно-секретных подразделений, секретные пакеты, секретные посылки, секретные упаковки не принимаются Исполнителем для доставки до момента продления или возобновления Заказчиком указанных документов.</w:t>
      </w:r>
      <w:r/>
    </w:p>
    <w:p>
      <w:pPr>
        <w:pStyle w:val="909"/>
        <w:ind w:firstLine="567"/>
        <w:jc w:val="both"/>
        <w:tabs>
          <w:tab w:val="num" w:pos="720" w:leader="none"/>
        </w:tabs>
      </w:pPr>
      <w:r>
        <w:t xml:space="preserve">7.3. </w:t>
      </w:r>
      <w:r>
        <w:t xml:space="preserve">Настоящий Контракт может быть изменен или дополнен Сторонами в период его действия в случаях, предусмотренных действующим законодательством Российской Федерации путем заключения дополнительных соглашений. </w:t>
      </w:r>
      <w:r/>
    </w:p>
    <w:p>
      <w:pPr>
        <w:pStyle w:val="909"/>
        <w:ind w:firstLine="567"/>
        <w:jc w:val="both"/>
        <w:tabs>
          <w:tab w:val="num" w:pos="720" w:leader="none"/>
        </w:tabs>
      </w:pPr>
      <w:r>
        <w:t xml:space="preserve">7.4. </w:t>
      </w:r>
      <w:r>
        <w:t xml:space="preserve">Любые соглашения Сторон по изменению или дополнению условий настоящего Контракта имеют силу в том случае, если они оформлены в письменном виде, подписаны Сторонами настоящего Контракта и скреплены печатями Сторон.</w:t>
      </w:r>
      <w:r/>
    </w:p>
    <w:p>
      <w:pPr>
        <w:pStyle w:val="909"/>
        <w:ind w:firstLine="567"/>
        <w:jc w:val="both"/>
        <w:tabs>
          <w:tab w:val="num" w:pos="720" w:leader="none"/>
        </w:tabs>
      </w:pPr>
      <w:r>
        <w:t xml:space="preserve">7.5. </w:t>
      </w:r>
      <w:r>
        <w:t xml:space="preserve">В случаях, предусмотренных действующим законодательством, настоящий Контракт может быть расторгнут до окончания срока д</w:t>
      </w:r>
      <w:r>
        <w:t xml:space="preserve">ействия по инициативе одной из Сторон, путем направления другой Стороне письменного уведомления о расторжении. Контракт считается расторгнутым в срок, указанный в уведомлении. Указанное действие не освобождает Стороны от исполнения финансовых обязательств.</w:t>
      </w:r>
      <w:r/>
    </w:p>
    <w:p>
      <w:pPr>
        <w:pStyle w:val="909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9"/>
        <w:numPr>
          <w:ilvl w:val="0"/>
          <w:numId w:val="18"/>
        </w:numPr>
        <w:jc w:val="center"/>
        <w:rPr>
          <w:b/>
          <w:bCs/>
        </w:rPr>
      </w:pPr>
      <w:r>
        <w:rPr>
          <w:b/>
          <w:bCs/>
        </w:rPr>
        <w:t xml:space="preserve">ЗАКЛЮЧИТЕЛЬНЫЕ ПОЛОЖЕНИЯ</w:t>
      </w:r>
      <w:r>
        <w:rPr>
          <w:b/>
          <w:bCs/>
        </w:rPr>
      </w:r>
      <w:r>
        <w:rPr>
          <w:b/>
          <w:bCs/>
        </w:rPr>
      </w:r>
    </w:p>
    <w:p>
      <w:pPr>
        <w:pStyle w:val="909"/>
        <w:numPr>
          <w:ilvl w:val="1"/>
          <w:numId w:val="18"/>
        </w:numPr>
        <w:ind w:left="0" w:firstLine="567"/>
        <w:jc w:val="both"/>
        <w:tabs>
          <w:tab w:val="num" w:pos="993" w:leader="none"/>
        </w:tabs>
      </w:pPr>
      <w:r>
        <w:t xml:space="preserve">На основании ч. 2 ст. 96 Федерального закона от 05.04.2013 № 44-ФЗ обеспечение Контракта не устанавливается.</w:t>
      </w:r>
      <w:r/>
    </w:p>
    <w:p>
      <w:pPr>
        <w:pStyle w:val="909"/>
        <w:numPr>
          <w:ilvl w:val="1"/>
          <w:numId w:val="18"/>
        </w:numPr>
        <w:ind w:left="0" w:firstLine="567"/>
        <w:jc w:val="both"/>
        <w:tabs>
          <w:tab w:val="num" w:pos="993" w:leader="none"/>
        </w:tabs>
      </w:pPr>
      <w:r>
        <w:t xml:space="preserve">Условия настоящего Контракта являются конфиденциальными и разглашению не подлежат.</w:t>
      </w:r>
      <w:r/>
    </w:p>
    <w:p>
      <w:pPr>
        <w:pStyle w:val="909"/>
        <w:numPr>
          <w:ilvl w:val="1"/>
          <w:numId w:val="18"/>
        </w:numPr>
        <w:ind w:left="0" w:firstLine="567"/>
        <w:jc w:val="both"/>
        <w:tabs>
          <w:tab w:val="num" w:pos="993" w:leader="none"/>
          <w:tab w:val="num" w:pos="1637" w:leader="none"/>
        </w:tabs>
      </w:pPr>
      <w:r>
        <w:t xml:space="preserve">По всем вопросам, не нашедшим своего решения в тексте и условиях настоящего Контракта, Стороны будут руководствоваться нормами и положениями действующего законодательства Российской Федерации.</w:t>
      </w:r>
      <w:r/>
    </w:p>
    <w:p>
      <w:pPr>
        <w:pStyle w:val="909"/>
        <w:numPr>
          <w:ilvl w:val="1"/>
          <w:numId w:val="18"/>
        </w:numPr>
        <w:ind w:left="0" w:firstLine="567"/>
        <w:jc w:val="both"/>
        <w:tabs>
          <w:tab w:val="num" w:pos="993" w:leader="none"/>
          <w:tab w:val="num" w:pos="1637" w:leader="none"/>
        </w:tabs>
      </w:pPr>
      <w:r>
        <w:t xml:space="preserve">Все споры и</w:t>
      </w:r>
      <w:r>
        <w:t xml:space="preserve"> разногласия, возникшие в процессе действия настоящего Контракта, разрешаются Сторонами путем переговоров. Неурегулированные споры подлежат разрешению в Арбитражном суде Ростовской области в соответствии с положениями законодательства Российской Федерации.</w:t>
      </w:r>
      <w:r/>
    </w:p>
    <w:p>
      <w:pPr>
        <w:pStyle w:val="909"/>
        <w:numPr>
          <w:ilvl w:val="1"/>
          <w:numId w:val="18"/>
        </w:numPr>
        <w:ind w:left="0" w:firstLine="567"/>
        <w:jc w:val="both"/>
        <w:tabs>
          <w:tab w:val="num" w:pos="993" w:leader="none"/>
          <w:tab w:val="num" w:pos="1637" w:leader="none"/>
        </w:tabs>
      </w:pPr>
      <w:r>
        <w:t xml:space="preserve">Для разрешения споров,</w:t>
      </w:r>
      <w:r>
        <w:t xml:space="preserve"> связанных с нарушением Сторонами своих обязательств по настоящему Контракту либо иным образом вытекающих из Контракта, применяется обязательный досудебный (претензионный) порядок разрешения споров. Сторона, права которой нарушены, до обращения в суд обяза</w:t>
      </w:r>
      <w:r>
        <w:t xml:space="preserve">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  <w:r/>
    </w:p>
    <w:p>
      <w:pPr>
        <w:pStyle w:val="909"/>
        <w:numPr>
          <w:ilvl w:val="1"/>
          <w:numId w:val="18"/>
        </w:numPr>
        <w:ind w:left="0" w:firstLine="567"/>
        <w:jc w:val="both"/>
        <w:tabs>
          <w:tab w:val="num" w:pos="993" w:leader="none"/>
          <w:tab w:val="num" w:pos="1637" w:leader="none"/>
        </w:tabs>
      </w:pPr>
      <w:r>
        <w:t xml:space="preserve"> Срок рассмотрения претензии – 10 (десять) календарных дней со дня ее получения. Если в указанный срок требования полностью не удовлетворены, Сторона, право которой нарушено, вправе обратиться с иском в суд.</w:t>
      </w:r>
      <w:r/>
    </w:p>
    <w:p>
      <w:pPr>
        <w:pStyle w:val="909"/>
        <w:numPr>
          <w:ilvl w:val="1"/>
          <w:numId w:val="18"/>
        </w:numPr>
        <w:ind w:left="0" w:firstLine="567"/>
        <w:jc w:val="both"/>
        <w:tabs>
          <w:tab w:val="num" w:pos="993" w:leader="none"/>
          <w:tab w:val="num" w:pos="1637" w:leader="none"/>
        </w:tabs>
      </w:pPr>
      <w:r>
        <w:t xml:space="preserve"> Претензии и иные юридически значимые сообщения могут быть направлены Сторонами друг другу одним из нижеперечисленных способов:</w:t>
      </w:r>
      <w:r/>
    </w:p>
    <w:p>
      <w:pPr>
        <w:pStyle w:val="909"/>
        <w:jc w:val="both"/>
        <w:tabs>
          <w:tab w:val="left" w:pos="851" w:leader="none"/>
          <w:tab w:val="left" w:pos="993" w:leader="none"/>
          <w:tab w:val="left" w:pos="1276" w:leader="none"/>
        </w:tabs>
      </w:pPr>
      <w:r>
        <w:tab/>
        <w:t xml:space="preserve"> - </w:t>
      </w:r>
      <w:r>
        <w:t xml:space="preserve"> нарочно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  <w:r/>
    </w:p>
    <w:p>
      <w:pPr>
        <w:pStyle w:val="909"/>
        <w:jc w:val="both"/>
        <w:tabs>
          <w:tab w:val="left" w:pos="851" w:leader="none"/>
          <w:tab w:val="left" w:pos="993" w:leader="none"/>
          <w:tab w:val="left" w:pos="1276" w:leader="none"/>
        </w:tabs>
      </w:pPr>
      <w:r>
        <w:t xml:space="preserve">                 </w:t>
      </w:r>
      <w:r>
        <w:t xml:space="preserve"> - заказным письмом с уведомлением о вручении;</w:t>
      </w:r>
      <w:r/>
    </w:p>
    <w:p>
      <w:pPr>
        <w:pStyle w:val="909"/>
        <w:jc w:val="both"/>
        <w:tabs>
          <w:tab w:val="left" w:pos="851" w:leader="none"/>
          <w:tab w:val="left" w:pos="993" w:leader="none"/>
          <w:tab w:val="left" w:pos="1276" w:leader="none"/>
        </w:tabs>
      </w:pPr>
      <w:r>
        <w:t xml:space="preserve">                 </w:t>
      </w:r>
      <w:r>
        <w:t xml:space="preserve"> - электронной почтой (с применением авторизированных адресов электронной почты Сторон);</w:t>
      </w:r>
      <w:r/>
    </w:p>
    <w:p>
      <w:pPr>
        <w:pStyle w:val="909"/>
        <w:jc w:val="both"/>
        <w:tabs>
          <w:tab w:val="left" w:pos="851" w:leader="none"/>
          <w:tab w:val="left" w:pos="993" w:leader="none"/>
          <w:tab w:val="left" w:pos="1276" w:leader="none"/>
        </w:tabs>
      </w:pPr>
      <w:r>
        <w:tab/>
      </w:r>
      <w:r>
        <w:t xml:space="preserve"> </w:t>
      </w:r>
      <w:r>
        <w:t xml:space="preserve">-  посредством факсимильной связи;</w:t>
      </w:r>
      <w:r/>
    </w:p>
    <w:p>
      <w:pPr>
        <w:pStyle w:val="909"/>
        <w:jc w:val="both"/>
        <w:tabs>
          <w:tab w:val="left" w:pos="851" w:leader="none"/>
          <w:tab w:val="left" w:pos="993" w:leader="none"/>
          <w:tab w:val="left" w:pos="1276" w:leader="none"/>
        </w:tabs>
      </w:pPr>
      <w:r>
        <w:tab/>
        <w:t xml:space="preserve"> </w:t>
      </w:r>
      <w:permStart w:edGrp="everyone" w:id="13"/>
      <w:r>
        <w:t xml:space="preserve">- </w:t>
      </w:r>
      <w:r>
        <w:t xml:space="preserve">в электронном виде с использованием телекоммуникационных каналов связи (электронного документооборота, ЭДО) - при наличии взаимного согласия Сторон, совместных технических средств и возможностей для приемки и обработки.</w:t>
      </w:r>
      <w:r/>
    </w:p>
    <w:p>
      <w:pPr>
        <w:pStyle w:val="909"/>
        <w:jc w:val="both"/>
        <w:tabs>
          <w:tab w:val="left" w:pos="851" w:leader="none"/>
          <w:tab w:val="left" w:pos="993" w:leader="none"/>
          <w:tab w:val="left" w:pos="1276" w:leader="none"/>
        </w:tabs>
      </w:pPr>
      <w:r/>
      <w:permEnd w:id="13"/>
      <w:r>
        <w:tab/>
        <w:t xml:space="preserve"> Если иное не предусмотрено законом, все юридически значимые сообщения 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  <w:r/>
    </w:p>
    <w:p>
      <w:pPr>
        <w:pStyle w:val="909"/>
        <w:ind w:firstLine="360"/>
        <w:jc w:val="both"/>
      </w:pPr>
      <w:r>
        <w:t xml:space="preserve"> </w:t>
      </w:r>
      <w:r>
        <w:t xml:space="preserve">  </w:t>
      </w:r>
      <w:r>
        <w:t xml:space="preserve">8.8.  Стороны признают юридическую силу за юридически значимыми сообщениями, полученными путем обмена скан-копиями по электронной почте, а также равенство юридической силы таких сообщений с оригиналами документов, оформленных на бумажных носителях.</w:t>
      </w:r>
      <w:r/>
    </w:p>
    <w:p>
      <w:pPr>
        <w:pStyle w:val="909"/>
        <w:jc w:val="both"/>
      </w:pPr>
      <w:r>
        <w:t xml:space="preserve">      </w:t>
      </w:r>
      <w:r>
        <w:t xml:space="preserve">    </w:t>
      </w:r>
      <w:r>
        <w:t xml:space="preserve">8.9. Стороны допускают представление скан-копий документов и иных юридически значимых сообщений, направленных и полученных в рамках настоящего Контракта по электронной почте, в качестве доказательств при разрешении споров.</w:t>
      </w:r>
      <w:r/>
    </w:p>
    <w:p>
      <w:pPr>
        <w:pStyle w:val="909"/>
        <w:jc w:val="both"/>
      </w:pPr>
      <w:r>
        <w:t xml:space="preserve">      </w:t>
      </w:r>
      <w:r>
        <w:t xml:space="preserve">    </w:t>
      </w:r>
      <w:r>
        <w:t xml:space="preserve">8.10</w:t>
      </w:r>
      <w:r>
        <w:t xml:space="preserve">.</w:t>
      </w:r>
      <w:r>
        <w:t xml:space="preserve">  Стороны обязуются ограничить доступ посторонних лиц к своим электронным почтовым ящикам. Стороны резюмируют, что именно Сторона, с чьего электронной почтового ящика направлено сообщение, его направила.</w:t>
      </w:r>
      <w:r/>
    </w:p>
    <w:p>
      <w:pPr>
        <w:pStyle w:val="909"/>
        <w:numPr>
          <w:ilvl w:val="1"/>
          <w:numId w:val="6"/>
        </w:numPr>
        <w:ind w:left="0" w:firstLine="567"/>
        <w:jc w:val="both"/>
      </w:pPr>
      <w:r>
        <w:t xml:space="preserve">Уведомления, требования, претензии, возражения, акты (в т.ч. Акты об оказанных услугах), счета или иные </w:t>
      </w:r>
      <w:r>
        <w:t xml:space="preserve">сообщения, относящиеся к настоящему Контракту, (далее по тексту – Сообщения), должны быть сделаны в письменной форме и направлены по адресу, указанному в разделе 10 настоящего Контракта, а в случае изменения адреса – по новому адресу, сообщенному Стороной.</w:t>
      </w:r>
      <w:r/>
    </w:p>
    <w:p>
      <w:pPr>
        <w:pStyle w:val="909"/>
        <w:ind w:firstLine="540"/>
        <w:jc w:val="both"/>
      </w:pPr>
      <w:r>
        <w:t xml:space="preserve">Сообщения считаются полученными  (а Сторона по настоящему Контракту - уведомленной о соответствующем событии) с момента наступления наиболее ранней из нижеследующих дат:</w:t>
      </w:r>
      <w:r/>
    </w:p>
    <w:p>
      <w:pPr>
        <w:pStyle w:val="909"/>
        <w:numPr>
          <w:ilvl w:val="0"/>
          <w:numId w:val="5"/>
        </w:numPr>
        <w:ind w:left="0" w:firstLine="567"/>
        <w:jc w:val="both"/>
      </w:pPr>
      <w:r>
        <w:t xml:space="preserve">даты получения Сообщения, подтверждаемой подписью уполномоченного представителя Стороны на таком сообщении либо на почтовом уведомлении о вручении соответствующего Сообщения. Уполномоченным представителем при этом Стороны признают работника, осуществл</w:t>
      </w:r>
      <w:r>
        <w:t xml:space="preserve">яющего функции регистрации входящей документации, работника канцелярии или иного работника, в чьи должностные обязанности входит прием и регистрация входящей корреспонденции, а также работника, имеющего доверенность на получение соответствующих документов;</w:t>
      </w:r>
      <w:r/>
    </w:p>
    <w:p>
      <w:pPr>
        <w:pStyle w:val="909"/>
        <w:numPr>
          <w:ilvl w:val="0"/>
          <w:numId w:val="5"/>
        </w:numPr>
        <w:ind w:left="0" w:firstLine="567"/>
        <w:jc w:val="both"/>
      </w:pPr>
      <w:r>
        <w:t xml:space="preserve">даты передачи Сообщения с помощью средств факсимильной связи или электронной почты;</w:t>
      </w:r>
      <w:r/>
    </w:p>
    <w:p>
      <w:pPr>
        <w:pStyle w:val="909"/>
        <w:numPr>
          <w:ilvl w:val="0"/>
          <w:numId w:val="5"/>
        </w:numPr>
        <w:ind w:left="0" w:firstLine="567"/>
        <w:jc w:val="both"/>
      </w:pPr>
      <w:r>
        <w:t xml:space="preserve">6 (шесть) календарных дней с даты направления Сообщения по почте ценным письмом с описью вложения.</w:t>
      </w:r>
      <w:r/>
    </w:p>
    <w:p>
      <w:pPr>
        <w:pStyle w:val="909"/>
        <w:ind w:firstLine="540"/>
        <w:jc w:val="both"/>
      </w:pPr>
      <w:r>
        <w:t xml:space="preserve">Документы, переданные  с помощью средств факсимильной связи или элект</w:t>
      </w:r>
      <w:r>
        <w:t xml:space="preserve">ронной почты, имеют юридическую силу до момента получения оригиналов отправленных документов. При этом оригинал документа, копия которого отправлена с помощью средств факсимильной связи или электронной почты, должен быть выслан либо предоставлен в течение </w:t>
      </w:r>
      <w:r>
        <w:t xml:space="preserve">10 (</w:t>
      </w:r>
      <w:r>
        <w:t xml:space="preserve">десяти</w:t>
      </w:r>
      <w:r>
        <w:t xml:space="preserve">)</w:t>
      </w:r>
      <w:r>
        <w:t xml:space="preserve"> рабочих дней с момента отправления его указанными средствами связи. </w:t>
      </w:r>
      <w:r/>
    </w:p>
    <w:p>
      <w:pPr>
        <w:pStyle w:val="909"/>
        <w:numPr>
          <w:ilvl w:val="1"/>
          <w:numId w:val="6"/>
        </w:numPr>
        <w:ind w:left="0" w:firstLine="567"/>
        <w:jc w:val="both"/>
        <w:tabs>
          <w:tab w:val="num" w:pos="993" w:leader="none"/>
        </w:tabs>
      </w:pPr>
      <w:r>
        <w:t xml:space="preserve"> </w:t>
      </w:r>
      <w:r>
        <w:t xml:space="preserve">Если последний день сроков, установленных настоящим Контрактом, приходится на нерабочий день, днем окончания срока считается ближайший следующий за ним рабочий день.</w:t>
      </w:r>
      <w:r/>
    </w:p>
    <w:p>
      <w:pPr>
        <w:pStyle w:val="909"/>
        <w:numPr>
          <w:ilvl w:val="1"/>
          <w:numId w:val="6"/>
        </w:numPr>
        <w:ind w:left="0" w:firstLine="567"/>
        <w:jc w:val="both"/>
        <w:tabs>
          <w:tab w:val="num" w:pos="0" w:leader="none"/>
          <w:tab w:val="num" w:pos="1134" w:leader="none"/>
        </w:tabs>
      </w:pPr>
      <w:r>
        <w:t xml:space="preserve">В случае изменения юридических и банковских реквизитов, организационно-правового статуса каждая Сторона Контракта обязана известить в </w:t>
      </w:r>
      <w:r>
        <w:t xml:space="preserve">письменном виде в течение 5 (пяти) рабочих дней другую Сторону и предоставить всю необходимую информацию, которая может повлиять на отношения между Сторонами. Соответствующие изменения вносятся в Контракт путем подписания дополнительного соглашения к нему.</w:t>
      </w:r>
      <w:r/>
    </w:p>
    <w:p>
      <w:pPr>
        <w:pStyle w:val="909"/>
        <w:numPr>
          <w:ilvl w:val="1"/>
          <w:numId w:val="6"/>
        </w:numPr>
        <w:ind w:left="0" w:firstLine="567"/>
        <w:jc w:val="both"/>
        <w:tabs>
          <w:tab w:val="num" w:pos="993" w:leader="none"/>
        </w:tabs>
      </w:pPr>
      <w:r>
        <w:t xml:space="preserve">Настоящий Контракт составлен в двух экземплярах, имеющих одинаковую юридическую силу, один из которых находятся у Заказчика, один - у Исполнителя.</w:t>
      </w:r>
      <w:r/>
    </w:p>
    <w:p>
      <w:pPr>
        <w:pStyle w:val="909"/>
        <w:ind w:left="567"/>
        <w:jc w:val="both"/>
      </w:pPr>
      <w:r/>
      <w:r/>
    </w:p>
    <w:p>
      <w:pPr>
        <w:pStyle w:val="909"/>
        <w:ind w:left="567"/>
        <w:jc w:val="both"/>
        <w:tabs>
          <w:tab w:val="num" w:pos="928" w:leader="none"/>
          <w:tab w:val="num" w:pos="993" w:leader="none"/>
        </w:tabs>
      </w:pPr>
      <w:r/>
      <w:r/>
    </w:p>
    <w:p>
      <w:pPr>
        <w:pStyle w:val="909"/>
        <w:numPr>
          <w:ilvl w:val="0"/>
          <w:numId w:val="6"/>
        </w:numPr>
        <w:ind w:left="0" w:firstLine="567"/>
        <w:jc w:val="center"/>
        <w:widowControl w:val="off"/>
        <w:tabs>
          <w:tab w:val="left" w:pos="0" w:leader="none"/>
          <w:tab w:val="left" w:pos="1080" w:leader="none"/>
        </w:tabs>
        <w:rPr>
          <w:b/>
        </w:rPr>
      </w:pPr>
      <w:r>
        <w:rPr>
          <w:b/>
        </w:rPr>
        <w:t xml:space="preserve">ПРИЛОЖЕНИЯ К КОНТРАКТУ</w:t>
      </w:r>
      <w:r>
        <w:rPr>
          <w:b/>
        </w:rPr>
      </w:r>
      <w:r>
        <w:rPr>
          <w:b/>
        </w:rPr>
      </w:r>
    </w:p>
    <w:p>
      <w:pPr>
        <w:pStyle w:val="909"/>
        <w:ind w:left="567"/>
        <w:widowControl w:val="off"/>
        <w:tabs>
          <w:tab w:val="left" w:pos="0" w:leader="none"/>
          <w:tab w:val="left" w:pos="1080" w:leader="none"/>
        </w:tabs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09"/>
        <w:numPr>
          <w:ilvl w:val="1"/>
          <w:numId w:val="7"/>
        </w:numPr>
        <w:ind w:left="0" w:firstLine="567"/>
        <w:jc w:val="both"/>
        <w:tabs>
          <w:tab w:val="left" w:pos="993" w:leader="none"/>
        </w:tabs>
      </w:pPr>
      <w:r>
        <w:t xml:space="preserve">Форма письменной заявки на оказание услуг установлена в Приложении № 1 к Контракту;</w:t>
      </w:r>
      <w:r/>
    </w:p>
    <w:p>
      <w:pPr>
        <w:pStyle w:val="909"/>
        <w:numPr>
          <w:ilvl w:val="1"/>
          <w:numId w:val="7"/>
        </w:numPr>
        <w:ind w:left="0" w:firstLine="567"/>
        <w:jc w:val="both"/>
        <w:tabs>
          <w:tab w:val="left" w:pos="993" w:leader="none"/>
        </w:tabs>
      </w:pPr>
      <w:r>
        <w:t xml:space="preserve">Тарифы на доставку Отправле</w:t>
      </w:r>
      <w:r>
        <w:t xml:space="preserve">ний установлены в </w:t>
      </w:r>
      <w:r>
        <w:t xml:space="preserve">Приложени</w:t>
      </w:r>
      <w:r>
        <w:t xml:space="preserve">и</w:t>
      </w:r>
      <w:r>
        <w:t xml:space="preserve"> № 2 </w:t>
      </w:r>
      <w:r>
        <w:t xml:space="preserve">к Контракту;</w:t>
      </w:r>
      <w:r/>
    </w:p>
    <w:p>
      <w:pPr>
        <w:pStyle w:val="909"/>
        <w:numPr>
          <w:ilvl w:val="1"/>
          <w:numId w:val="7"/>
        </w:numPr>
        <w:ind w:left="0" w:firstLine="567"/>
        <w:jc w:val="both"/>
        <w:tabs>
          <w:tab w:val="left" w:pos="993" w:leader="none"/>
        </w:tabs>
      </w:pPr>
      <w:r>
        <w:t xml:space="preserve">Порядок подачи и приема заявок, приема и вручения Отправ</w:t>
      </w:r>
      <w:r>
        <w:t xml:space="preserve">лений установлен в Приложении </w:t>
      </w:r>
      <w:r>
        <w:t xml:space="preserve">№ 3 к Контракту;</w:t>
      </w:r>
      <w:r/>
    </w:p>
    <w:p>
      <w:pPr>
        <w:pStyle w:val="909"/>
        <w:numPr>
          <w:ilvl w:val="1"/>
          <w:numId w:val="7"/>
        </w:numPr>
        <w:ind w:left="0" w:firstLine="567"/>
        <w:jc w:val="both"/>
        <w:tabs>
          <w:tab w:val="left" w:pos="993" w:leader="none"/>
        </w:tabs>
      </w:pPr>
      <w:r>
        <w:t xml:space="preserve">Требования к оформлению Отправлений установлены в Приложении № 4 к Контракту;</w:t>
      </w:r>
      <w:r/>
    </w:p>
    <w:p>
      <w:pPr>
        <w:pStyle w:val="909"/>
        <w:numPr>
          <w:ilvl w:val="1"/>
          <w:numId w:val="7"/>
        </w:numPr>
        <w:ind w:left="0" w:firstLine="567"/>
        <w:jc w:val="both"/>
        <w:tabs>
          <w:tab w:val="left" w:pos="993" w:leader="none"/>
        </w:tabs>
      </w:pPr>
      <w:r>
        <w:t xml:space="preserve">Формы реестров на отправку Отправлений приведены в Приложении № 5 к Контракту;</w:t>
      </w:r>
      <w:r/>
    </w:p>
    <w:p>
      <w:pPr>
        <w:pStyle w:val="909"/>
        <w:numPr>
          <w:ilvl w:val="1"/>
          <w:numId w:val="7"/>
        </w:numPr>
        <w:ind w:left="0" w:firstLine="567"/>
        <w:jc w:val="both"/>
        <w:tabs>
          <w:tab w:val="left" w:pos="993" w:leader="none"/>
        </w:tabs>
      </w:pPr>
      <w:r>
        <w:t xml:space="preserve">Сроки доставки Отправлений приведены в приложении № 6 к Контракту;</w:t>
      </w:r>
      <w:r/>
    </w:p>
    <w:p>
      <w:pPr>
        <w:pStyle w:val="909"/>
        <w:numPr>
          <w:ilvl w:val="1"/>
          <w:numId w:val="7"/>
        </w:numPr>
        <w:ind w:left="0" w:firstLine="567"/>
        <w:jc w:val="both"/>
        <w:tabs>
          <w:tab w:val="left" w:pos="993" w:leader="none"/>
        </w:tabs>
      </w:pPr>
      <w:r>
        <w:t xml:space="preserve">Зональное распределение приведено в приложении № 7</w:t>
      </w:r>
      <w:r>
        <w:t xml:space="preserve"> к Контракту</w:t>
      </w:r>
      <w:r>
        <w:t xml:space="preserve">.</w:t>
      </w:r>
      <w:r/>
    </w:p>
    <w:p>
      <w:pPr>
        <w:pStyle w:val="909"/>
        <w:ind w:firstLine="567"/>
        <w:jc w:val="both"/>
        <w:widowControl w:val="off"/>
        <w:tabs>
          <w:tab w:val="left" w:pos="0" w:leader="none"/>
          <w:tab w:val="left" w:pos="1080" w:leader="none"/>
        </w:tabs>
      </w:pPr>
      <w:r/>
      <w:r/>
    </w:p>
    <w:p>
      <w:pPr>
        <w:pStyle w:val="909"/>
        <w:numPr>
          <w:ilvl w:val="0"/>
          <w:numId w:val="7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МЕСТО НАХОЖДЕНИЯ И РЕКВИЗИТЫ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09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10631" w:type="dxa"/>
        <w:jc w:val="center"/>
        <w:tblInd w:w="-71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5387"/>
        <w:gridCol w:w="194"/>
        <w:gridCol w:w="5050"/>
      </w:tblGrid>
      <w:tr>
        <w:trPr>
          <w:trHeight w:val="981"/>
        </w:trPr>
        <w:tc>
          <w:tcPr>
            <w:shd w:val="clear" w:color="auto" w:fill="e0e0e0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</w:rPr>
            </w:pPr>
            <w:r>
              <w:rPr>
                <w:b/>
              </w:rPr>
              <w:t xml:space="preserve">ИСПОЛНИТЕЛЬ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09"/>
              <w:jc w:val="center"/>
              <w:rPr>
                <w:b/>
              </w:rPr>
            </w:pPr>
            <w:r>
              <w:rPr>
                <w:b/>
              </w:rPr>
              <w:t xml:space="preserve">Федеральное государственное унитарное предприятие «Главный центр специальной связи»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09"/>
            </w:pPr>
            <w:r>
              <w:t xml:space="preserve">129626, г. Москва, ул. 1-ая Мытищенская,17 </w:t>
            </w:r>
            <w:r/>
          </w:p>
          <w:p>
            <w:pPr>
              <w:pStyle w:val="909"/>
            </w:pPr>
            <w:r>
              <w:t xml:space="preserve">ИНН/КПП    7717043113/771701001</w:t>
            </w:r>
            <w:r/>
          </w:p>
          <w:p>
            <w:pPr>
              <w:pStyle w:val="909"/>
            </w:pPr>
            <w:r>
              <w:t xml:space="preserve">ОКТ</w:t>
            </w:r>
            <w:r>
              <w:t xml:space="preserve">МО 45349000000    ОКПО 01152568</w:t>
            </w:r>
            <w:r/>
          </w:p>
          <w:p>
            <w:pPr>
              <w:pStyle w:val="909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4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e0e0e0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50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/>
            <w:permStart w:colFirst="0" w:colLast="0" w:displacedbyCustomXml="next" w:edGrp="everyone" w:id="undefined"/>
            <w:r>
              <w:rPr>
                <w:b/>
                <w:bCs/>
              </w:rPr>
              <w:t xml:space="preserve">Федеральное казенное учреждение «Управление федеральных автомобильных дорог «Новороссия» Федерального дорожного агентства»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>
          <w:trHeight w:val="318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rPr>
                <w:b/>
              </w:rPr>
            </w:pPr>
            <w:r>
              <w:rPr>
                <w:b/>
              </w:rPr>
              <w:t xml:space="preserve">филиал </w:t>
            </w:r>
            <w:r>
              <w:rPr>
                <w:b/>
                <w:lang w:val="en-US" w:eastAsia="en-US"/>
              </w:rPr>
              <w:t xml:space="preserve">Спецсвязь России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rPr>
                <w:b/>
              </w:rPr>
              <w:t xml:space="preserve">Региональное управление специальной связи по Южному региону – Управление специальной связи по Ростовской области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09"/>
            </w:pPr>
            <w:r>
              <w:t xml:space="preserve">Адрес местонахождения филиала:</w:t>
            </w:r>
            <w:r/>
          </w:p>
          <w:p>
            <w:pPr>
              <w:pStyle w:val="909"/>
              <w:rPr>
                <w:sz w:val="22"/>
              </w:rPr>
            </w:pPr>
            <w:r/>
            <w:bookmarkStart w:id="0" w:name="_Hlk206162277"/>
            <w:r>
              <w:rPr>
                <w:sz w:val="22"/>
              </w:rPr>
              <w:t xml:space="preserve">344090, Ростовская область, г.о. город Ростов-на-Дону, г. Ростов-на-Дону, ул. Доватора, д. 152д</w:t>
            </w:r>
            <w:bookmarkEnd w:id="0"/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pStyle w:val="909"/>
            </w:pPr>
            <w:r>
              <w:t xml:space="preserve">ОГРН 1027700041830</w:t>
            </w:r>
            <w:r/>
          </w:p>
          <w:p>
            <w:pPr>
              <w:pStyle w:val="909"/>
            </w:pPr>
            <w:r>
              <w:t xml:space="preserve">ИНН/КПП 7717043113/616803001</w:t>
            </w:r>
            <w:r/>
          </w:p>
          <w:p>
            <w:pPr>
              <w:pStyle w:val="909"/>
            </w:pPr>
            <w:r>
              <w:t xml:space="preserve">р/с 40502810452090100124 в Юго-Западном банке ПАО Сбербанк г. Ростов -на -Дону</w:t>
            </w:r>
            <w:r/>
          </w:p>
          <w:p>
            <w:pPr>
              <w:pStyle w:val="909"/>
            </w:pPr>
            <w:r>
              <w:t xml:space="preserve">к/с 30101810600000000602</w:t>
            </w:r>
            <w:r/>
          </w:p>
          <w:p>
            <w:pPr>
              <w:pStyle w:val="909"/>
            </w:pPr>
            <w:r>
              <w:t xml:space="preserve">БИК 046015602</w:t>
            </w:r>
            <w:r/>
          </w:p>
          <w:p>
            <w:pPr>
              <w:pStyle w:val="909"/>
            </w:pPr>
            <w:r>
              <w:t xml:space="preserve">Контактные телефоны:</w:t>
            </w:r>
            <w:r/>
          </w:p>
          <w:p>
            <w:pPr>
              <w:pStyle w:val="909"/>
            </w:pPr>
            <w:r>
              <w:t xml:space="preserve">отдел клиентского обслуживания – </w:t>
              <w:br w:type="textWrapping" w:clear="all"/>
              <w:t xml:space="preserve">8 (863) 218-42-15</w:t>
            </w:r>
            <w:r/>
          </w:p>
          <w:p>
            <w:pPr>
              <w:pStyle w:val="909"/>
            </w:pPr>
            <w:r>
              <w:t xml:space="preserve">бухгалтерия – 8 (863) 218-42-18</w:t>
            </w:r>
            <w:r/>
          </w:p>
          <w:p>
            <w:pPr>
              <w:pStyle w:val="909"/>
            </w:pPr>
            <w:r>
              <w:t xml:space="preserve">прием заявок – на бесплатный номер 8-800-250-60-70</w:t>
            </w:r>
            <w:r/>
          </w:p>
          <w:p>
            <w:pPr>
              <w:pStyle w:val="909"/>
            </w:pPr>
            <w:r>
              <w:t xml:space="preserve">E-mail:  </w:t>
            </w:r>
            <w:r/>
          </w:p>
          <w:p>
            <w:pPr>
              <w:pStyle w:val="909"/>
              <w:ind w:right="317"/>
            </w:pPr>
            <w:r>
              <w:t xml:space="preserve">для направления заявок - order@cccb.ru</w:t>
            </w:r>
            <w:r/>
          </w:p>
          <w:p>
            <w:pPr>
              <w:pStyle w:val="909"/>
              <w:ind w:right="317"/>
            </w:pPr>
            <w:r>
              <w:t xml:space="preserve">для связи со специалистом – e.didenko@cccb.ru</w:t>
            </w:r>
            <w:r/>
          </w:p>
          <w:p>
            <w:pPr>
              <w:pStyle w:val="909"/>
              <w:rPr>
                <w:sz w:val="22"/>
                <w:szCs w:val="22"/>
              </w:rPr>
            </w:pPr>
            <w:r>
              <w:t xml:space="preserve">ОКПО 01152568, ОКАТО 60401382000, </w:t>
              <w:br w:type="textWrapping" w:clear="all"/>
              <w:t xml:space="preserve">ОКТМО 60701000001, ОКОГУ 1327500, ОКФС 12, ОКОПФ 30002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4" w:type="dxa"/>
            <w:vAlign w:val="top"/>
            <w:textDirection w:val="lrTb"/>
            <w:noWrap w:val="false"/>
          </w:tcPr>
          <w:p>
            <w:pPr>
              <w:pStyle w:val="909"/>
              <w:ind w:hanging="187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50" w:type="dxa"/>
            <w:vAlign w:val="top"/>
            <w:textDirection w:val="lrTb"/>
            <w:noWrap w:val="false"/>
          </w:tcPr>
          <w:p>
            <w:r/>
            <w:permStart w:colFirst="0" w:colLast="0" w:displacedbyCustomXml="next" w:edGrp="everyone" w:id="undefined"/>
            <w:r>
              <w:rPr>
                <w:szCs w:val="22"/>
              </w:rPr>
              <w:t xml:space="preserve">Юридический адрес:</w:t>
            </w:r>
            <w:r>
              <w:t xml:space="preserve"> </w:t>
            </w:r>
            <w:r>
              <w:t xml:space="preserve">344000, г. Ростов-на-Дону, </w:t>
            </w:r>
            <w:r/>
          </w:p>
          <w:p>
            <w:r>
              <w:t xml:space="preserve">ул. Красноармейская, д. 202, этаж 6</w:t>
            </w:r>
            <w:r>
              <w:t xml:space="preserve">  </w:t>
            </w:r>
            <w:r>
              <w:rPr>
                <w:szCs w:val="22"/>
              </w:rPr>
              <w:t xml:space="preserve">                                                </w:t>
            </w:r>
            <w:r>
              <w:rPr>
                <w:szCs w:val="22"/>
              </w:rPr>
              <w:t xml:space="preserve">                                                                                      </w:t>
            </w:r>
            <w:r/>
          </w:p>
          <w:p>
            <w:pPr>
              <w:rPr>
                <w14:ligatures w14:val="none"/>
              </w:rPr>
            </w:pPr>
            <w:r>
              <w:rPr>
                <w:szCs w:val="22"/>
              </w:rPr>
              <w:t xml:space="preserve">Почтовый адрес: </w:t>
            </w:r>
            <w:r>
              <w:t xml:space="preserve">344000, </w:t>
            </w:r>
            <w:r>
              <w:t xml:space="preserve">г. Ростов-на-Дону,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t xml:space="preserve">пр-т Театральный, д. 85, офис 401</w:t>
            </w:r>
            <w:r>
              <w:t xml:space="preserve"> </w:t>
            </w:r>
            <w:r>
              <w:t xml:space="preserve">                                                </w:t>
            </w:r>
            <w:r>
              <w:t xml:space="preserve">                                                        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t xml:space="preserve">контактный телефон: </w:t>
            </w:r>
            <w:r>
              <w:t xml:space="preserve">(863) 285-58-52</w:t>
            </w:r>
            <w:r>
              <w:t xml:space="preserve">                                                  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t xml:space="preserve">телефон бухгалтерии: </w:t>
            </w:r>
            <w:r>
              <w:t xml:space="preserve">(863) 285-60-41</w:t>
            </w:r>
            <w:r>
              <w:t xml:space="preserve">                                                 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rPr>
                <w:lang w:val="en-US"/>
              </w:rPr>
              <w:t xml:space="preserve">E</w:t>
            </w:r>
            <w:r>
              <w:t xml:space="preserve">-</w:t>
            </w:r>
            <w:r>
              <w:rPr>
                <w:lang w:val="en-US"/>
              </w:rPr>
              <w:t xml:space="preserve">mail</w:t>
            </w:r>
            <w:r>
              <w:t xml:space="preserve">: nv-ross@mail.ru                                                                        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t xml:space="preserve">ИНН/КПП </w:t>
            </w:r>
            <w:r>
              <w:t xml:space="preserve">7717109981</w:t>
            </w:r>
            <w:r>
              <w:t xml:space="preserve">/</w:t>
            </w:r>
            <w:r>
              <w:t xml:space="preserve">616301001</w:t>
            </w:r>
            <w:r>
              <w:t xml:space="preserve">                                                      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t xml:space="preserve">р/с: </w:t>
            </w:r>
            <w:r>
              <w:t xml:space="preserve">03211643000000013230</w:t>
            </w:r>
            <w:r>
              <w:t xml:space="preserve">                                                                                 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t xml:space="preserve">Банк: </w:t>
            </w:r>
            <w:r>
              <w:t xml:space="preserve">ОКЦ № 1 Волго-Вятского ГУ Банка России</w:t>
            </w:r>
            <w:r>
              <w:t xml:space="preserve">//УФК по Нижего</w:t>
            </w:r>
            <w:r>
              <w:t xml:space="preserve">родской области, </w:t>
            </w:r>
            <w:r>
              <w:t xml:space="preserve">г. Нижний Новгород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t xml:space="preserve">к/с: </w:t>
            </w:r>
            <w:r>
              <w:t xml:space="preserve">40102810745370000024</w:t>
            </w:r>
            <w:r>
              <w:t xml:space="preserve">                                                                            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t xml:space="preserve">БИК: </w:t>
            </w:r>
            <w:r>
              <w:t xml:space="preserve">0122021</w:t>
            </w:r>
            <w:r>
              <w:t xml:space="preserve">02</w:t>
            </w:r>
            <w:r>
              <w:t xml:space="preserve">  </w:t>
            </w:r>
            <w:r>
              <w:t xml:space="preserve">                                                                          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rPr>
                <w14:ligatures w14:val="none"/>
              </w:rPr>
            </w:pPr>
            <w:r>
              <w:t xml:space="preserve">ОКПО: </w:t>
            </w:r>
            <w:r>
              <w:t xml:space="preserve">52438252</w:t>
            </w:r>
            <w:r>
              <w:t xml:space="preserve">     </w:t>
            </w:r>
            <w:r>
              <w:t xml:space="preserve">                                                                      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909"/>
              <w:rPr>
                <w:szCs w:val="22"/>
              </w:rPr>
            </w:pPr>
            <w:r>
              <w:t xml:space="preserve">ОГРН: </w:t>
            </w:r>
            <w:r>
              <w:t xml:space="preserve">1037700028090</w:t>
            </w:r>
            <w:r>
              <w:t xml:space="preserve"> </w:t>
            </w: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                                                                    </w:t>
            </w:r>
            <w:permEnd w:id="15"/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909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                                            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909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                                            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909"/>
              <w:tabs>
                <w:tab w:val="center" w:pos="4677" w:leader="none"/>
                <w:tab w:val="right" w:pos="9355" w:leader="none"/>
              </w:tabs>
            </w:pPr>
            <w:r>
              <w:rPr>
                <w:szCs w:val="22"/>
              </w:rPr>
              <w:t xml:space="preserve">                                                                                      </w:t>
            </w:r>
            <w:r/>
          </w:p>
        </w:tc>
      </w:tr>
      <w:tr>
        <w:trPr>
          <w:trHeight w:val="159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87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Заместитель начальника Управления по развитию  </w:t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</w:r>
          </w:p>
          <w:p>
            <w:pPr>
              <w:pStyle w:val="909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______________________О.М. Вербило</w:t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4" w:type="dxa"/>
            <w:vAlign w:val="top"/>
            <w:textDirection w:val="lrTb"/>
            <w:noWrap w:val="false"/>
          </w:tcPr>
          <w:p>
            <w:pPr>
              <w:pStyle w:val="909"/>
              <w:ind w:hanging="18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909"/>
              <w:ind w:hanging="18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909"/>
              <w:ind w:hanging="18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909"/>
              <w:ind w:hanging="18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909"/>
              <w:ind w:hanging="18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50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/>
            <w:permStart w:edGrp="everyone" w:id="16"/>
            <w:r>
              <w:rPr>
                <w:b/>
                <w:bCs/>
                <w:color w:val="000000"/>
                <w:sz w:val="22"/>
                <w:szCs w:val="22"/>
              </w:rPr>
              <w:t xml:space="preserve">Зам. начальника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____________________ О.Н. Гулый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/>
            <w:permEnd w:id="16"/>
            <w:r>
              <w:rPr>
                <w:b/>
                <w:bCs/>
                <w:color w:val="000000"/>
                <w:sz w:val="22"/>
                <w:szCs w:val="22"/>
              </w:rPr>
              <w:t xml:space="preserve">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909"/>
        <w:jc w:val="right"/>
        <w:widowControl w:val="off"/>
        <w:rPr>
          <w:b/>
          <w:lang w:val="en-US" w:eastAsia="en-US"/>
        </w:rPr>
      </w:pPr>
      <w:r>
        <w:rPr>
          <w:b/>
          <w:lang w:val="en-US" w:eastAsia="en-US"/>
        </w:rPr>
      </w:r>
      <w:r>
        <w:rPr>
          <w:b/>
          <w:lang w:val="en-US" w:eastAsia="en-US"/>
        </w:rPr>
      </w:r>
      <w:r>
        <w:rPr>
          <w:b/>
          <w:lang w:val="en-US" w:eastAsia="en-US"/>
        </w:rPr>
      </w:r>
    </w:p>
    <w:p>
      <w:pPr>
        <w:pStyle w:val="909"/>
        <w:jc w:val="right"/>
        <w:widowControl w:val="off"/>
        <w:rPr>
          <w:b/>
          <w:lang w:val="en-US" w:eastAsia="en-US"/>
        </w:rPr>
      </w:pPr>
      <w:r>
        <w:rPr>
          <w:b/>
          <w:lang w:val="en-US" w:eastAsia="en-US"/>
        </w:rPr>
      </w:r>
      <w:r>
        <w:rPr>
          <w:b/>
          <w:lang w:val="en-US" w:eastAsia="en-US"/>
        </w:rPr>
      </w:r>
      <w:r>
        <w:rPr>
          <w:b/>
          <w:lang w:val="en-US" w:eastAsia="en-US"/>
        </w:rPr>
      </w:r>
    </w:p>
    <w:p>
      <w:pPr>
        <w:pStyle w:val="909"/>
        <w:jc w:val="right"/>
        <w:widowControl w:val="off"/>
        <w:rPr>
          <w:b/>
          <w:lang w:val="en-US" w:eastAsia="en-US"/>
        </w:rPr>
      </w:pPr>
      <w:r>
        <w:rPr>
          <w:b/>
          <w:lang w:val="en-US" w:eastAsia="en-US"/>
        </w:rPr>
      </w:r>
      <w:r>
        <w:rPr>
          <w:b/>
          <w:lang w:val="en-US" w:eastAsia="en-US"/>
        </w:rPr>
      </w:r>
      <w:r>
        <w:rPr>
          <w:b/>
          <w:lang w:val="en-US" w:eastAsia="en-US"/>
        </w:rPr>
      </w:r>
    </w:p>
    <w:p>
      <w:pPr>
        <w:pStyle w:val="909"/>
        <w:jc w:val="right"/>
        <w:widowControl w:val="off"/>
        <w:rPr>
          <w:b/>
          <w:lang w:val="en-US" w:eastAsia="en-US"/>
        </w:rPr>
      </w:pPr>
      <w:r>
        <w:rPr>
          <w:b/>
          <w:lang w:val="en-US" w:eastAsia="en-US"/>
        </w:rPr>
      </w:r>
      <w:r>
        <w:rPr>
          <w:b/>
          <w:lang w:val="en-US" w:eastAsia="en-US"/>
        </w:rPr>
      </w:r>
      <w:r>
        <w:rPr>
          <w:b/>
          <w:lang w:val="en-US" w:eastAsia="en-US"/>
        </w:rPr>
      </w:r>
    </w:p>
    <w:p>
      <w:pPr>
        <w:pStyle w:val="909"/>
        <w:jc w:val="right"/>
        <w:widowControl w:val="off"/>
        <w:rPr>
          <w:b/>
          <w:lang w:val="en-US" w:eastAsia="en-US"/>
        </w:rPr>
      </w:pPr>
      <w:r>
        <w:rPr>
          <w:b/>
          <w:lang w:val="en-US" w:eastAsia="en-US"/>
        </w:rPr>
      </w:r>
      <w:r>
        <w:rPr>
          <w:b/>
          <w:lang w:val="en-US" w:eastAsia="en-US"/>
        </w:rPr>
      </w:r>
      <w:r>
        <w:rPr>
          <w:b/>
          <w:lang w:val="en-US" w:eastAsia="en-US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</w:rPr>
        <w:t xml:space="preserve">Приложение №1</w:t>
      </w:r>
      <w:r>
        <w:rPr>
          <w:sz w:val="20"/>
        </w:rPr>
        <w:br w:type="textWrapping" w:clear="all"/>
      </w:r>
      <w:r>
        <w:rPr>
          <w:sz w:val="20"/>
        </w:rPr>
        <w:t xml:space="preserve">к </w:t>
      </w:r>
      <w:r>
        <w:rPr>
          <w:sz w:val="20"/>
          <w:lang w:val="ru-RU"/>
        </w:rPr>
        <w:t xml:space="preserve">Контракту</w:t>
      </w:r>
      <w:r>
        <w:rPr>
          <w:sz w:val="20"/>
        </w:rPr>
        <w:t xml:space="preserve"> № </w:t>
      </w:r>
      <w:r>
        <w:rPr>
          <w:sz w:val="20"/>
          <w:lang w:val="ru-RU"/>
        </w:rPr>
        <w:t xml:space="preserve">____________ </w:t>
      </w:r>
      <w:r>
        <w:rPr>
          <w:sz w:val="20"/>
        </w:rPr>
        <w:t xml:space="preserve">на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оказание</w:t>
      </w:r>
      <w:r>
        <w:rPr>
          <w:sz w:val="20"/>
        </w:rPr>
        <w:br w:type="textWrapping" w:clear="all"/>
      </w:r>
      <w:r>
        <w:rPr>
          <w:sz w:val="20"/>
        </w:rPr>
        <w:t xml:space="preserve"> услуг специальной почтовой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связи </w:t>
        <w:br w:type="textWrapping" w:clear="all"/>
      </w:r>
      <w:r>
        <w:rPr>
          <w:sz w:val="20"/>
          <w:lang w:val="ru-RU"/>
        </w:rPr>
        <w:t xml:space="preserve">п</w:t>
      </w:r>
      <w:r>
        <w:rPr>
          <w:sz w:val="20"/>
        </w:rPr>
        <w:t xml:space="preserve">о доставке отправлений</w:t>
      </w:r>
      <w:r>
        <w:rPr>
          <w:sz w:val="20"/>
        </w:rPr>
      </w:r>
      <w:r>
        <w:rPr>
          <w:sz w:val="20"/>
        </w:rPr>
      </w:r>
    </w:p>
    <w:p>
      <w:pPr>
        <w:pStyle w:val="1029"/>
        <w:jc w:val="right"/>
        <w:widowControl w:val="off"/>
        <w:rPr>
          <w:sz w:val="20"/>
        </w:rPr>
      </w:pPr>
      <w:r/>
      <w:permStart w:edGrp="everyone" w:id="17"/>
      <w:r>
        <w:rPr>
          <w:sz w:val="20"/>
        </w:rPr>
        <w:t xml:space="preserve">от «____» </w:t>
      </w:r>
      <w:r>
        <w:rPr>
          <w:sz w:val="20"/>
        </w:rPr>
        <w:t xml:space="preserve">августа </w:t>
      </w:r>
      <w:r>
        <w:rPr>
          <w:sz w:val="20"/>
        </w:rPr>
        <w:t xml:space="preserve">2026</w:t>
      </w:r>
      <w:r>
        <w:rPr>
          <w:sz w:val="20"/>
        </w:rPr>
        <w:t xml:space="preserve"> года </w:t>
      </w:r>
      <w:r>
        <w:rPr>
          <w:sz w:val="20"/>
        </w:rPr>
      </w:r>
      <w:r>
        <w:rPr>
          <w:sz w:val="20"/>
        </w:rPr>
      </w:r>
    </w:p>
    <w:p>
      <w:pPr>
        <w:pStyle w:val="909"/>
        <w:widowControl w:val="off"/>
        <w:rPr>
          <w:color w:val="000000"/>
        </w:rPr>
      </w:pPr>
      <w:r/>
      <w:permEnd w:id="17"/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center"/>
        <w:widowControl w:val="off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ФОРМА ПИСЬМЕННОЙ ЗАЯВКИ НА ОКАЗАНИЕ УСЛУГ</w:t>
      </w: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</w:p>
    <w:p>
      <w:pPr>
        <w:pStyle w:val="909"/>
        <w:ind w:firstLine="567"/>
        <w:jc w:val="center"/>
        <w:widowControl w:val="off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</w:p>
    <w:p>
      <w:pPr>
        <w:pStyle w:val="909"/>
        <w:ind w:firstLine="567"/>
        <w:jc w:val="center"/>
        <w:widowControl w:val="off"/>
        <w:rPr>
          <w:b/>
          <w:color w:val="000000"/>
          <w:sz w:val="21"/>
          <w:szCs w:val="21"/>
        </w:rPr>
      </w:pPr>
      <w:r>
        <w:rPr>
          <w:b/>
          <w:color w:val="000000"/>
          <w:spacing w:val="20"/>
          <w:sz w:val="21"/>
          <w:szCs w:val="21"/>
        </w:rPr>
        <w:t xml:space="preserve">ЗАЯВКА № </w:t>
      </w:r>
      <w:r>
        <w:rPr>
          <w:b/>
          <w:color w:val="000000"/>
          <w:sz w:val="21"/>
          <w:szCs w:val="21"/>
        </w:rPr>
        <w:t xml:space="preserve">____</w:t>
      </w:r>
      <w:r>
        <w:rPr>
          <w:b/>
          <w:color w:val="000000"/>
          <w:sz w:val="21"/>
          <w:szCs w:val="21"/>
        </w:rPr>
      </w:r>
      <w:r>
        <w:rPr>
          <w:b/>
          <w:color w:val="000000"/>
          <w:sz w:val="21"/>
          <w:szCs w:val="21"/>
        </w:rPr>
      </w:r>
    </w:p>
    <w:p>
      <w:pPr>
        <w:pStyle w:val="909"/>
        <w:jc w:val="center"/>
        <w:widowControl w:val="off"/>
        <w:rPr>
          <w:b/>
          <w:bCs/>
          <w:color w:val="000000"/>
          <w:spacing w:val="20"/>
          <w:sz w:val="21"/>
          <w:szCs w:val="21"/>
        </w:rPr>
        <w:outlineLvl w:val="0"/>
      </w:pPr>
      <w:r>
        <w:rPr>
          <w:b/>
          <w:bCs/>
          <w:color w:val="000000"/>
          <w:spacing w:val="20"/>
          <w:sz w:val="21"/>
          <w:szCs w:val="21"/>
        </w:rPr>
        <w:t xml:space="preserve">НА ДОСТАВКУ ОТПРАВЛЕНИЙ</w:t>
      </w:r>
      <w:r>
        <w:rPr>
          <w:b/>
          <w:bCs/>
          <w:color w:val="000000"/>
          <w:spacing w:val="20"/>
          <w:sz w:val="21"/>
          <w:szCs w:val="21"/>
        </w:rPr>
      </w:r>
      <w:r>
        <w:rPr>
          <w:b/>
          <w:bCs/>
          <w:color w:val="000000"/>
          <w:spacing w:val="20"/>
          <w:sz w:val="21"/>
          <w:szCs w:val="21"/>
        </w:rPr>
      </w:r>
    </w:p>
    <w:p>
      <w:pPr>
        <w:pStyle w:val="909"/>
        <w:jc w:val="center"/>
        <w:rPr>
          <w:color w:val="000000"/>
          <w:sz w:val="21"/>
          <w:szCs w:val="21"/>
          <w:lang w:eastAsia="zh-CN"/>
        </w:rPr>
      </w:pPr>
      <w:r>
        <w:rPr>
          <w:b/>
          <w:color w:val="000000"/>
          <w:sz w:val="21"/>
          <w:szCs w:val="21"/>
          <w:lang w:eastAsia="zh-CN"/>
        </w:rPr>
        <w:t xml:space="preserve">«____» _______________ 20__ г.</w:t>
      </w:r>
      <w:r>
        <w:rPr>
          <w:color w:val="000000"/>
          <w:sz w:val="21"/>
          <w:szCs w:val="21"/>
          <w:lang w:eastAsia="zh-CN"/>
        </w:rPr>
      </w:r>
      <w:r>
        <w:rPr>
          <w:color w:val="000000"/>
          <w:sz w:val="21"/>
          <w:szCs w:val="21"/>
          <w:lang w:eastAsia="zh-CN"/>
        </w:rPr>
      </w:r>
    </w:p>
    <w:p>
      <w:pPr>
        <w:pStyle w:val="909"/>
        <w:jc w:val="center"/>
        <w:rPr>
          <w:color w:val="000000"/>
          <w:sz w:val="21"/>
          <w:szCs w:val="21"/>
          <w:lang w:eastAsia="zh-CN"/>
        </w:rPr>
      </w:pPr>
      <w:r>
        <w:rPr>
          <w:color w:val="000000"/>
          <w:sz w:val="21"/>
          <w:szCs w:val="21"/>
          <w:lang w:eastAsia="zh-CN"/>
        </w:rPr>
      </w:r>
      <w:r>
        <w:rPr>
          <w:color w:val="000000"/>
          <w:sz w:val="21"/>
          <w:szCs w:val="21"/>
          <w:lang w:eastAsia="zh-CN"/>
        </w:rPr>
      </w:r>
      <w:r>
        <w:rPr>
          <w:color w:val="000000"/>
          <w:sz w:val="21"/>
          <w:szCs w:val="21"/>
          <w:lang w:eastAsia="zh-CN"/>
        </w:rPr>
      </w:r>
    </w:p>
    <w:tbl>
      <w:tblPr>
        <w:tblW w:w="10372" w:type="dxa"/>
        <w:tblInd w:w="-103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673"/>
        <w:gridCol w:w="4803"/>
        <w:gridCol w:w="4896"/>
      </w:tblGrid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№№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  <w:p>
            <w:pPr>
              <w:pStyle w:val="909"/>
              <w:jc w:val="center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п/п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Наименование сведений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Сведения об Отправлениях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numPr>
                <w:ilvl w:val="0"/>
                <w:numId w:val="16"/>
              </w:numPr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Наименование Заказчика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numPr>
                <w:ilvl w:val="0"/>
                <w:numId w:val="15"/>
              </w:numPr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Контракт</w:t>
            </w:r>
            <w:r>
              <w:rPr>
                <w:color w:val="000000"/>
                <w:lang w:eastAsia="zh-CN"/>
              </w:rPr>
              <w:t xml:space="preserve"> оказания услуг специальной связи по доставке Отправлений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numPr>
                <w:ilvl w:val="0"/>
                <w:numId w:val="15"/>
              </w:numPr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Наименование отправителя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numPr>
                <w:ilvl w:val="0"/>
                <w:numId w:val="15"/>
              </w:numPr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Адрес отправителя (место получения Отправлений)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numPr>
                <w:ilvl w:val="0"/>
                <w:numId w:val="15"/>
              </w:numPr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Контактное лицо и телефон отправителя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>
          <w:trHeight w:val="236"/>
        </w:trPr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numPr>
                <w:ilvl w:val="0"/>
                <w:numId w:val="15"/>
              </w:numPr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Дата получения Отправлений Исполнителем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  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numPr>
                <w:ilvl w:val="0"/>
                <w:numId w:val="15"/>
              </w:numPr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Наименование получателя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8.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Адрес получателя (место вручения Отправлений)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9.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Представитель получателя, уполномоченный на получение Отправлений, его телефон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10.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Предполагаемая дата вручения Отправлений получателю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(заполняется по согласованию с Исполнителем)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11.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Вид Отправлений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Посылки/пакеты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12.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Важность Отправлений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Указывается гриф секретности (при наличии)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13.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Характер вложения (Индекс вложения)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14.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Стоимость вложения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15.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Вес брутто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16.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Количество мест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17.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Объем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Указываются габариты (длина х ширина х высота)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67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18.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03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Информация </w:t>
            </w:r>
            <w:r>
              <w:rPr>
                <w:bCs/>
                <w:iCs/>
                <w:color w:val="000000"/>
                <w:lang w:eastAsia="zh-CN"/>
              </w:rPr>
              <w:t xml:space="preserve">о свойствах </w:t>
            </w:r>
            <w:r>
              <w:rPr>
                <w:color w:val="000000"/>
                <w:lang w:eastAsia="zh-CN"/>
              </w:rPr>
              <w:t xml:space="preserve">Отправления</w:t>
            </w:r>
            <w:r>
              <w:rPr>
                <w:bCs/>
                <w:iCs/>
                <w:color w:val="000000"/>
                <w:lang w:eastAsia="zh-CN"/>
              </w:rPr>
              <w:t xml:space="preserve">, об условиях поставки (перевозки) и иная информация, необходимая для доставки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  <w:tc>
          <w:tcPr>
            <w:shd w:val="clear" w:color="auto" w:fill="ffffff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tcMar>
              <w:left w:w="103" w:type="dxa"/>
              <w:top w:w="0" w:type="dxa"/>
              <w:right w:w="108" w:type="dxa"/>
              <w:bottom w:w="0" w:type="dxa"/>
            </w:tcMar>
            <w:tcW w:w="4896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Заполняется, если есть особенности. В иных случаях, не заполняется. Например, необходимая упаковка (какая, в каком количестве)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</w:tc>
      </w:tr>
    </w:tbl>
    <w:p>
      <w:pPr>
        <w:pStyle w:val="909"/>
        <w:ind w:firstLine="540"/>
        <w:jc w:val="both"/>
        <w:rPr>
          <w:b/>
          <w:bCs/>
          <w:iCs/>
          <w:color w:val="000000"/>
          <w:sz w:val="16"/>
          <w:szCs w:val="16"/>
          <w:u w:val="single"/>
        </w:rPr>
      </w:pPr>
      <w:r>
        <w:rPr>
          <w:b/>
          <w:bCs/>
          <w:iCs/>
          <w:color w:val="000000"/>
          <w:sz w:val="16"/>
          <w:szCs w:val="16"/>
          <w:u w:val="single"/>
        </w:rPr>
        <w:t xml:space="preserve">Заказчик подтверждает</w:t>
      </w:r>
      <w:r>
        <w:rPr>
          <w:b/>
          <w:bCs/>
          <w:iCs/>
          <w:color w:val="000000"/>
          <w:sz w:val="16"/>
          <w:szCs w:val="16"/>
          <w:u w:val="single"/>
        </w:rPr>
        <w:t xml:space="preserve">, что информация о свойствах Отправлений, об условиях их доставки и иная информация, указанная в п. 18 настоящей заявки, является полной, точной и достоверной и может быть использована Исполнителем для выбора условий доставки, а также транспортных средств.</w:t>
      </w:r>
      <w:r>
        <w:rPr>
          <w:b/>
          <w:bCs/>
          <w:iCs/>
          <w:color w:val="000000"/>
          <w:sz w:val="16"/>
          <w:szCs w:val="16"/>
          <w:u w:val="single"/>
        </w:rPr>
      </w:r>
      <w:r>
        <w:rPr>
          <w:b/>
          <w:bCs/>
          <w:iCs/>
          <w:color w:val="000000"/>
          <w:sz w:val="16"/>
          <w:szCs w:val="16"/>
          <w:u w:val="single"/>
        </w:rPr>
      </w:r>
    </w:p>
    <w:p>
      <w:pPr>
        <w:pStyle w:val="909"/>
        <w:ind w:firstLine="540"/>
        <w:jc w:val="both"/>
        <w:rPr>
          <w:b/>
          <w:bCs/>
          <w:iCs/>
          <w:color w:val="000000"/>
          <w:sz w:val="16"/>
          <w:szCs w:val="16"/>
          <w:u w:val="single"/>
        </w:rPr>
      </w:pPr>
      <w:r>
        <w:rPr>
          <w:b/>
          <w:bCs/>
          <w:iCs/>
          <w:color w:val="000000"/>
          <w:sz w:val="16"/>
          <w:szCs w:val="16"/>
          <w:u w:val="single"/>
        </w:rPr>
        <w:t xml:space="preserve">Заказчик подтверждает, что Отправления не содержат вложений, запрещенных к перевозке.</w:t>
      </w:r>
      <w:r>
        <w:rPr>
          <w:b/>
          <w:bCs/>
          <w:iCs/>
          <w:color w:val="000000"/>
          <w:sz w:val="16"/>
          <w:szCs w:val="16"/>
          <w:u w:val="single"/>
        </w:rPr>
      </w:r>
      <w:r>
        <w:rPr>
          <w:b/>
          <w:bCs/>
          <w:iCs/>
          <w:color w:val="000000"/>
          <w:sz w:val="16"/>
          <w:szCs w:val="16"/>
          <w:u w:val="single"/>
        </w:rPr>
      </w:r>
    </w:p>
    <w:p>
      <w:pPr>
        <w:pStyle w:val="909"/>
        <w:ind w:firstLine="567"/>
        <w:widowControl w:val="off"/>
        <w:rPr>
          <w:color w:val="000000"/>
          <w:sz w:val="18"/>
        </w:rPr>
      </w:pPr>
      <w:r>
        <w:rPr>
          <w:color w:val="000000"/>
          <w:sz w:val="18"/>
        </w:rPr>
      </w:r>
      <w:r>
        <w:rPr>
          <w:color w:val="000000"/>
          <w:sz w:val="18"/>
        </w:rPr>
      </w:r>
      <w:r>
        <w:rPr>
          <w:color w:val="000000"/>
          <w:sz w:val="18"/>
        </w:rPr>
      </w:r>
    </w:p>
    <w:p>
      <w:pPr>
        <w:pStyle w:val="909"/>
        <w:ind w:firstLine="567"/>
        <w:widowControl w:val="off"/>
        <w:rPr>
          <w:b/>
          <w:color w:val="000000"/>
        </w:rPr>
      </w:pPr>
      <w:r>
        <w:rPr>
          <w:b/>
          <w:color w:val="000000"/>
        </w:rPr>
        <w:t xml:space="preserve">Подпись лица, уполномоченного на подписание и подачу Заявок.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ind w:firstLine="567"/>
        <w:widowControl w:val="off"/>
        <w:rPr>
          <w:b/>
          <w:color w:val="000000"/>
        </w:rPr>
      </w:pPr>
      <w:r>
        <w:rPr>
          <w:b/>
          <w:color w:val="000000"/>
        </w:rPr>
        <w:t xml:space="preserve">Дата.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center"/>
        <w:rPr>
          <w:b/>
          <w:bCs/>
          <w:color w:val="000000"/>
          <w:sz w:val="18"/>
        </w:rPr>
      </w:pPr>
      <w:r>
        <w:rPr>
          <w:b/>
          <w:bCs/>
          <w:color w:val="000000"/>
          <w:sz w:val="18"/>
        </w:rPr>
        <w:t xml:space="preserve">Заявки на оказание услуги могут подаваться:</w:t>
      </w:r>
      <w:r>
        <w:rPr>
          <w:b/>
          <w:bCs/>
          <w:color w:val="000000"/>
          <w:sz w:val="18"/>
        </w:rPr>
      </w:r>
      <w:r>
        <w:rPr>
          <w:b/>
          <w:bCs/>
          <w:color w:val="000000"/>
          <w:sz w:val="18"/>
        </w:rPr>
      </w:r>
    </w:p>
    <w:p>
      <w:pPr>
        <w:pStyle w:val="909"/>
        <w:jc w:val="center"/>
        <w:spacing w:line="276" w:lineRule="auto"/>
        <w:tabs>
          <w:tab w:val="left" w:pos="9072" w:leader="none"/>
        </w:tabs>
        <w:rPr>
          <w:color w:val="000000"/>
          <w:sz w:val="18"/>
          <w:u w:val="single"/>
        </w:rPr>
      </w:pPr>
      <w:r>
        <w:rPr>
          <w:color w:val="000000"/>
          <w:sz w:val="18"/>
          <w:u w:val="single"/>
        </w:rPr>
        <w:t xml:space="preserve">- на бесплатный номер 8-800-250-60-70;</w:t>
      </w:r>
      <w:r>
        <w:rPr>
          <w:color w:val="000000"/>
          <w:sz w:val="18"/>
          <w:u w:val="single"/>
        </w:rPr>
      </w:r>
      <w:r>
        <w:rPr>
          <w:color w:val="000000"/>
          <w:sz w:val="18"/>
          <w:u w:val="single"/>
        </w:rPr>
      </w:r>
    </w:p>
    <w:p>
      <w:pPr>
        <w:pStyle w:val="909"/>
        <w:jc w:val="center"/>
        <w:spacing w:line="276" w:lineRule="auto"/>
        <w:tabs>
          <w:tab w:val="left" w:pos="9072" w:leader="none"/>
        </w:tabs>
        <w:rPr>
          <w:color w:val="000000"/>
          <w:sz w:val="18"/>
          <w:u w:val="single"/>
        </w:rPr>
      </w:pPr>
      <w:r>
        <w:rPr>
          <w:color w:val="000000"/>
          <w:sz w:val="18"/>
          <w:u w:val="single"/>
        </w:rPr>
        <w:t xml:space="preserve">– на адрес электронной почты order@cccb.ru;</w:t>
      </w:r>
      <w:r>
        <w:rPr>
          <w:color w:val="000000"/>
          <w:sz w:val="18"/>
          <w:u w:val="single"/>
        </w:rPr>
      </w:r>
      <w:r>
        <w:rPr>
          <w:color w:val="000000"/>
          <w:sz w:val="18"/>
          <w:u w:val="single"/>
        </w:rPr>
      </w:r>
    </w:p>
    <w:p>
      <w:pPr>
        <w:pStyle w:val="909"/>
        <w:jc w:val="center"/>
        <w:spacing w:line="276" w:lineRule="auto"/>
        <w:tabs>
          <w:tab w:val="left" w:pos="9072" w:leader="none"/>
        </w:tabs>
        <w:rPr>
          <w:color w:val="000000"/>
          <w:sz w:val="18"/>
          <w:u w:val="single"/>
        </w:rPr>
      </w:pPr>
      <w:r>
        <w:rPr>
          <w:color w:val="000000"/>
          <w:sz w:val="18"/>
          <w:u w:val="single"/>
        </w:rPr>
        <w:t xml:space="preserve">– через Личный кабинет на сайте www.cccb.ru.</w:t>
      </w:r>
      <w:r>
        <w:rPr>
          <w:color w:val="000000"/>
          <w:sz w:val="18"/>
          <w:u w:val="single"/>
        </w:rPr>
      </w:r>
      <w:r>
        <w:rPr>
          <w:color w:val="000000"/>
          <w:sz w:val="18"/>
          <w:u w:val="single"/>
        </w:rPr>
      </w:r>
    </w:p>
    <w:p>
      <w:pPr>
        <w:pStyle w:val="909"/>
        <w:jc w:val="center"/>
        <w:widowControl w:val="off"/>
        <w:rPr>
          <w:color w:val="000000"/>
          <w:sz w:val="18"/>
          <w:u w:val="single"/>
        </w:rPr>
      </w:pPr>
      <w:r>
        <w:rPr>
          <w:color w:val="000000"/>
          <w:sz w:val="18"/>
          <w:u w:val="single"/>
        </w:rPr>
        <w:t xml:space="preserve">заявка отправляется до 1</w:t>
      </w:r>
      <w:r>
        <w:rPr>
          <w:color w:val="000000"/>
          <w:sz w:val="18"/>
          <w:u w:val="single"/>
        </w:rPr>
        <w:t xml:space="preserve">5</w:t>
      </w:r>
      <w:r>
        <w:rPr>
          <w:color w:val="000000"/>
          <w:sz w:val="18"/>
          <w:u w:val="single"/>
        </w:rPr>
        <w:t xml:space="preserve">:00 дня, предшествующего отправлению.</w:t>
      </w:r>
      <w:r>
        <w:rPr>
          <w:color w:val="000000"/>
          <w:sz w:val="18"/>
          <w:u w:val="single"/>
        </w:rPr>
      </w:r>
      <w:r>
        <w:rPr>
          <w:color w:val="000000"/>
          <w:sz w:val="18"/>
          <w:u w:val="single"/>
        </w:rPr>
      </w:r>
    </w:p>
    <w:p>
      <w:pPr>
        <w:pStyle w:val="909"/>
        <w:ind w:firstLine="567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W w:w="0" w:type="auto"/>
        <w:jc w:val="right"/>
        <w:tblInd w:w="7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501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ИСПОЛНИТЕЛЬ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Федеральное государственное унитарное предприятие «Главный центр специальной связи»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филиал - </w:t>
            </w:r>
            <w:r>
              <w:rPr>
                <w:b/>
                <w:bCs/>
                <w:color w:val="000000"/>
              </w:rPr>
              <w:t xml:space="preserve">Региональное управление специальной связи по Южному региону - Управление специальной связи по Ростовской области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/>
            <w:permStart w:colFirst="0" w:colLast="0" w:displacedbyCustomXml="next" w:edGrp="everyone" w:id="undefined"/>
            <w:r>
              <w:rPr>
                <w:b/>
                <w:bCs/>
              </w:rPr>
              <w:t xml:space="preserve">Федеральное казенное учреждение «Управление федеральных автомобильных дорог «Новороссия» Федерального дорожного агентства»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Заместитель начальника Управления по развитию </w:t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Cs w:val="22"/>
              </w:rPr>
              <w:t xml:space="preserve">______________________О.М. </w:t>
            </w:r>
            <w:r>
              <w:rPr>
                <w:b/>
                <w:color w:val="000000"/>
                <w:sz w:val="22"/>
                <w:szCs w:val="22"/>
              </w:rPr>
              <w:t xml:space="preserve">Вербило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ind w:left="477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477"/>
              <w:rPr>
                <w:b/>
                <w:bCs/>
                <w:color w:val="000000"/>
                <w:sz w:val="22"/>
                <w:szCs w:val="22"/>
              </w:rPr>
            </w:pPr>
            <w:r/>
            <w:permStart w:edGrp="everyone" w:id="19"/>
            <w:r>
              <w:rPr>
                <w:b/>
                <w:bCs/>
                <w:color w:val="000000"/>
                <w:sz w:val="22"/>
                <w:szCs w:val="22"/>
              </w:rPr>
              <w:t xml:space="preserve">Зам. начальника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477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477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____________________ О.Н. Гулый</w:t>
            </w:r>
            <w:permEnd w:id="19"/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26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ind w:left="477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1029"/>
        <w:jc w:val="right"/>
        <w:widowControl w:val="off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09"/>
        <w:jc w:val="right"/>
        <w:widowControl w:val="off"/>
        <w:rPr>
          <w:b/>
          <w:lang w:val="en-US" w:eastAsia="en-US"/>
        </w:rPr>
      </w:pPr>
      <w:r>
        <w:rPr>
          <w:b/>
          <w:lang w:val="en-US" w:eastAsia="en-US"/>
        </w:rPr>
        <w:t xml:space="preserve">Приложение № 2</w:t>
      </w:r>
      <w:r>
        <w:rPr>
          <w:b/>
          <w:lang w:val="en-US" w:eastAsia="en-US"/>
        </w:rPr>
      </w:r>
      <w:r>
        <w:rPr>
          <w:b/>
          <w:lang w:val="en-US" w:eastAsia="en-US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b w:val="0"/>
          <w:sz w:val="20"/>
          <w:lang w:val="ru-RU"/>
        </w:rPr>
        <w:t xml:space="preserve">к</w:t>
      </w:r>
      <w:r>
        <w:rPr>
          <w:b w:val="0"/>
        </w:rPr>
        <w:t xml:space="preserve"> </w:t>
      </w:r>
      <w:r>
        <w:rPr>
          <w:sz w:val="20"/>
          <w:lang w:val="ru-RU"/>
        </w:rPr>
        <w:t xml:space="preserve">Контракту</w:t>
      </w:r>
      <w:r>
        <w:rPr>
          <w:sz w:val="20"/>
        </w:rPr>
        <w:t xml:space="preserve"> № </w:t>
      </w:r>
      <w:r>
        <w:rPr>
          <w:sz w:val="20"/>
          <w:lang w:val="ru-RU"/>
        </w:rPr>
        <w:t xml:space="preserve">___________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на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оказание</w:t>
      </w:r>
      <w:r>
        <w:rPr>
          <w:sz w:val="20"/>
        </w:rPr>
        <w:br w:type="textWrapping" w:clear="all"/>
      </w:r>
      <w:r>
        <w:rPr>
          <w:sz w:val="20"/>
        </w:rPr>
        <w:t xml:space="preserve"> услуг специальной почтовой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связи </w:t>
        <w:br w:type="textWrapping" w:clear="all"/>
      </w:r>
      <w:r>
        <w:rPr>
          <w:sz w:val="20"/>
          <w:lang w:val="ru-RU"/>
        </w:rPr>
        <w:t xml:space="preserve">п</w:t>
      </w:r>
      <w:r>
        <w:rPr>
          <w:sz w:val="20"/>
        </w:rPr>
        <w:t xml:space="preserve">о доставке отправлений</w:t>
      </w:r>
      <w:r>
        <w:rPr>
          <w:sz w:val="20"/>
        </w:rPr>
      </w:r>
      <w:r>
        <w:rPr>
          <w:sz w:val="20"/>
        </w:rPr>
      </w:r>
    </w:p>
    <w:p>
      <w:pPr>
        <w:pStyle w:val="1029"/>
        <w:jc w:val="right"/>
        <w:widowControl w:val="off"/>
        <w:rPr>
          <w:sz w:val="20"/>
        </w:rPr>
      </w:pPr>
      <w:r/>
      <w:permStart w:edGrp="everyone" w:id="20"/>
      <w:r>
        <w:rPr>
          <w:sz w:val="20"/>
        </w:rPr>
        <w:t xml:space="preserve">от «____» </w:t>
      </w:r>
      <w:r>
        <w:rPr>
          <w:sz w:val="20"/>
        </w:rPr>
        <w:t xml:space="preserve">августа </w:t>
      </w:r>
      <w:r>
        <w:rPr>
          <w:sz w:val="20"/>
        </w:rPr>
        <w:t xml:space="preserve">2026</w:t>
      </w:r>
      <w:r>
        <w:rPr>
          <w:sz w:val="20"/>
        </w:rPr>
        <w:t xml:space="preserve"> года </w:t>
      </w:r>
      <w:r>
        <w:rPr>
          <w:sz w:val="20"/>
        </w:rPr>
      </w:r>
      <w:r>
        <w:rPr>
          <w:sz w:val="20"/>
        </w:rPr>
      </w:r>
    </w:p>
    <w:p>
      <w:pPr>
        <w:pStyle w:val="909"/>
        <w:jc w:val="right"/>
        <w:widowControl w:val="off"/>
        <w:rPr>
          <w:lang w:val="en-US"/>
        </w:rPr>
      </w:pPr>
      <w:r/>
      <w:permEnd w:id="20"/>
      <w:r>
        <w:rPr>
          <w:lang w:val="en-US"/>
        </w:rPr>
      </w:r>
      <w:r>
        <w:rPr>
          <w:lang w:val="en-US"/>
        </w:rPr>
      </w:r>
    </w:p>
    <w:p>
      <w:pPr>
        <w:pStyle w:val="909"/>
        <w:contextualSpacing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09"/>
        <w:contextualSpacing/>
        <w:jc w:val="center"/>
        <w:rPr>
          <w:b/>
        </w:rPr>
      </w:pPr>
      <w:r>
        <w:rPr>
          <w:b/>
        </w:rPr>
        <w:t xml:space="preserve">ТАРИФЫ НА ДОСТАВКУ</w:t>
      </w:r>
      <w:r>
        <w:rPr>
          <w:b/>
        </w:rPr>
      </w:r>
      <w:r>
        <w:rPr>
          <w:b/>
        </w:rPr>
      </w:r>
    </w:p>
    <w:p>
      <w:pPr>
        <w:pStyle w:val="909"/>
        <w:jc w:val="center"/>
        <w:rPr>
          <w:b/>
        </w:rPr>
      </w:pPr>
      <w:r>
        <w:rPr>
          <w:b/>
        </w:rPr>
        <w:t xml:space="preserve"> отправлений специальной связи/ специальной почтовой связи, </w:t>
        <w:br w:type="textWrapping" w:clear="all"/>
        <w:t xml:space="preserve">действующие с 01.01.202</w:t>
      </w:r>
      <w:r>
        <w:rPr>
          <w:b/>
        </w:rPr>
        <w:t xml:space="preserve">6 года по 31.12.2026 </w:t>
      </w:r>
      <w:r>
        <w:rPr>
          <w:b/>
        </w:rPr>
        <w:t xml:space="preserve">года</w:t>
      </w:r>
      <w:r>
        <w:rPr>
          <w:b/>
        </w:rPr>
      </w:r>
      <w:r>
        <w:rPr>
          <w:b/>
        </w:rPr>
      </w:r>
    </w:p>
    <w:p>
      <w:pPr>
        <w:pStyle w:val="910"/>
        <w:numPr>
          <w:ilvl w:val="0"/>
          <w:numId w:val="22"/>
        </w:numPr>
        <w:ind w:firstLine="207"/>
        <w:jc w:val="both"/>
        <w:spacing w:before="240" w:after="240"/>
        <w:tabs>
          <w:tab w:val="left" w:pos="1134" w:leader="none"/>
        </w:tabs>
        <w:rPr>
          <w:sz w:val="20"/>
        </w:rPr>
      </w:pPr>
      <w:r/>
      <w:bookmarkStart w:id="1" w:name="_Toc492985944"/>
      <w:r/>
      <w:bookmarkStart w:id="2" w:name="_Toc527539796"/>
      <w:r>
        <w:rPr>
          <w:b/>
          <w:sz w:val="20"/>
        </w:rPr>
        <w:t xml:space="preserve">Доставка отправлений с вложениями, содержащими сведения, отнесенные к государственной тайне (с пометками «ОВ», «СС», «С»)</w:t>
      </w:r>
      <w:bookmarkEnd w:id="1"/>
      <w:r/>
      <w:bookmarkEnd w:id="2"/>
      <w:r>
        <w:rPr>
          <w:sz w:val="20"/>
        </w:rPr>
      </w:r>
      <w:r>
        <w:rPr>
          <w:sz w:val="20"/>
        </w:rPr>
      </w:r>
    </w:p>
    <w:p>
      <w:pPr>
        <w:pStyle w:val="958"/>
        <w:contextualSpacing w:val="0"/>
        <w:ind w:left="0" w:firstLine="567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bCs/>
          <w:sz w:val="20"/>
          <w:szCs w:val="20"/>
        </w:rPr>
      </w:pPr>
      <w:r>
        <w:rPr>
          <w:sz w:val="20"/>
          <w:szCs w:val="20"/>
        </w:rPr>
        <w:t xml:space="preserve">Сбор / доставка отправлений с вложениями, содержащими сведения, отнесенные к государственной тайне (с пометками «ОВ», «СС», «С») (далее – секретные отправления), </w:t>
      </w:r>
      <w:r>
        <w:rPr>
          <w:bCs/>
          <w:sz w:val="20"/>
          <w:szCs w:val="20"/>
        </w:rPr>
        <w:t xml:space="preserve">осуществляется: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567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по территории Российской Федерации (далее – РФ);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567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 страны Содружества Независимых Государств (далее – СНГ).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567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Список стран, входящих в СНГ, представлен в </w:t>
      </w:r>
      <w:r>
        <w:rPr>
          <w:sz w:val="20"/>
          <w:szCs w:val="20"/>
        </w:rPr>
        <w:t xml:space="preserve">таблице 14 настоящего приложения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567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 случае невозможности доставить секретное отправление, в том числе с пометкой «Срочное», плановым маршрутом специальной связи, доставка осуществляется нарочным маршрутом.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567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Стоимость нарочной доставки рассчитывается индивидуально.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567"/>
        <w:jc w:val="bot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Зональное распределение административных центров РФ представлено в приложении № 7 к настоящему Контракту.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567"/>
        <w:jc w:val="bot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Список административных центров РФ представлен в </w:t>
      </w:r>
      <w:r>
        <w:rPr>
          <w:sz w:val="20"/>
          <w:szCs w:val="20"/>
        </w:rPr>
        <w:t xml:space="preserve">таблице 12 настоящего приложени</w:t>
      </w:r>
      <w:r>
        <w:rPr>
          <w:sz w:val="20"/>
          <w:szCs w:val="20"/>
        </w:rPr>
        <w:t xml:space="preserve">я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567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Сбор / доставка секретного отправления тарифицируется: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567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внутри административного центра субъекта РФ – по зоне 0;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567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внутри субъекта РФ – по зоне 1, за исключением Ленинградской области;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567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внутри Ленинградской области и между г. Санкт-Петербургом и Ленинградской областью – по зоне 2.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0"/>
        <w:numPr>
          <w:ilvl w:val="0"/>
          <w:numId w:val="22"/>
        </w:numPr>
        <w:ind w:left="0" w:firstLine="567"/>
        <w:jc w:val="both"/>
        <w:spacing w:before="240" w:after="12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Тарифы на сбор / доставку секретных отправлений: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10"/>
        <w:numPr>
          <w:ilvl w:val="1"/>
          <w:numId w:val="22"/>
        </w:numPr>
        <w:ind w:left="0" w:firstLine="567"/>
        <w:jc w:val="both"/>
        <w:spacing w:before="240" w:after="24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Из / в административные центры РФ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09"/>
        <w:ind w:firstLine="567"/>
      </w:pPr>
      <w:r>
        <w:t xml:space="preserve">Таблица 1</w:t>
      </w:r>
      <w:r/>
    </w:p>
    <w:tbl>
      <w:tblPr>
        <w:tblW w:w="4897" w:type="pct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89"/>
        <w:gridCol w:w="892"/>
        <w:gridCol w:w="886"/>
        <w:gridCol w:w="890"/>
        <w:gridCol w:w="886"/>
        <w:gridCol w:w="904"/>
        <w:gridCol w:w="959"/>
        <w:gridCol w:w="816"/>
        <w:gridCol w:w="957"/>
        <w:gridCol w:w="890"/>
        <w:gridCol w:w="1237"/>
      </w:tblGrid>
      <w:tr>
        <w:trPr>
          <w:trHeight w:val="794" w:hRule="exact"/>
        </w:trPr>
        <w:tc>
          <w:tcPr>
            <w:tcW w:w="43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b/>
                <w:bCs/>
              </w:rPr>
              <w:t xml:space="preserve">До 1</w:t>
            </w:r>
            <w:r>
              <w:rPr>
                <w:b/>
                <w:bCs/>
              </w:rPr>
              <w:t xml:space="preserve"> кг, руб.</w:t>
            </w:r>
            <w:r/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b/>
                <w:bCs/>
              </w:rPr>
              <w:t xml:space="preserve">До 2</w:t>
            </w:r>
            <w:r>
              <w:rPr>
                <w:b/>
                <w:bCs/>
              </w:rPr>
              <w:t xml:space="preserve"> кг, руб.</w:t>
            </w:r>
            <w:r/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b/>
                <w:bCs/>
              </w:rPr>
              <w:t xml:space="preserve">До 3</w:t>
            </w:r>
            <w:r>
              <w:rPr>
                <w:b/>
                <w:bCs/>
              </w:rPr>
              <w:t xml:space="preserve"> кг, руб.</w:t>
            </w:r>
            <w:r/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b/>
                <w:bCs/>
              </w:rPr>
              <w:t xml:space="preserve">До 4</w:t>
            </w:r>
            <w:r>
              <w:rPr>
                <w:b/>
                <w:bCs/>
              </w:rPr>
              <w:t xml:space="preserve"> кг, руб.</w:t>
            </w:r>
            <w:r/>
          </w:p>
        </w:tc>
        <w:tc>
          <w:tcPr>
            <w:tcW w:w="4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b/>
                <w:bCs/>
              </w:rPr>
              <w:t xml:space="preserve">До </w:t>
            </w:r>
            <w:r>
              <w:rPr>
                <w:b/>
                <w:bCs/>
              </w:rPr>
              <w:t xml:space="preserve">5 кг, руб.</w:t>
            </w:r>
            <w:r/>
          </w:p>
        </w:tc>
        <w:tc>
          <w:tcPr>
            <w:tcW w:w="47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</w:t>
            </w:r>
            <w:r>
              <w:rPr>
                <w:b/>
                <w:bCs/>
              </w:rPr>
              <w:t xml:space="preserve">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0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6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</w:t>
            </w:r>
            <w:r>
              <w:rPr>
                <w:b/>
                <w:bCs/>
              </w:rPr>
              <w:t xml:space="preserve">е,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100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60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</w:t>
            </w:r>
            <w:r>
              <w:rPr>
                <w:b/>
                <w:bCs/>
              </w:rPr>
              <w:t xml:space="preserve">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170"/>
        </w:trPr>
        <w:tc>
          <w:tcPr>
            <w:tcW w:w="43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1 249</w:t>
            </w:r>
            <w:r/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1 524</w:t>
            </w:r>
            <w:r/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1 835</w:t>
            </w:r>
            <w:r/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2 007</w:t>
            </w:r>
            <w:r/>
          </w:p>
        </w:tc>
        <w:tc>
          <w:tcPr>
            <w:tcW w:w="4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2 518</w:t>
            </w:r>
            <w:r/>
          </w:p>
        </w:tc>
        <w:tc>
          <w:tcPr>
            <w:tcW w:w="47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186</w:t>
            </w:r>
            <w:r/>
          </w:p>
        </w:tc>
        <w:tc>
          <w:tcPr>
            <w:tcW w:w="40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5 308</w:t>
            </w:r>
            <w:r/>
          </w:p>
        </w:tc>
        <w:tc>
          <w:tcPr>
            <w:tcW w:w="46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121</w:t>
            </w:r>
            <w:r/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14 988</w:t>
            </w:r>
            <w:r/>
          </w:p>
        </w:tc>
        <w:tc>
          <w:tcPr>
            <w:tcW w:w="60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73</w:t>
            </w:r>
            <w:r/>
          </w:p>
        </w:tc>
      </w:tr>
      <w:tr>
        <w:trPr>
          <w:trHeight w:val="170"/>
        </w:trPr>
        <w:tc>
          <w:tcPr>
            <w:tcW w:w="43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1 295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1 570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1 892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2 079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2 602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7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0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5 467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6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15 707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0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70"/>
        </w:trPr>
        <w:tc>
          <w:tcPr>
            <w:tcW w:w="43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1 391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1 679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2 685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2 919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3 571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7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0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6 886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6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22 166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0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70"/>
        </w:trPr>
        <w:tc>
          <w:tcPr>
            <w:tcW w:w="43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1 463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1 770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3 080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3 375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4 126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7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0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8 761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6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28 361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0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70"/>
        </w:trPr>
        <w:tc>
          <w:tcPr>
            <w:tcW w:w="43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1 804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2 184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3 409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3 842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4 843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7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407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0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10 948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6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37 828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0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70"/>
        </w:trPr>
        <w:tc>
          <w:tcPr>
            <w:tcW w:w="43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2 096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2 630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3 810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4 391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5 631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7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612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0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14 811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6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52 171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0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70"/>
        </w:trPr>
        <w:tc>
          <w:tcPr>
            <w:tcW w:w="43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2 395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3 163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4 318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5 101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6 775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7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756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0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18 115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6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687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6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73 075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0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437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910"/>
        <w:numPr>
          <w:ilvl w:val="1"/>
          <w:numId w:val="22"/>
        </w:numPr>
        <w:ind w:left="0" w:firstLine="709"/>
        <w:jc w:val="both"/>
        <w:spacing w:before="240" w:after="12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Из / в административные центры</w:t>
      </w:r>
      <w:r>
        <w:rPr>
          <w:b/>
          <w:sz w:val="20"/>
        </w:rPr>
        <w:t xml:space="preserve"> РФ с пометкой «Срочное»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58"/>
        <w:ind w:left="0" w:firstLine="709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Таблица 2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4897" w:type="pct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2"/>
        <w:gridCol w:w="881"/>
        <w:gridCol w:w="882"/>
        <w:gridCol w:w="880"/>
        <w:gridCol w:w="880"/>
        <w:gridCol w:w="882"/>
        <w:gridCol w:w="882"/>
        <w:gridCol w:w="882"/>
        <w:gridCol w:w="882"/>
        <w:gridCol w:w="937"/>
        <w:gridCol w:w="1276"/>
      </w:tblGrid>
      <w:tr>
        <w:trPr>
          <w:trHeight w:val="902" w:hRule="exact"/>
        </w:trPr>
        <w:tc>
          <w:tcPr>
            <w:tcW w:w="46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b/>
                <w:bCs/>
              </w:rPr>
              <w:t xml:space="preserve">До 1</w:t>
            </w:r>
            <w:r>
              <w:rPr>
                <w:b/>
                <w:bCs/>
              </w:rPr>
              <w:t xml:space="preserve"> кг, руб.</w:t>
            </w:r>
            <w:r/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b/>
                <w:bCs/>
              </w:rPr>
              <w:t xml:space="preserve">До 2</w:t>
            </w:r>
            <w:r>
              <w:rPr>
                <w:b/>
                <w:bCs/>
              </w:rPr>
              <w:t xml:space="preserve"> кг, руб.</w:t>
            </w:r>
            <w:r/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b/>
                <w:bCs/>
              </w:rPr>
              <w:t xml:space="preserve">До 3</w:t>
            </w:r>
            <w:r>
              <w:rPr>
                <w:b/>
                <w:bCs/>
              </w:rPr>
              <w:t xml:space="preserve"> кг, руб.</w:t>
            </w:r>
            <w:r/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b/>
                <w:bCs/>
              </w:rPr>
              <w:t xml:space="preserve">До 4</w:t>
            </w:r>
            <w:r>
              <w:rPr>
                <w:b/>
                <w:bCs/>
              </w:rPr>
              <w:t xml:space="preserve"> кг, руб.</w:t>
            </w:r>
            <w:r/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rPr>
                <w:b/>
                <w:bCs/>
              </w:rPr>
              <w:t xml:space="preserve">До </w:t>
            </w:r>
            <w:r>
              <w:rPr>
                <w:b/>
                <w:bCs/>
              </w:rPr>
              <w:t xml:space="preserve">5 кг, руб.</w:t>
            </w:r>
            <w:r/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</w:t>
            </w:r>
            <w:r>
              <w:rPr>
                <w:b/>
                <w:bCs/>
              </w:rPr>
              <w:t xml:space="preserve">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</w:t>
            </w:r>
            <w:r>
              <w:rPr>
                <w:b/>
                <w:bCs/>
              </w:rPr>
              <w:t xml:space="preserve">е,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5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100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</w:t>
            </w:r>
            <w:r>
              <w:rPr>
                <w:b/>
                <w:bCs/>
              </w:rPr>
              <w:t xml:space="preserve">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170"/>
        </w:trPr>
        <w:tc>
          <w:tcPr>
            <w:tcW w:w="46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1 881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2 280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2 757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3 008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3 783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7 923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5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22 643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70"/>
        </w:trPr>
        <w:tc>
          <w:tcPr>
            <w:tcW w:w="46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1 939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2 351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2 846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3 906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8 166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5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23 446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70"/>
        </w:trPr>
        <w:tc>
          <w:tcPr>
            <w:tcW w:w="46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2 086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2 518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4 036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4 384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5 361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10 326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284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5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33 046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147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70"/>
        </w:trPr>
        <w:tc>
          <w:tcPr>
            <w:tcW w:w="46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2 197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2 655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4 631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5 063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6 178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463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13 123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362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5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42 083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70"/>
        </w:trPr>
        <w:tc>
          <w:tcPr>
            <w:tcW w:w="46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2 712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3 281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5 114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5 766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7 264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608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16 384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5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56 624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70"/>
        </w:trPr>
        <w:tc>
          <w:tcPr>
            <w:tcW w:w="46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3 143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3 946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5 715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6 586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8 452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916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22 192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702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5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78 352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540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170"/>
        </w:trPr>
        <w:tc>
          <w:tcPr>
            <w:tcW w:w="46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зона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3 590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4 734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6 474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1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7 655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10 164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27 159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1 033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45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109 799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677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958"/>
        <w:numPr>
          <w:ilvl w:val="0"/>
          <w:numId w:val="22"/>
        </w:numPr>
        <w:contextualSpacing w:val="0"/>
        <w:ind w:left="0" w:firstLine="567"/>
        <w:jc w:val="both"/>
        <w:spacing w:before="240" w:after="0" w:line="240" w:lineRule="auto"/>
        <w:tabs>
          <w:tab w:val="left" w:pos="567" w:leader="none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Доставка стандартных отправлений специальной связи/ специальной почтовой связи, не содержащих сведения, отнесенные к государственной тайне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127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Тарифы и повышающие коэффициенты, указанные </w:t>
      </w:r>
      <w:r>
        <w:rPr>
          <w:sz w:val="20"/>
          <w:szCs w:val="20"/>
        </w:rPr>
        <w:t xml:space="preserve">в пункте 4, используются</w:t>
      </w:r>
      <w:r>
        <w:rPr>
          <w:sz w:val="20"/>
          <w:szCs w:val="20"/>
        </w:rPr>
        <w:t xml:space="preserve"> при заключении договоров (контрактов) и дополнительных соглашений с юридическими лицами и индивидуальными предпринимателями на доставку стандартных отправлений специальной </w:t>
      </w:r>
      <w:r>
        <w:rPr>
          <w:sz w:val="20"/>
          <w:szCs w:val="20"/>
        </w:rPr>
        <w:t xml:space="preserve">связи, не содержащих сведения, отнесенные к государственной тайне (далее - стандартные отправления), за исключением отправлений с вложением денежных знаков, монет, ценных бумаг, медикаментов, наркотических средств, психотропных веществ и прекурсоров к ним.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127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Сбор/ доставка стандартных отправлений осуществляется: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127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-  по территории Российской Федерации (далее - РФ);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127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-  в страны Содружества Независимых Государств (далее - СНГ).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127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Список стран, входящих в СНГ, представлен в таблице 14 настоящего приложения.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Зональное распределение административных центров РФ представлено в приложении № 7 к настоящему </w:t>
      </w:r>
      <w:r>
        <w:rPr>
          <w:sz w:val="20"/>
          <w:szCs w:val="20"/>
        </w:rPr>
        <w:t xml:space="preserve">К</w:t>
      </w:r>
      <w:r>
        <w:rPr>
          <w:sz w:val="20"/>
          <w:szCs w:val="20"/>
        </w:rPr>
        <w:t xml:space="preserve">онтракту.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Список административных центров РФ представлен в </w:t>
      </w:r>
      <w:r>
        <w:rPr>
          <w:sz w:val="20"/>
          <w:szCs w:val="20"/>
        </w:rPr>
        <w:t xml:space="preserve">таблице 12 настоящего приложени</w:t>
      </w:r>
      <w:r>
        <w:rPr>
          <w:sz w:val="20"/>
          <w:szCs w:val="20"/>
        </w:rPr>
        <w:t xml:space="preserve">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Сбор/ доставка стандартного отправления: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внутри административного центра субъекта РФ тарифицируется по зоне 0;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внутри субъекта РФ тарифицируется по зоне 1, за исключением Ленинградской области.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внутри Ленинградской области и между г. Санкт-Петербург и Ленинградской областью тарифицируется по зоне 2.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22"/>
        </w:numPr>
        <w:contextualSpacing w:val="0"/>
        <w:ind w:left="0" w:firstLine="567"/>
        <w:jc w:val="both"/>
        <w:spacing w:before="240" w:after="0" w:line="240" w:lineRule="auto"/>
        <w:tabs>
          <w:tab w:val="left" w:pos="851" w:leader="none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Тарифы на сбор/ доставку стандартных отправлений по территории РФ: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10"/>
        <w:numPr>
          <w:ilvl w:val="1"/>
          <w:numId w:val="22"/>
        </w:numPr>
        <w:ind w:left="0" w:firstLine="709"/>
        <w:jc w:val="both"/>
        <w:spacing w:before="240" w:after="12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Из/ в административные центры РФ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58"/>
        <w:contextualSpacing w:val="0"/>
        <w:ind w:left="0" w:firstLine="709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Таблица 3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4897" w:type="pct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  <w:gridCol w:w="1108"/>
        <w:gridCol w:w="1276"/>
      </w:tblGrid>
      <w:tr>
        <w:trPr>
          <w:trHeight w:val="902" w:hRule="exact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rPr>
                <w:b/>
                <w:bCs/>
              </w:rPr>
            </w:pPr>
            <w:r>
              <w:rPr>
                <w:b/>
                <w:bCs/>
              </w:rPr>
              <w:t xml:space="preserve"> 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До 1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ind w:right="3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До 2 кг,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100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0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1 029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1 233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148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1 677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124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3 537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87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10 497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70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1 117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1 338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166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1 836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137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3 891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94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11 411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76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1 137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1 371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177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1 902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160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4 302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139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15 422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115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1 202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1 463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2 177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204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5 237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176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19 317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167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1 492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1 798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268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2 602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258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6 472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229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24 792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224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1 701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2 142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407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3 363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375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8 988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315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34 188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304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lang w:val="en-US"/>
              </w:rPr>
            </w:pPr>
            <w:r>
              <w:t xml:space="preserve">6 зона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1 934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2 568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556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4 236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471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11 301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460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48 101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452</w:t>
            </w:r>
            <w:r/>
          </w:p>
        </w:tc>
      </w:tr>
    </w:tbl>
    <w:p>
      <w:pPr>
        <w:pStyle w:val="910"/>
        <w:numPr>
          <w:ilvl w:val="1"/>
          <w:numId w:val="22"/>
        </w:numPr>
        <w:ind w:left="0" w:firstLine="567"/>
        <w:jc w:val="both"/>
        <w:spacing w:before="240" w:after="12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Из/ в административные центры РФ с пометкой «Срочное»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58"/>
        <w:contextualSpacing w:val="0"/>
        <w:ind w:left="0" w:firstLine="567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Таблица 4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4897" w:type="pct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7"/>
        <w:gridCol w:w="977"/>
        <w:gridCol w:w="978"/>
        <w:gridCol w:w="978"/>
        <w:gridCol w:w="978"/>
        <w:gridCol w:w="978"/>
        <w:gridCol w:w="978"/>
        <w:gridCol w:w="978"/>
        <w:gridCol w:w="1108"/>
        <w:gridCol w:w="1276"/>
      </w:tblGrid>
      <w:tr>
        <w:trPr>
          <w:trHeight w:val="636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rPr>
                <w:b/>
                <w:bCs/>
              </w:rPr>
            </w:pPr>
            <w:r>
              <w:rPr>
                <w:b/>
                <w:bCs/>
              </w:rPr>
              <w:t xml:space="preserve"> 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До 1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ind w:right="3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До 2 кг,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5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100 кг,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+ 1 кг свыше, руб.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0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1 486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1 779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212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2 415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178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5 085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123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14 925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100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1 609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1 931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239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2 648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199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5 633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134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16 353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111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1 642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1 984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254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2 746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233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6 241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200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22 241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163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1 728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2 096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349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3 143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297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7 598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253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27 838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213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2 149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2 593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385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3 748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369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9 283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327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35 443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293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2 469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3 093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591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4 866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545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13 041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454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49 361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426</w:t>
            </w:r>
            <w:r/>
          </w:p>
        </w:tc>
      </w:tr>
      <w:tr>
        <w:trPr>
          <w:trHeight w:val="170"/>
        </w:trPr>
        <w:tc>
          <w:tcP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 зона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2 804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3 717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796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6 105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673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16 200</w:t>
            </w:r>
            <w:r/>
          </w:p>
        </w:tc>
        <w:tc>
          <w:tcPr>
            <w:tcMar>
              <w:left w:w="57" w:type="dxa"/>
              <w:right w:w="57" w:type="dxa"/>
            </w:tcMar>
            <w:tcW w:w="47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664</w:t>
            </w:r>
            <w:r/>
          </w:p>
        </w:tc>
        <w:tc>
          <w:tcPr>
            <w:tcMar>
              <w:left w:w="57" w:type="dxa"/>
              <w:right w:w="57" w:type="dxa"/>
            </w:tcMar>
            <w:tcW w:w="543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69 320</w:t>
            </w:r>
            <w:r/>
          </w:p>
        </w:tc>
        <w:tc>
          <w:tcPr>
            <w:tcMar>
              <w:left w:w="57" w:type="dxa"/>
              <w:right w:w="57" w:type="dxa"/>
            </w:tcMar>
            <w:tcW w:w="625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634</w:t>
            </w:r>
            <w:r/>
          </w:p>
        </w:tc>
      </w:tr>
    </w:tbl>
    <w:p>
      <w:pPr>
        <w:pStyle w:val="910"/>
        <w:numPr>
          <w:ilvl w:val="0"/>
          <w:numId w:val="22"/>
        </w:numPr>
        <w:ind w:left="0" w:firstLine="567"/>
        <w:jc w:val="both"/>
        <w:spacing w:before="240" w:after="120"/>
        <w:tabs>
          <w:tab w:val="left" w:pos="851" w:leader="none"/>
        </w:tabs>
        <w:rPr>
          <w:b/>
          <w:sz w:val="20"/>
        </w:rPr>
      </w:pPr>
      <w:r>
        <w:rPr>
          <w:b/>
          <w:sz w:val="20"/>
        </w:rPr>
        <w:t xml:space="preserve">Тарифы на сбор/ доставку секретных/стандартных отправлений  из / в областные пункты РФ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Тариф на сбор / доставку секретного/стандартного отправления определяется: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  <w:t xml:space="preserve">между областными пунктами разных субъектов РФ – путем однократного применения повышающего коэффициента 1,5 </w:t>
      </w:r>
      <w:r>
        <w:rPr>
          <w:sz w:val="20"/>
          <w:szCs w:val="20"/>
        </w:rPr>
        <w:t xml:space="preserve">(для секретного отправления) </w:t>
      </w:r>
      <w:r>
        <w:rPr>
          <w:spacing w:val="-6"/>
          <w:sz w:val="20"/>
          <w:szCs w:val="20"/>
        </w:rPr>
        <w:t xml:space="preserve">к соответствующему тарифу из таблиц </w:t>
      </w:r>
      <w:r>
        <w:rPr>
          <w:spacing w:val="-6"/>
          <w:sz w:val="20"/>
          <w:szCs w:val="20"/>
        </w:rPr>
        <w:t xml:space="preserve">1 и 2 </w:t>
      </w:r>
      <w:r>
        <w:rPr>
          <w:sz w:val="20"/>
          <w:szCs w:val="20"/>
        </w:rPr>
        <w:t xml:space="preserve">и 1,25 (для стандартного отправления) </w:t>
      </w:r>
      <w:r>
        <w:rPr>
          <w:spacing w:val="-6"/>
          <w:sz w:val="20"/>
          <w:szCs w:val="20"/>
        </w:rPr>
        <w:t xml:space="preserve">к соответствующему тарифу из таблиц </w:t>
      </w:r>
      <w:r>
        <w:rPr>
          <w:spacing w:val="-6"/>
          <w:sz w:val="20"/>
          <w:szCs w:val="20"/>
        </w:rPr>
        <w:t xml:space="preserve">3 и 4; </w:t>
      </w:r>
      <w:r>
        <w:rPr>
          <w:spacing w:val="-6"/>
          <w:sz w:val="20"/>
          <w:szCs w:val="20"/>
        </w:rPr>
      </w:r>
      <w:r>
        <w:rPr>
          <w:spacing w:val="-6"/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 / в областной пункт одного субъекта РФ в / из административного центра другого субъекта РФ – путем однократного применения повышающего коэффициента 1,5 (для секретного отправления) к соответствующему тарифу из таблиц </w:t>
      </w:r>
      <w:r>
        <w:rPr>
          <w:sz w:val="20"/>
          <w:szCs w:val="20"/>
        </w:rPr>
        <w:t xml:space="preserve">1 и 2</w:t>
      </w:r>
      <w:r>
        <w:rPr>
          <w:sz w:val="20"/>
          <w:szCs w:val="20"/>
        </w:rPr>
        <w:t xml:space="preserve"> и 1,25 (для стандартного отправления) </w:t>
      </w:r>
      <w:r>
        <w:rPr>
          <w:spacing w:val="-6"/>
          <w:sz w:val="20"/>
          <w:szCs w:val="20"/>
        </w:rPr>
        <w:t xml:space="preserve">к соответствующему тарифу из таблиц </w:t>
      </w:r>
      <w:r>
        <w:rPr>
          <w:spacing w:val="-6"/>
          <w:sz w:val="20"/>
          <w:szCs w:val="20"/>
        </w:rPr>
        <w:t xml:space="preserve">3 и 4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0"/>
        <w:numPr>
          <w:ilvl w:val="0"/>
          <w:numId w:val="22"/>
        </w:numPr>
        <w:ind w:left="0" w:firstLine="709"/>
        <w:jc w:val="both"/>
        <w:spacing w:before="240" w:after="12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Тарифы на сбор/ доставку секретных/стандартных отправлений  </w:t>
      </w:r>
      <w:r>
        <w:rPr>
          <w:b/>
          <w:sz w:val="20"/>
        </w:rPr>
        <w:t xml:space="preserve">и</w:t>
      </w:r>
      <w:r>
        <w:rPr>
          <w:b/>
          <w:sz w:val="20"/>
        </w:rPr>
        <w:t xml:space="preserve">з / в областные пункты внутри субъектов РФ для ограниченного списка субъектов РФ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58"/>
        <w:contextualSpacing w:val="0"/>
        <w:ind w:left="0" w:firstLine="709"/>
        <w:jc w:val="both"/>
        <w:spacing w:before="12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Тариф на сбор / доставку секретного/стандартного отправления из / в областной пункт внутри субъекта РФ (областной пункт – административный центр, областной пункт – областной п</w:t>
      </w:r>
      <w:r>
        <w:rPr>
          <w:sz w:val="20"/>
          <w:szCs w:val="20"/>
        </w:rPr>
        <w:t xml:space="preserve">ункт и административный центр – областной пункт) определяется путем однократного применения повышающего коэффициента из таблицы 5 к тарифу зоны 1 из таблиц 1 и 2 (для секретного отправления) и к тарифу зоны 1 из таблиц 3 и 4 (для стандартного отправления).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09"/>
        <w:ind w:firstLine="709"/>
        <w:jc w:val="both"/>
        <w:spacing w:before="120"/>
        <w:tabs>
          <w:tab w:val="left" w:pos="284" w:leader="none"/>
          <w:tab w:val="left" w:pos="993" w:leader="none"/>
        </w:tabs>
      </w:pPr>
      <w:r>
        <w:t xml:space="preserve">Список субъектов РФ представлен в </w:t>
      </w:r>
      <w:r>
        <w:t xml:space="preserve">таблице 12 настоящего приложени</w:t>
      </w:r>
      <w:r>
        <w:t xml:space="preserve">я</w:t>
      </w:r>
      <w:r>
        <w:t xml:space="preserve">.</w:t>
      </w:r>
      <w:r/>
    </w:p>
    <w:p>
      <w:pPr>
        <w:pStyle w:val="909"/>
        <w:spacing w:before="120"/>
        <w:tabs>
          <w:tab w:val="left" w:pos="284" w:leader="none"/>
          <w:tab w:val="left" w:pos="993" w:leader="none"/>
        </w:tabs>
      </w:pPr>
      <w:r>
        <w:t xml:space="preserve">Таблица 5</w:t>
      </w:r>
      <w:r/>
    </w:p>
    <w:tbl>
      <w:tblPr>
        <w:tblW w:w="5000" w:type="pct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354"/>
        <w:gridCol w:w="2746"/>
        <w:gridCol w:w="2218"/>
        <w:gridCol w:w="1567"/>
        <w:gridCol w:w="1536"/>
      </w:tblGrid>
      <w:tr>
        <w:trPr>
          <w:trHeight w:val="578"/>
        </w:trPr>
        <w:tc>
          <w:tcPr>
            <w:tcW w:w="112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Тип субъекта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131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Субъект РФ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tcW w:w="106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Административный центр субъекта РФ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  <w:tc>
          <w:tcPr>
            <w:gridSpan w:val="2"/>
            <w:tcW w:w="148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Повышающий коэффициент</w:t>
            </w:r>
            <w:r>
              <w:rPr>
                <w:b/>
                <w:bCs/>
                <w:szCs w:val="22"/>
              </w:rPr>
            </w:r>
            <w:r>
              <w:rPr>
                <w:b/>
                <w:bCs/>
                <w:szCs w:val="22"/>
              </w:rPr>
            </w:r>
          </w:p>
        </w:tc>
      </w:tr>
      <w:tr>
        <w:trPr>
          <w:trHeight w:val="170"/>
        </w:trPr>
        <w:tc>
          <w:tcPr>
            <w:tcW w:w="112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31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06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5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для секретных отправлений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37" w:type="pct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для стандартных отправлений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170"/>
        </w:trPr>
        <w:tc>
          <w:tcPr>
            <w:tcW w:w="112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Автономный округ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31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Ханты-Мансийский АО – Югра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06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Ханты-Мансийск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5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2,4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2</w:t>
            </w:r>
            <w:r>
              <w:rPr>
                <w:szCs w:val="22"/>
              </w:rPr>
              <w:t xml:space="preserve">,1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170"/>
        </w:trPr>
        <w:tc>
          <w:tcPr>
            <w:tcW w:w="112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Автономный округ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31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Ямало-Ненецкий АО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06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Салехард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5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2,8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2,4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170"/>
        </w:trPr>
        <w:tc>
          <w:tcPr>
            <w:tcW w:w="112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Республика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31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Республика Коми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06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Сыктывкар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5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1,5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1,5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170"/>
        </w:trPr>
        <w:tc>
          <w:tcPr>
            <w:tcW w:w="112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Область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31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Архангельская область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06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Архангельск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5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2,4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3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2,4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170"/>
        </w:trPr>
        <w:tc>
          <w:tcPr>
            <w:tcW w:w="1129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Автономный округ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317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Ненецкий автономный округ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1064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Нарьян-Мар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5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2,4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737" w:type="pct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2,4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</w:tbl>
    <w:p>
      <w:pPr>
        <w:pStyle w:val="910"/>
        <w:numPr>
          <w:ilvl w:val="0"/>
          <w:numId w:val="22"/>
        </w:numPr>
        <w:ind w:left="0" w:firstLine="567"/>
        <w:jc w:val="both"/>
        <w:spacing w:before="240" w:after="120"/>
        <w:tabs>
          <w:tab w:val="left" w:pos="993" w:leader="none"/>
        </w:tabs>
        <w:rPr>
          <w:b/>
          <w:sz w:val="20"/>
        </w:rPr>
      </w:pPr>
      <w:r>
        <w:rPr>
          <w:b/>
          <w:sz w:val="20"/>
        </w:rPr>
        <w:t xml:space="preserve">Международная перевозка секретных/стандартных отправлений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10"/>
        <w:numPr>
          <w:ilvl w:val="1"/>
          <w:numId w:val="22"/>
        </w:numPr>
        <w:ind w:left="0" w:firstLine="567"/>
        <w:jc w:val="both"/>
        <w:spacing w:before="240" w:after="12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Из / в страны СНГ, не входящие в Таможенный союз Евразийского экономического союза (далее – страны СНГ, не входящие в ТС ЕАЭС)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58"/>
        <w:contextualSpacing w:val="0"/>
        <w:ind w:left="0" w:firstLine="709"/>
        <w:jc w:val="both"/>
        <w:spacing w:before="12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Тариф должен определяться путем применения повышающего коэффициента из таблицы 6 к тарифам зоны 6 из таблиц 1,2 и 3,4.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/>
        <w:spacing w:before="12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Таблица 6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997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66"/>
        <w:gridCol w:w="1533"/>
        <w:gridCol w:w="2298"/>
        <w:gridCol w:w="2381"/>
      </w:tblGrid>
      <w:tr>
        <w:trPr>
          <w:trHeight w:val="170"/>
        </w:trPr>
        <w:tc>
          <w:tcPr>
            <w:tcW w:w="3766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1533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Город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298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Повышающий коэффициент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Ограничение по весу, кг.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70"/>
        </w:trPr>
        <w:tc>
          <w:tcPr>
            <w:tcW w:w="3766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Азербайджан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Баку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298" w:type="dxa"/>
            <w:vAlign w:val="center"/>
            <w:vMerge w:val="restart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1,3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81" w:type="dxa"/>
            <w:vAlign w:val="center"/>
            <w:vMerge w:val="restart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 20 (включительно)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70"/>
        </w:trPr>
        <w:tc>
          <w:tcPr>
            <w:tcW w:w="3766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Молдова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Кишинев*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298" w:type="dxa"/>
            <w:vAlign w:val="center"/>
            <w:vMerge w:val="continue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81" w:type="dxa"/>
            <w:vAlign w:val="center"/>
            <w:vMerge w:val="continue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tcW w:w="3766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Таджикистан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Душанбе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298" w:type="dxa"/>
            <w:vAlign w:val="center"/>
            <w:vMerge w:val="restart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1,45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81" w:type="dxa"/>
            <w:vAlign w:val="center"/>
            <w:vMerge w:val="continue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70"/>
        </w:trPr>
        <w:tc>
          <w:tcPr>
            <w:tcW w:w="3766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Узбекистан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Ташкент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298" w:type="dxa"/>
            <w:vAlign w:val="center"/>
            <w:vMerge w:val="continue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81" w:type="dxa"/>
            <w:vAlign w:val="center"/>
            <w:vMerge w:val="continue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70"/>
        </w:trPr>
        <w:tc>
          <w:tcPr>
            <w:tcW w:w="3766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Туркменистан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533" w:type="dxa"/>
            <w:vAlign w:val="center"/>
            <w:textDirection w:val="lrTb"/>
            <w:noWrap w:val="false"/>
          </w:tcPr>
          <w:p>
            <w:pPr>
              <w:pStyle w:val="958"/>
              <w:ind w:left="-4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Ашхабад*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298" w:type="dxa"/>
            <w:vAlign w:val="center"/>
            <w:vMerge w:val="continue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381" w:type="dxa"/>
            <w:vAlign w:val="center"/>
            <w:vMerge w:val="continue"/>
            <w:textDirection w:val="lrTb"/>
            <w:noWrap w:val="false"/>
          </w:tcPr>
          <w:p>
            <w:pPr>
              <w:pStyle w:val="958"/>
              <w:ind w:left="-40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i/>
          <w:sz w:val="18"/>
          <w:szCs w:val="18"/>
        </w:rPr>
      </w:pPr>
      <w:r>
        <w:rPr>
          <w:rFonts w:ascii="Symbol" w:hAnsi="Symbol" w:eastAsia="Symbol" w:cs="Symbol"/>
          <w:i/>
          <w:sz w:val="18"/>
          <w:szCs w:val="18"/>
        </w:rPr>
        <w:t xml:space="preserve">*</w:t>
      </w:r>
      <w:r>
        <w:rPr>
          <w:i/>
          <w:sz w:val="18"/>
          <w:szCs w:val="18"/>
        </w:rPr>
        <w:t xml:space="preserve"> В государства Молдова (Кишинев) (для </w:t>
      </w:r>
      <w:r>
        <w:rPr>
          <w:i/>
          <w:sz w:val="18"/>
          <w:szCs w:val="18"/>
        </w:rPr>
        <w:t xml:space="preserve">секретного</w:t>
      </w:r>
      <w:r>
        <w:rPr>
          <w:i/>
          <w:sz w:val="18"/>
          <w:szCs w:val="18"/>
        </w:rPr>
        <w:t xml:space="preserve"> отправления) и Туркменистан (Ашхабад) к доставке может приниматься только официальная корреспонденция для силовых структур в белых конвертах.</w:t>
      </w:r>
      <w:r>
        <w:rPr>
          <w:i/>
          <w:sz w:val="18"/>
          <w:szCs w:val="18"/>
        </w:rPr>
      </w:r>
      <w:r>
        <w:rPr>
          <w:i/>
          <w:sz w:val="18"/>
          <w:szCs w:val="18"/>
        </w:rPr>
      </w:r>
    </w:p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909"/>
        <w:ind w:firstLine="709"/>
        <w:jc w:val="both"/>
      </w:pPr>
      <w:r>
        <w:t xml:space="preserve">Тариф на сбор/ доставку секретного</w:t>
      </w:r>
      <w:r>
        <w:t xml:space="preserve">/стандартного </w:t>
      </w:r>
      <w:r>
        <w:t xml:space="preserve">отправления определяется:</w:t>
      </w:r>
      <w:r/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столицу страны СНГ, не входящей в ТС ЕАЭС: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1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 / из административного центра РФ – путем однократного применения повышающего коэффициента из таблицы 6 к соответствующему тарифу зоны 6 из таблиц 1,2 и 3,4;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1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 / из</w:t>
      </w:r>
      <w:r>
        <w:rPr>
          <w:sz w:val="20"/>
          <w:szCs w:val="20"/>
        </w:rPr>
        <w:t xml:space="preserve"> областного пункта субъекта РФ – путем последовательного применения повышающего коэффициента 1,5 (для секретного отправления), 1,25 (для стандартного отправления) и повышающего коэффициента из таблицы 6 к соответствующему тарифу зоны 6 из таблиц 1,2 и 3,4;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 / в областной пункт страны СНГ, не входящей в ТС ЕАЭС: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1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 / из административного центра РФ – путем последовательного применения повышающего коэффициента 1,6 (для секретного отправления), 1,25 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повышающего коэффициента из таблицы 6 к соответствующему тарифу зоны 6 из таблиц 1,2 и 3,4;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1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 / из областного</w:t>
      </w:r>
      <w:r>
        <w:rPr>
          <w:sz w:val="20"/>
          <w:szCs w:val="20"/>
        </w:rPr>
        <w:t xml:space="preserve"> пункта субъекта РФ – путем последовательного применения повышающих коэффициентов 1,6, 1,5 (для секретного отправления), 1,25, 1,25 (для стандартного отправления) и повышающего коэффициента из таблицы 6 к соответствующему тарифу зоны 6 из таблиц 1,2 и 3,4.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0"/>
        <w:numPr>
          <w:ilvl w:val="1"/>
          <w:numId w:val="22"/>
        </w:numPr>
        <w:ind w:left="0" w:firstLine="709"/>
        <w:jc w:val="both"/>
        <w:spacing w:before="240" w:after="12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Из / в страны СНГ, входящие в Таможенный союз Евразийского экономического союза (далее - страны ТС ЕАЭС)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58"/>
        <w:contextualSpacing w:val="0"/>
        <w:ind w:left="0" w:firstLine="709"/>
        <w:jc w:val="both"/>
        <w:spacing w:before="12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Тариф должен определяться путем применения повышающего коэффициента из таблицы 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к тарифам зоны 6 из таблиц 1</w:t>
      </w:r>
      <w:r>
        <w:rPr>
          <w:sz w:val="20"/>
          <w:szCs w:val="20"/>
        </w:rPr>
        <w:t xml:space="preserve">,2</w:t>
      </w:r>
      <w:r>
        <w:rPr>
          <w:sz w:val="20"/>
          <w:szCs w:val="20"/>
        </w:rPr>
        <w:t xml:space="preserve"> и </w:t>
      </w:r>
      <w:r>
        <w:rPr>
          <w:sz w:val="20"/>
          <w:szCs w:val="20"/>
        </w:rPr>
        <w:t xml:space="preserve">3,4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Список стран ТС ЕАЭС представлен </w:t>
      </w:r>
      <w:r>
        <w:rPr>
          <w:sz w:val="20"/>
          <w:szCs w:val="20"/>
        </w:rPr>
        <w:t xml:space="preserve">в </w:t>
      </w:r>
      <w:r>
        <w:rPr>
          <w:sz w:val="20"/>
          <w:szCs w:val="20"/>
        </w:rPr>
        <w:t xml:space="preserve">таблице 13 настоящего приложени</w:t>
      </w:r>
      <w:r>
        <w:rPr>
          <w:sz w:val="20"/>
          <w:szCs w:val="20"/>
        </w:rPr>
        <w:t xml:space="preserve">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/>
        <w:spacing w:before="12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Таблица 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982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07"/>
        <w:gridCol w:w="4377"/>
        <w:gridCol w:w="2045"/>
      </w:tblGrid>
      <w:tr>
        <w:trPr>
          <w:trHeight w:val="183"/>
        </w:trPr>
        <w:tc>
          <w:tcPr>
            <w:tcW w:w="34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3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Город(-а)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045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Повышающий коэффициент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83"/>
        </w:trPr>
        <w:tc>
          <w:tcPr>
            <w:tcW w:w="34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Беларусь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3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Минск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045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83"/>
        </w:trPr>
        <w:tc>
          <w:tcPr>
            <w:tcW w:w="34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Кыргызская Республика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3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Бишкек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045" w:type="dxa"/>
            <w:vAlign w:val="center"/>
            <w:vMerge w:val="restart"/>
            <w:textDirection w:val="lrTb"/>
            <w:noWrap w:val="false"/>
          </w:tcPr>
          <w:p>
            <w:pPr>
              <w:pStyle w:val="958"/>
              <w:ind w:left="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1,45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83"/>
        </w:trPr>
        <w:tc>
          <w:tcPr>
            <w:tcW w:w="34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Казахстан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3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Астана (бывший Нур-Султан), Алматы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045" w:type="dxa"/>
            <w:vAlign w:val="center"/>
            <w:vMerge w:val="continue"/>
            <w:textDirection w:val="lrTb"/>
            <w:noWrap w:val="false"/>
          </w:tcPr>
          <w:p>
            <w:pPr>
              <w:pStyle w:val="958"/>
              <w:ind w:left="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83"/>
        </w:trPr>
        <w:tc>
          <w:tcPr>
            <w:tcW w:w="34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Армения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3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Ереван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045" w:type="dxa"/>
            <w:vAlign w:val="center"/>
            <w:vMerge w:val="continue"/>
            <w:textDirection w:val="lrTb"/>
            <w:noWrap w:val="false"/>
          </w:tcPr>
          <w:p>
            <w:pPr>
              <w:pStyle w:val="958"/>
              <w:ind w:left="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58"/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Тариф на сбор / доставку секретного</w:t>
      </w:r>
      <w:r>
        <w:t xml:space="preserve">/</w:t>
      </w:r>
      <w:r>
        <w:rPr>
          <w:sz w:val="20"/>
          <w:szCs w:val="20"/>
        </w:rPr>
        <w:t xml:space="preserve">стандартного</w:t>
      </w:r>
      <w:r>
        <w:rPr>
          <w:sz w:val="20"/>
          <w:szCs w:val="20"/>
        </w:rPr>
        <w:t xml:space="preserve"> отправления должен определяться: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 / в столицу страны ТС ЕАЭС: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1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 / из административного центра РФ – путем однократного применения повышающего коэффициента из таблицы 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к соответствующему тарифу зоны 6 из таблиц 1,2 и 3,4;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1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 / из областного пункта субъекта РФ – путем последовательного применения повышающего коэффициента 1,5 (для секретного отправления), 1,25 (для стандартного отправления) и повышающего коэффициента из таблицы 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к соответствующему тарифу зоны 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из таблиц 1,2 и 3,4;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 / в областной пункт страны ТС ЕАЭС: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1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 / из административного центра РФ – путем последовательного применения повышающего коэффициента 1,6 (для секретного отправления), 1,25 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повышающего коэффициента из таблицы 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 соответствующему тарифу зоны 6</w:t>
      </w:r>
      <w:r>
        <w:rPr>
          <w:sz w:val="20"/>
          <w:szCs w:val="20"/>
        </w:rPr>
        <w:t xml:space="preserve"> из таблиц 1,2 и 3,4;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1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 / из областного пункта субъекта РФ – путем последовательного применения повышающих коэффициентов 1,6, 1,5 (для секретного отправления), 1,25, 1,25 (для стандартного отправления) и повышающего коэффициента из таблицы 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к соответствующему тарифу зоны 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из таблиц 1,2 и 3,4.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09"/>
        <w:numPr>
          <w:ilvl w:val="1"/>
          <w:numId w:val="22"/>
        </w:numPr>
        <w:ind w:left="0" w:firstLine="851"/>
        <w:jc w:val="both"/>
        <w:keepNext/>
        <w:spacing w:before="240" w:after="120"/>
        <w:tabs>
          <w:tab w:val="left" w:pos="709" w:leader="none"/>
        </w:tabs>
        <w:rPr>
          <w:b/>
        </w:rPr>
        <w:outlineLvl w:val="0"/>
      </w:pPr>
      <w:r>
        <w:rPr>
          <w:b/>
        </w:rPr>
        <w:t xml:space="preserve">Международная перевозка секретных/стандартных отправлений из/</w:t>
      </w:r>
      <w:r>
        <w:rPr>
          <w:b/>
        </w:rPr>
        <w:t xml:space="preserve">в территории</w:t>
      </w:r>
      <w:r>
        <w:rPr>
          <w:b/>
        </w:rPr>
        <w:t xml:space="preserve"> РФ, ДНР, ЛНР, Херсонской, Запорожской областей  </w:t>
      </w:r>
      <w:r>
        <w:rPr>
          <w:b/>
        </w:rPr>
        <w:t xml:space="preserve"> в/из страны, не входящие в СНГ (Республика Абхазия, Республика Южная Осетия)</w:t>
      </w:r>
      <w:r>
        <w:rPr>
          <w:b/>
        </w:rPr>
      </w:r>
      <w:r>
        <w:rPr>
          <w:b/>
        </w:rPr>
      </w:r>
    </w:p>
    <w:p>
      <w:pPr>
        <w:pStyle w:val="958"/>
        <w:numPr>
          <w:ilvl w:val="2"/>
          <w:numId w:val="22"/>
        </w:numPr>
        <w:contextualSpacing w:val="0"/>
        <w:ind w:left="1214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Тариф на сбор/доставку секретных/стандартных отправлений </w:t>
      </w:r>
      <w:r>
        <w:rPr>
          <w:sz w:val="20"/>
          <w:szCs w:val="20"/>
        </w:rPr>
        <w:t xml:space="preserve">из/в территории РФ</w:t>
      </w:r>
      <w:r>
        <w:rPr>
          <w:sz w:val="20"/>
          <w:szCs w:val="20"/>
        </w:rPr>
        <w:t xml:space="preserve"> определяется путем применения повыша</w:t>
      </w:r>
      <w:r>
        <w:rPr>
          <w:sz w:val="20"/>
          <w:szCs w:val="20"/>
        </w:rPr>
        <w:t xml:space="preserve">ющего коэффициента из таблицы 7.1</w:t>
      </w:r>
      <w:r>
        <w:rPr>
          <w:sz w:val="20"/>
          <w:szCs w:val="20"/>
        </w:rPr>
        <w:t xml:space="preserve"> к тарифам зоны 6 из таблиц 1 и 3.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Таблица 7.1.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61"/>
        <w:gridCol w:w="1913"/>
        <w:gridCol w:w="2394"/>
        <w:gridCol w:w="2358"/>
        <w:gridCol w:w="1695"/>
      </w:tblGrid>
      <w:tr>
        <w:trPr>
          <w:trHeight w:val="2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3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  <w:rPr>
                <w:b/>
              </w:rPr>
            </w:pPr>
            <w:r>
              <w:rPr>
                <w:b/>
              </w:rPr>
              <w:t xml:space="preserve">Страна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  <w:rPr>
                <w:b/>
              </w:rPr>
            </w:pPr>
            <w:r>
              <w:rPr>
                <w:b/>
              </w:rPr>
              <w:t xml:space="preserve">Город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Коэффициент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Ограничение по весу, кг.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3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Секретное отправление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Стандартное отправление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3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3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Абхазия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Административный центр (г. Сухум)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2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5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1,25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4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3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Населенные пункты, находящиеся за пределами административного центра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2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1,6, 1,5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5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b/>
              </w:rPr>
            </w:pPr>
            <w:r>
              <w:t xml:space="preserve">Последовательное применение повышающего коэффициента 1,25, 1,25 и повышающего коэффициента 1,45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99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  <w:widowControl w:val="off"/>
            </w:pPr>
            <w:r/>
            <w:r/>
          </w:p>
          <w:p>
            <w:pPr>
              <w:pStyle w:val="909"/>
              <w:jc w:val="center"/>
              <w:widowControl w:val="off"/>
            </w:pPr>
            <w:r/>
            <w:r/>
          </w:p>
          <w:p>
            <w:pPr>
              <w:pStyle w:val="909"/>
              <w:jc w:val="center"/>
              <w:widowControl w:val="off"/>
            </w:pPr>
            <w:r>
              <w:t xml:space="preserve">До 20 (включительно)</w:t>
            </w:r>
            <w:r/>
          </w:p>
        </w:tc>
      </w:tr>
      <w:tr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93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Южная Осетия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Административный центр  (г. Цхинвал)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2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5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1,25 и повышающего коэффициента 1,45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99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3" w:type="dxa"/>
            <w:vAlign w:val="top"/>
            <w:vMerge w:val="continue"/>
            <w:textDirection w:val="lrTb"/>
            <w:noWrap w:val="false"/>
          </w:tcPr>
          <w:p>
            <w:pPr>
              <w:pStyle w:val="909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Населенные пункты, находящиеся за пределами административного центра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2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1,6, 1,5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5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b/>
              </w:rPr>
            </w:pPr>
            <w:r>
              <w:t xml:space="preserve">Последовательное применение повышающего коэффициента 1,25, 1,25 и повышающего коэффициента 1,45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</w:tr>
    </w:tbl>
    <w:p>
      <w:pPr>
        <w:pStyle w:val="909"/>
        <w:rPr>
          <w:sz w:val="22"/>
          <w:szCs w:val="24"/>
        </w:rPr>
      </w:pPr>
      <w:r>
        <w:rPr>
          <w:sz w:val="22"/>
          <w:szCs w:val="24"/>
        </w:rPr>
      </w:r>
      <w:r>
        <w:rPr>
          <w:sz w:val="22"/>
          <w:szCs w:val="24"/>
        </w:rPr>
      </w:r>
      <w:r>
        <w:rPr>
          <w:sz w:val="22"/>
          <w:szCs w:val="24"/>
        </w:rPr>
      </w:r>
    </w:p>
    <w:p>
      <w:pPr>
        <w:pStyle w:val="958"/>
        <w:numPr>
          <w:ilvl w:val="2"/>
          <w:numId w:val="22"/>
        </w:numPr>
        <w:contextualSpacing w:val="0"/>
        <w:ind w:left="1214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Тариф на сбор/доставку секретных/стандартных отправлений </w:t>
      </w:r>
      <w:r>
        <w:rPr>
          <w:sz w:val="20"/>
          <w:szCs w:val="20"/>
        </w:rPr>
        <w:t xml:space="preserve">из/в территории </w:t>
      </w:r>
      <w:r>
        <w:rPr>
          <w:sz w:val="20"/>
          <w:szCs w:val="20"/>
        </w:rPr>
        <w:t xml:space="preserve">ДНР, ЛНР</w:t>
      </w:r>
      <w:r>
        <w:rPr>
          <w:sz w:val="20"/>
          <w:szCs w:val="20"/>
        </w:rPr>
        <w:t xml:space="preserve"> определяется путем применения повыша</w:t>
      </w:r>
      <w:r>
        <w:rPr>
          <w:sz w:val="20"/>
          <w:szCs w:val="20"/>
        </w:rPr>
        <w:t xml:space="preserve">ющего коэффициента из таблицы 7.2</w:t>
      </w:r>
      <w:r>
        <w:rPr>
          <w:sz w:val="20"/>
          <w:szCs w:val="20"/>
        </w:rPr>
        <w:t xml:space="preserve"> к тарифам зоны 6 из таблиц 1 и 3.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Таблица 7.2.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61"/>
        <w:gridCol w:w="1913"/>
        <w:gridCol w:w="2394"/>
        <w:gridCol w:w="2358"/>
        <w:gridCol w:w="1695"/>
      </w:tblGrid>
      <w:tr>
        <w:trPr>
          <w:trHeight w:val="2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1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  <w:rPr>
                <w:b/>
              </w:rPr>
            </w:pPr>
            <w:r>
              <w:rPr>
                <w:b/>
              </w:rPr>
              <w:t xml:space="preserve">Страна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3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  <w:rPr>
                <w:b/>
              </w:rPr>
            </w:pPr>
            <w:r>
              <w:rPr>
                <w:b/>
              </w:rPr>
              <w:t xml:space="preserve">Город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5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Коэффициент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Ограничение по весу, кг.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1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3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4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Секретное отправление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8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Стандартное отправление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3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1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Абхазия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3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Административный центр (г. Сухум)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4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</w:t>
            </w:r>
            <w:r>
              <w:t xml:space="preserve">, 1,8</w:t>
            </w:r>
            <w:r>
              <w:t xml:space="preserve">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8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1,25</w:t>
            </w:r>
            <w:r>
              <w:t xml:space="preserve">, 1,8</w:t>
            </w:r>
            <w:r>
              <w:t xml:space="preserve">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4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1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3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Населенные пункты, находящиеся за пределами административного центра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4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1,6, 1,5</w:t>
            </w:r>
            <w:r>
              <w:t xml:space="preserve">, 1,8</w:t>
            </w:r>
            <w:r>
              <w:t xml:space="preserve">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8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b/>
              </w:rPr>
            </w:pPr>
            <w:r>
              <w:t xml:space="preserve">Последовательное применение повы</w:t>
            </w:r>
            <w:r>
              <w:t xml:space="preserve">шающего коэффициента 1,25, 1,25, 1,8 </w:t>
            </w:r>
            <w:r>
              <w:t xml:space="preserve">и повышающего коэффициента 1,45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95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  <w:widowControl w:val="off"/>
            </w:pPr>
            <w:r/>
            <w:r/>
          </w:p>
          <w:p>
            <w:pPr>
              <w:pStyle w:val="909"/>
              <w:jc w:val="center"/>
              <w:widowControl w:val="off"/>
            </w:pPr>
            <w:r/>
            <w:r/>
          </w:p>
          <w:p>
            <w:pPr>
              <w:pStyle w:val="909"/>
              <w:jc w:val="center"/>
              <w:widowControl w:val="off"/>
            </w:pPr>
            <w:r>
              <w:t xml:space="preserve">До 20 (включительно)</w:t>
            </w:r>
            <w:r/>
          </w:p>
        </w:tc>
      </w:tr>
      <w:tr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61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Южная Осетия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3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Административный центр  (г. Цхинвал)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4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</w:t>
            </w:r>
            <w:r>
              <w:t xml:space="preserve">, 1,8</w:t>
            </w:r>
            <w:r>
              <w:t xml:space="preserve">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8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1,25</w:t>
            </w:r>
            <w:r>
              <w:t xml:space="preserve">, 1,8</w:t>
            </w:r>
            <w:r>
              <w:t xml:space="preserve"> и повышающего коэффициента 1,45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95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61" w:type="dxa"/>
            <w:vAlign w:val="top"/>
            <w:vMerge w:val="continue"/>
            <w:textDirection w:val="lrTb"/>
            <w:noWrap w:val="false"/>
          </w:tcPr>
          <w:p>
            <w:pPr>
              <w:pStyle w:val="909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13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Населенные пункты, находящиеся за пределами административного центра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4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1,6, 1,5</w:t>
            </w:r>
            <w:r>
              <w:t xml:space="preserve">, 1,8</w:t>
            </w:r>
            <w:r>
              <w:t xml:space="preserve">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58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b/>
              </w:rPr>
            </w:pPr>
            <w:r>
              <w:t xml:space="preserve">Последовательное применение повышающего коэффициента 1,25, 1,25</w:t>
            </w:r>
            <w:r>
              <w:t xml:space="preserve">, 1,8</w:t>
            </w:r>
            <w:r>
              <w:t xml:space="preserve"> и повышающего коэффициента 1,45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5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</w:tr>
    </w:tbl>
    <w:p>
      <w:pPr>
        <w:pStyle w:val="958"/>
        <w:numPr>
          <w:ilvl w:val="2"/>
          <w:numId w:val="22"/>
        </w:numPr>
        <w:contextualSpacing w:val="0"/>
        <w:ind w:left="1214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Тариф на сбор/доставку секретных/стандартных отправлений </w:t>
      </w:r>
      <w:r>
        <w:rPr>
          <w:sz w:val="20"/>
          <w:szCs w:val="20"/>
        </w:rPr>
        <w:t xml:space="preserve">из/в территории </w:t>
      </w:r>
      <w:r>
        <w:rPr>
          <w:sz w:val="20"/>
        </w:rPr>
        <w:t xml:space="preserve">Херсонской, Запорожской областей   </w:t>
      </w:r>
      <w:r>
        <w:rPr>
          <w:sz w:val="18"/>
          <w:szCs w:val="20"/>
        </w:rPr>
        <w:t xml:space="preserve">определяется путем применения повышающего коэф</w:t>
      </w:r>
      <w:r>
        <w:rPr>
          <w:sz w:val="20"/>
          <w:szCs w:val="20"/>
        </w:rPr>
        <w:t xml:space="preserve">фициента из таблицы 7.3</w:t>
      </w:r>
      <w:r>
        <w:rPr>
          <w:sz w:val="20"/>
          <w:szCs w:val="20"/>
        </w:rPr>
        <w:t xml:space="preserve"> к тарифам зоны 6 из таблиц 1 и 3.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Таблица 7.3.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61"/>
        <w:gridCol w:w="1913"/>
        <w:gridCol w:w="2394"/>
        <w:gridCol w:w="2358"/>
        <w:gridCol w:w="1695"/>
      </w:tblGrid>
      <w:tr>
        <w:trPr>
          <w:trHeight w:val="2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3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  <w:rPr>
                <w:b/>
              </w:rPr>
            </w:pPr>
            <w:r>
              <w:rPr>
                <w:b/>
              </w:rPr>
              <w:t xml:space="preserve">Страна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  <w:rPr>
                <w:b/>
              </w:rPr>
            </w:pPr>
            <w:r>
              <w:rPr>
                <w:b/>
              </w:rPr>
              <w:t xml:space="preserve">Город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Коэффициент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Ограничение по весу, кг.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3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Секретное отправление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</w:rPr>
            </w:pPr>
            <w:r>
              <w:rPr>
                <w:b/>
              </w:rPr>
              <w:t xml:space="preserve">Стандартное отправление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38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3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Абхазия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Административный центр (г. Сухум)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2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</w:t>
            </w:r>
            <w:r>
              <w:t xml:space="preserve">, 2,0</w:t>
            </w:r>
            <w:r>
              <w:t xml:space="preserve">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5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1,25</w:t>
            </w:r>
            <w:r>
              <w:t xml:space="preserve">, 2,0 </w:t>
            </w:r>
            <w:r>
              <w:t xml:space="preserve">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4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3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Населенные пункты, находящиеся за пределами административного центра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2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1,6, 1,5</w:t>
            </w:r>
            <w:r>
              <w:t xml:space="preserve">, 2,0 </w:t>
            </w:r>
            <w:r>
              <w:t xml:space="preserve">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5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b/>
              </w:rPr>
            </w:pPr>
            <w:r>
              <w:t xml:space="preserve">Последовательное применение повы</w:t>
            </w:r>
            <w:r>
              <w:t xml:space="preserve">шающего коэффициента 1,25, 1,25, 2,0 </w:t>
            </w:r>
            <w:r>
              <w:t xml:space="preserve">и повышающего коэффициента 1,45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99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  <w:widowControl w:val="off"/>
            </w:pPr>
            <w:r/>
            <w:r/>
          </w:p>
          <w:p>
            <w:pPr>
              <w:pStyle w:val="909"/>
              <w:jc w:val="center"/>
              <w:widowControl w:val="off"/>
            </w:pPr>
            <w:r/>
            <w:r/>
          </w:p>
          <w:p>
            <w:pPr>
              <w:pStyle w:val="909"/>
              <w:jc w:val="center"/>
              <w:widowControl w:val="off"/>
            </w:pPr>
            <w:r>
              <w:t xml:space="preserve">До 20 (включительно)</w:t>
            </w:r>
            <w:r/>
          </w:p>
        </w:tc>
      </w:tr>
      <w:tr>
        <w:trPr>
          <w:trHeight w:val="23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093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Южная Осетия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Административный центр  (г. Цхинвал)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2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</w:t>
            </w:r>
            <w:r>
              <w:t xml:space="preserve">, 2,0</w:t>
            </w:r>
            <w:r>
              <w:t xml:space="preserve">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5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1,25</w:t>
            </w:r>
            <w:r>
              <w:t xml:space="preserve">, 2,0</w:t>
            </w:r>
            <w:r>
              <w:t xml:space="preserve"> и повышающего коэффициента 1,45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699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93" w:type="dxa"/>
            <w:vAlign w:val="top"/>
            <w:vMerge w:val="continue"/>
            <w:textDirection w:val="lrTb"/>
            <w:noWrap w:val="false"/>
          </w:tcPr>
          <w:p>
            <w:pPr>
              <w:pStyle w:val="909"/>
              <w:widowControl w:val="off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</w:pPr>
            <w:r>
              <w:t xml:space="preserve">Населенные пункты, находящиеся за пределами административного центра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2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</w:pPr>
            <w:r>
              <w:t xml:space="preserve">Последовательное применение повышающего коэффициента 1,6, 1,5</w:t>
            </w:r>
            <w:r>
              <w:t xml:space="preserve">, 2,0</w:t>
            </w:r>
            <w:r>
              <w:t xml:space="preserve"> и повышающего коэффициента 1,45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75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widowControl w:val="off"/>
              <w:rPr>
                <w:b/>
              </w:rPr>
            </w:pPr>
            <w:r>
              <w:t xml:space="preserve">Последовательное применение повышающего коэффициента 1,25, 1,25</w:t>
            </w:r>
            <w:r>
              <w:t xml:space="preserve">, 2,0</w:t>
            </w:r>
            <w:r>
              <w:t xml:space="preserve"> и повышающего коэффициента 1,45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99" w:type="dxa"/>
            <w:vAlign w:val="center"/>
            <w:vMerge w:val="continue"/>
            <w:textDirection w:val="lrTb"/>
            <w:noWrap w:val="false"/>
          </w:tcPr>
          <w:p>
            <w:pPr>
              <w:pStyle w:val="909"/>
            </w:pPr>
            <w:r/>
            <w:r/>
          </w:p>
        </w:tc>
      </w:tr>
    </w:tbl>
    <w:p>
      <w:pPr>
        <w:pStyle w:val="909"/>
        <w:rPr>
          <w:sz w:val="22"/>
          <w:szCs w:val="24"/>
        </w:rPr>
      </w:pPr>
      <w:r>
        <w:rPr>
          <w:sz w:val="22"/>
          <w:szCs w:val="24"/>
        </w:rPr>
      </w:r>
      <w:r>
        <w:rPr>
          <w:sz w:val="22"/>
          <w:szCs w:val="24"/>
        </w:rPr>
      </w:r>
      <w:r>
        <w:rPr>
          <w:sz w:val="22"/>
          <w:szCs w:val="24"/>
        </w:rPr>
      </w:r>
    </w:p>
    <w:p>
      <w:pPr>
        <w:pStyle w:val="910"/>
        <w:numPr>
          <w:ilvl w:val="1"/>
          <w:numId w:val="22"/>
        </w:numPr>
        <w:ind w:left="0" w:firstLine="567"/>
        <w:jc w:val="both"/>
        <w:spacing w:before="240" w:after="12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Тарифы на сбор/ доставку стандартных отправлений с вложением в виде драгоценных металлов, драгоценных камней и изделий из них, ювелирных изделий, изделий ювелирной и металлической галантереи плановыми маршрутами из/ в страны ТС ЕАЭС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09"/>
        <w:spacing w:before="120" w:line="276" w:lineRule="auto"/>
      </w:pPr>
      <w:r>
        <w:t xml:space="preserve">Таблица </w:t>
      </w:r>
      <w:r>
        <w:t xml:space="preserve">7.4</w:t>
      </w:r>
      <w:r/>
    </w:p>
    <w:p>
      <w:pPr>
        <w:pStyle w:val="909"/>
      </w:pPr>
      <w:r/>
      <w:r/>
    </w:p>
    <w:tbl>
      <w:tblPr>
        <w:tblW w:w="1049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2"/>
        <w:gridCol w:w="2410"/>
        <w:gridCol w:w="709"/>
        <w:gridCol w:w="709"/>
        <w:gridCol w:w="992"/>
        <w:gridCol w:w="709"/>
        <w:gridCol w:w="708"/>
        <w:gridCol w:w="709"/>
        <w:gridCol w:w="851"/>
        <w:gridCol w:w="708"/>
        <w:gridCol w:w="851"/>
        <w:gridCol w:w="743"/>
      </w:tblGrid>
      <w:tr>
        <w:trPr>
          <w:trHeight w:val="1052" w:hRule="exact"/>
        </w:trPr>
        <w:tc>
          <w:tcPr>
            <w:tcW w:w="392" w:type="dxa"/>
            <w:vAlign w:val="top"/>
            <w:textDirection w:val="btLr"/>
            <w:noWrap w:val="false"/>
          </w:tcPr>
          <w:p>
            <w:pPr>
              <w:pStyle w:val="909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Республика</w:t>
            </w:r>
            <w:r>
              <w:rPr>
                <w:b/>
                <w:bCs/>
                <w:sz w:val="16"/>
                <w:szCs w:val="16"/>
              </w:rPr>
            </w: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pStyle w:val="909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Город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 0,5 кг, руб.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 1 кг, руб.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до 2 кг включи-тельно, руб.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+ 1 кг свыше, руб.</w:t>
            </w:r>
            <w:r>
              <w:rPr>
                <w:b/>
                <w:sz w:val="16"/>
                <w:szCs w:val="18"/>
              </w:rPr>
            </w:r>
            <w:r>
              <w:rPr>
                <w:b/>
                <w:sz w:val="16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 кг, руб.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+ 1 кг свыше, руб.</w:t>
            </w:r>
            <w:r>
              <w:rPr>
                <w:b/>
                <w:sz w:val="16"/>
                <w:szCs w:val="18"/>
              </w:rPr>
            </w:r>
            <w:r>
              <w:rPr>
                <w:b/>
                <w:sz w:val="16"/>
                <w:szCs w:val="18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 кг, руб.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+ 1 кг свыше, руб.</w:t>
            </w:r>
            <w:r>
              <w:rPr>
                <w:b/>
                <w:sz w:val="16"/>
                <w:szCs w:val="18"/>
              </w:rPr>
            </w:r>
            <w:r>
              <w:rPr>
                <w:b/>
                <w:sz w:val="16"/>
                <w:szCs w:val="18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100 кг, руб.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  <w:tc>
          <w:tcPr>
            <w:tcW w:w="743" w:type="dxa"/>
            <w:vAlign w:val="center"/>
            <w:textDirection w:val="lrTb"/>
            <w:noWrap/>
          </w:tcPr>
          <w:p>
            <w:pPr>
              <w:pStyle w:val="909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+ 1 кг свыше, руб.</w:t>
            </w:r>
            <w:r>
              <w:rPr>
                <w:b/>
                <w:sz w:val="16"/>
                <w:szCs w:val="18"/>
              </w:rPr>
            </w:r>
            <w:r>
              <w:rPr>
                <w:b/>
                <w:sz w:val="16"/>
                <w:szCs w:val="18"/>
              </w:rPr>
            </w:r>
          </w:p>
        </w:tc>
      </w:tr>
      <w:tr>
        <w:trPr>
          <w:cantSplit/>
          <w:trHeight w:val="748" w:hRule="exact"/>
        </w:trPr>
        <w:tc>
          <w:tcPr>
            <w:tcW w:w="392" w:type="dxa"/>
            <w:vAlign w:val="top"/>
            <w:vMerge w:val="restart"/>
            <w:textDirection w:val="btLr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Беларусь (РБ)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pStyle w:val="909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Минск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2 660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2 817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3 317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428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4 600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366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6 425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345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37 402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43" w:type="dxa"/>
            <w:vAlign w:val="center"/>
            <w:textDirection w:val="lrTb"/>
            <w:noWrap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251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907" w:hRule="exact"/>
        </w:trPr>
        <w:tc>
          <w:tcPr>
            <w:tcW w:w="392" w:type="dxa"/>
            <w:vAlign w:val="top"/>
            <w:vMerge w:val="continue"/>
            <w:textDirection w:val="btLr"/>
            <w:noWrap w:val="false"/>
          </w:tcPr>
          <w:p>
            <w:pPr>
              <w:pStyle w:val="909"/>
              <w:ind w:firstLine="709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pStyle w:val="909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Другой населенный пункт РБ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3 004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3 203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3 710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521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5 272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454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7 540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428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46 027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43" w:type="dxa"/>
            <w:vAlign w:val="center"/>
            <w:textDirection w:val="lrTb"/>
            <w:noWrap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308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cantSplit/>
          <w:trHeight w:val="907" w:hRule="exact"/>
        </w:trPr>
        <w:tc>
          <w:tcPr>
            <w:tcW w:w="392" w:type="dxa"/>
            <w:vAlign w:val="top"/>
            <w:vMerge w:val="restart"/>
            <w:textDirection w:val="btLr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Казахстан (РК)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pStyle w:val="909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Алматы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2 947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3 140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3 938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553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5 596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491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8 047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43" w:type="dxa"/>
            <w:vAlign w:val="center"/>
            <w:textDirection w:val="lrTb"/>
            <w:noWrap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907" w:hRule="exact"/>
        </w:trPr>
        <w:tc>
          <w:tcPr>
            <w:tcW w:w="392" w:type="dxa"/>
            <w:vAlign w:val="top"/>
            <w:vMerge w:val="continue"/>
            <w:textDirection w:val="btLr"/>
            <w:noWrap w:val="false"/>
          </w:tcPr>
          <w:p>
            <w:pPr>
              <w:pStyle w:val="909"/>
              <w:ind w:firstLine="709"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pStyle w:val="909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Другой населенный пункт РК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3 364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3 599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4 350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647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6 290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616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9 367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43" w:type="dxa"/>
            <w:vAlign w:val="center"/>
            <w:textDirection w:val="lrTb"/>
            <w:noWrap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907" w:hRule="exact"/>
        </w:trPr>
        <w:tc>
          <w:tcPr>
            <w:tcW w:w="392" w:type="dxa"/>
            <w:vAlign w:val="top"/>
            <w:vMerge w:val="restart"/>
            <w:textDirection w:val="btLr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Армения (РА)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pStyle w:val="909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Ереван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3 166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3 359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3 953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564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5 643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43" w:type="dxa"/>
            <w:vAlign w:val="center"/>
            <w:textDirection w:val="lrTb"/>
            <w:noWrap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907" w:hRule="exact"/>
        </w:trPr>
        <w:tc>
          <w:tcPr>
            <w:tcW w:w="392" w:type="dxa"/>
            <w:vAlign w:val="top"/>
            <w:vMerge w:val="continue"/>
            <w:textDirection w:val="btLr"/>
            <w:noWrap w:val="false"/>
          </w:tcPr>
          <w:p>
            <w:pPr>
              <w:pStyle w:val="909"/>
              <w:ind w:firstLine="709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pStyle w:val="909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Другой населенный пункт РА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3 714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3 781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4 381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668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6 384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43" w:type="dxa"/>
            <w:vAlign w:val="center"/>
            <w:textDirection w:val="lrTb"/>
            <w:noWrap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907" w:hRule="exact"/>
        </w:trPr>
        <w:tc>
          <w:tcPr>
            <w:tcW w:w="392" w:type="dxa"/>
            <w:vAlign w:val="top"/>
            <w:vMerge w:val="restart"/>
            <w:textDirection w:val="btLr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Киргизия (КР)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pStyle w:val="909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Бишкек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3 270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3 484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4 037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736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6 243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705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9 763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43" w:type="dxa"/>
            <w:vAlign w:val="center"/>
            <w:textDirection w:val="lrTb"/>
            <w:noWrap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907" w:hRule="exact"/>
        </w:trPr>
        <w:tc>
          <w:tcPr>
            <w:tcW w:w="392" w:type="dxa"/>
            <w:vAlign w:val="top"/>
            <w:vMerge w:val="continue"/>
            <w:textDirection w:val="btLr"/>
            <w:noWrap w:val="false"/>
          </w:tcPr>
          <w:p>
            <w:pPr>
              <w:pStyle w:val="909"/>
              <w:ind w:firstLine="709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2410" w:type="dxa"/>
            <w:vAlign w:val="center"/>
            <w:textDirection w:val="lrTb"/>
            <w:noWrap w:val="false"/>
          </w:tcPr>
          <w:p>
            <w:pPr>
              <w:pStyle w:val="909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Другой населенный пункт КР </w:t>
            </w:r>
            <w:r>
              <w:rPr>
                <w:bCs/>
                <w:sz w:val="22"/>
              </w:rPr>
            </w:r>
            <w:r>
              <w:rPr>
                <w:bCs/>
                <w:sz w:val="22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3 901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4 246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4 887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809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7 312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788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11 249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0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743" w:type="dxa"/>
            <w:vAlign w:val="center"/>
            <w:textDirection w:val="lrTb"/>
            <w:noWrap/>
          </w:tcPr>
          <w:p>
            <w:pPr>
              <w:pStyle w:val="909"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910"/>
        <w:numPr>
          <w:ilvl w:val="1"/>
          <w:numId w:val="22"/>
        </w:numPr>
        <w:ind w:left="0" w:firstLine="567"/>
        <w:jc w:val="both"/>
        <w:spacing w:before="240" w:after="12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 xml:space="preserve">Для стандартных отправлений с оценочной стоимостью применяется дополнительный сбор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09"/>
        <w:spacing w:before="120" w:line="276" w:lineRule="auto"/>
      </w:pPr>
      <w:r>
        <w:t xml:space="preserve">Таблица </w:t>
      </w:r>
      <w:r>
        <w:t xml:space="preserve">7.5</w:t>
      </w:r>
      <w:r/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35"/>
        <w:gridCol w:w="1834"/>
        <w:gridCol w:w="900"/>
        <w:gridCol w:w="371"/>
        <w:gridCol w:w="890"/>
        <w:gridCol w:w="2778"/>
        <w:gridCol w:w="1813"/>
      </w:tblGrid>
      <w:tr>
        <w:trPr>
          <w:trHeight w:val="397"/>
        </w:trPr>
        <w:tc>
          <w:tcPr>
            <w:gridSpan w:val="2"/>
            <w:tcW w:w="176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Оценочная стоимость, руб.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W w:w="3240" w:type="pct"/>
            <w:vAlign w:val="center"/>
            <w:vMerge w:val="restart"/>
            <w:textDirection w:val="lrTb"/>
            <w:noWrap w:val="false"/>
          </w:tcPr>
          <w:p>
            <w:pPr>
              <w:pStyle w:val="909"/>
              <w:spacing w:line="276" w:lineRule="auto"/>
              <w:rPr>
                <w:b/>
              </w:rPr>
            </w:pPr>
            <w:r>
              <w:rPr>
                <w:b/>
              </w:rPr>
              <w:t xml:space="preserve">Дополнительный сбор, руб.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50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От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b/>
              </w:rPr>
            </w:pPr>
            <w:r>
              <w:rPr>
                <w:b/>
              </w:rPr>
              <w:t xml:space="preserve">До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5"/>
            <w:tcW w:w="3240" w:type="pct"/>
            <w:vAlign w:val="center"/>
            <w:vMerge w:val="continue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50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/>
            <w:r/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14 999</w:t>
            </w:r>
            <w:r/>
          </w:p>
        </w:tc>
        <w:tc>
          <w:tcPr>
            <w:tcBorders>
              <w:right w:val="none" w:color="000000" w:sz="4" w:space="0"/>
            </w:tcBorders>
            <w:tcW w:w="432" w:type="pct"/>
            <w:vAlign w:val="top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1 641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0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15 000</w:t>
            </w:r>
            <w:r/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24 999</w:t>
            </w:r>
            <w:r/>
          </w:p>
        </w:tc>
        <w:tc>
          <w:tcPr>
            <w:tcBorders>
              <w:right w:val="none" w:color="000000" w:sz="4" w:space="0"/>
            </w:tcBorders>
            <w:tcW w:w="432" w:type="pct"/>
            <w:vAlign w:val="top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2 187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64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25 000</w:t>
            </w:r>
            <w:r/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49 999</w:t>
            </w:r>
            <w:r/>
          </w:p>
        </w:tc>
        <w:tc>
          <w:tcPr>
            <w:tcBorders>
              <w:right w:val="none" w:color="000000" w:sz="4" w:space="0"/>
            </w:tcBorders>
            <w:tcW w:w="432" w:type="pct"/>
            <w:vAlign w:val="top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3 281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2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50 000</w:t>
            </w:r>
            <w:r/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149 999</w:t>
            </w:r>
            <w:r/>
          </w:p>
        </w:tc>
        <w:tc>
          <w:tcPr>
            <w:tcBorders>
              <w:right w:val="none" w:color="000000" w:sz="4" w:space="0"/>
            </w:tcBorders>
            <w:tcW w:w="432" w:type="pct"/>
            <w:vAlign w:val="top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8 840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1,0%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с суммы, превышающей</w:t>
            </w:r>
            <w:r/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50 000 руб.</w:t>
            </w:r>
            <w:r/>
          </w:p>
        </w:tc>
      </w:tr>
      <w:tr>
        <w:trPr>
          <w:trHeight w:val="224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150 000</w:t>
            </w:r>
            <w:r/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499 999</w:t>
            </w:r>
            <w:r/>
          </w:p>
        </w:tc>
        <w:tc>
          <w:tcPr>
            <w:tcBorders>
              <w:right w:val="none" w:color="000000" w:sz="4" w:space="0"/>
            </w:tcBorders>
            <w:tcW w:w="432" w:type="pct"/>
            <w:vAlign w:val="top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10 956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0,5%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с суммы, превышающей</w:t>
            </w:r>
            <w:r/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150 000 руб.</w:t>
            </w:r>
            <w:r/>
          </w:p>
        </w:tc>
      </w:tr>
      <w:tr>
        <w:trPr>
          <w:trHeight w:val="232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500 000</w:t>
            </w:r>
            <w:r/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999 999</w:t>
            </w:r>
            <w:r/>
          </w:p>
        </w:tc>
        <w:tc>
          <w:tcPr>
            <w:tcBorders>
              <w:right w:val="none" w:color="000000" w:sz="4" w:space="0"/>
            </w:tcBorders>
            <w:tcW w:w="432" w:type="pct"/>
            <w:vAlign w:val="top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18 636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0,3%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с суммы, превышающей</w:t>
            </w:r>
            <w:r/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500 000 руб.</w:t>
            </w:r>
            <w:r/>
          </w:p>
        </w:tc>
      </w:tr>
      <w:tr>
        <w:trPr>
          <w:trHeight w:val="325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1 000 000</w:t>
            </w:r>
            <w:r/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1 999 999</w:t>
            </w:r>
            <w:r/>
          </w:p>
        </w:tc>
        <w:tc>
          <w:tcPr>
            <w:tcBorders>
              <w:right w:val="none" w:color="000000" w:sz="4" w:space="0"/>
            </w:tcBorders>
            <w:tcW w:w="432" w:type="pct"/>
            <w:vAlign w:val="top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21 465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0,2%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с суммы, превышающей</w:t>
            </w:r>
            <w:r/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1 000 000 руб.</w:t>
            </w:r>
            <w:r/>
          </w:p>
        </w:tc>
      </w:tr>
      <w:tr>
        <w:trPr>
          <w:trHeight w:val="263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2 000 000</w:t>
            </w:r>
            <w:r/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4 999 999</w:t>
            </w:r>
            <w:r/>
          </w:p>
        </w:tc>
        <w:tc>
          <w:tcPr>
            <w:tcBorders>
              <w:right w:val="none" w:color="000000" w:sz="4" w:space="0"/>
            </w:tcBorders>
            <w:tcW w:w="432" w:type="pct"/>
            <w:vAlign w:val="top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26 882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0,15%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с суммы, превышающей</w:t>
            </w:r>
            <w:r/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2 000 000 руб.</w:t>
            </w:r>
            <w:r/>
          </w:p>
        </w:tc>
      </w:tr>
      <w:tr>
        <w:trPr>
          <w:trHeight w:val="269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5 000 000</w:t>
            </w:r>
            <w:r/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9 999 999</w:t>
            </w:r>
            <w:r/>
          </w:p>
        </w:tc>
        <w:tc>
          <w:tcPr>
            <w:tcBorders>
              <w:right w:val="none" w:color="000000" w:sz="4" w:space="0"/>
            </w:tcBorders>
            <w:tcW w:w="432" w:type="pct"/>
            <w:vAlign w:val="top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35 580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0,11%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с суммы, превышающей</w:t>
            </w:r>
            <w:r/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5 000 000 руб.</w:t>
            </w:r>
            <w:r/>
          </w:p>
        </w:tc>
      </w:tr>
      <w:tr>
        <w:trPr>
          <w:trHeight w:val="278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10 000 000</w:t>
            </w:r>
            <w:r/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19 999 999</w:t>
            </w:r>
            <w:r/>
          </w:p>
        </w:tc>
        <w:tc>
          <w:tcPr>
            <w:tcBorders>
              <w:right w:val="none" w:color="000000" w:sz="4" w:space="0"/>
            </w:tcBorders>
            <w:tcW w:w="432" w:type="pct"/>
            <w:vAlign w:val="top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41 080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0,10%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с суммы, превышающей</w:t>
            </w:r>
            <w:r/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10 000 000 руб.</w:t>
            </w:r>
            <w:r/>
          </w:p>
        </w:tc>
      </w:tr>
      <w:tr>
        <w:trPr>
          <w:trHeight w:val="255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20 000 000</w:t>
            </w:r>
            <w:r/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и выше</w:t>
            </w:r>
            <w:r/>
          </w:p>
        </w:tc>
        <w:tc>
          <w:tcPr>
            <w:tcBorders>
              <w:right w:val="none" w:color="000000" w:sz="4" w:space="0"/>
            </w:tcBorders>
            <w:tcW w:w="432" w:type="pct"/>
            <w:vAlign w:val="top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51 080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</w:pPr>
            <w:r>
              <w:t xml:space="preserve">+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0,08%</w:t>
            </w:r>
            <w:r/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</w:pPr>
            <w:r>
              <w:t xml:space="preserve">с суммы, превышающей</w:t>
            </w:r>
            <w:r/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</w:pPr>
            <w:r>
              <w:t xml:space="preserve">20 000 000 руб.</w:t>
            </w:r>
            <w:r/>
          </w:p>
        </w:tc>
      </w:tr>
    </w:tbl>
    <w:p>
      <w:pPr>
        <w:pStyle w:val="909"/>
        <w:ind w:firstLine="567"/>
        <w:jc w:val="both"/>
        <w:spacing w:before="12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* При сборе/ доставке станд</w:t>
      </w:r>
      <w:r>
        <w:rPr>
          <w:i/>
          <w:sz w:val="16"/>
          <w:szCs w:val="16"/>
        </w:rPr>
        <w:t xml:space="preserve">артных отправлений с вложением в виде драгоценных металлов, драгоценных камней и изделий из них, ювелирных изделий, изделий ювелирной и металлической галантереи с оценочной стоимостью до 49 999 руб. следующих плановым маршрутом из/ в Казахстан (РК) применя</w:t>
      </w:r>
      <w:r>
        <w:rPr>
          <w:i/>
          <w:sz w:val="16"/>
          <w:szCs w:val="16"/>
        </w:rPr>
        <w:t xml:space="preserve">ется</w:t>
      </w:r>
      <w:r>
        <w:rPr>
          <w:i/>
          <w:sz w:val="16"/>
          <w:szCs w:val="16"/>
        </w:rPr>
        <w:t xml:space="preserve"> дополнительный сбор в размере   </w:t>
      </w:r>
      <w:r>
        <w:rPr>
          <w:i/>
          <w:sz w:val="16"/>
          <w:szCs w:val="16"/>
        </w:rPr>
        <w:t xml:space="preserve">7 249</w:t>
      </w:r>
      <w:r>
        <w:rPr>
          <w:i/>
          <w:sz w:val="16"/>
          <w:szCs w:val="16"/>
        </w:rPr>
        <w:t xml:space="preserve"> руб.</w:t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910"/>
        <w:numPr>
          <w:ilvl w:val="1"/>
          <w:numId w:val="22"/>
        </w:numPr>
        <w:ind w:left="0" w:firstLine="567"/>
        <w:jc w:val="both"/>
        <w:spacing w:before="240" w:after="12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Применение тарифов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09"/>
        <w:ind w:firstLine="709"/>
        <w:jc w:val="both"/>
        <w:spacing w:before="120"/>
      </w:pPr>
      <w:r>
        <w:t xml:space="preserve">Тарифы, приведенные в </w:t>
      </w:r>
      <w:r>
        <w:t xml:space="preserve">пункте 7, ук</w:t>
      </w:r>
      <w:r>
        <w:t xml:space="preserve">азаны в рублях без учета НДС.</w:t>
      </w:r>
      <w:r/>
    </w:p>
    <w:p>
      <w:pPr>
        <w:pStyle w:val="909"/>
        <w:ind w:firstLine="709"/>
        <w:jc w:val="both"/>
        <w:spacing w:before="120"/>
      </w:pPr>
      <w:r>
        <w:t xml:space="preserve">Стоимость услуг по каждому </w:t>
      </w:r>
      <w:r>
        <w:t xml:space="preserve">секретн</w:t>
      </w:r>
      <w:r>
        <w:t xml:space="preserve">ому</w:t>
      </w:r>
      <w:r>
        <w:t xml:space="preserve">/стандартн</w:t>
      </w:r>
      <w:r>
        <w:t xml:space="preserve">ому</w:t>
      </w:r>
      <w:r>
        <w:t xml:space="preserve"> отправлению рассчитывается отдельно.</w:t>
      </w:r>
      <w:r/>
    </w:p>
    <w:p>
      <w:pPr>
        <w:pStyle w:val="909"/>
        <w:ind w:firstLine="709"/>
        <w:jc w:val="both"/>
        <w:spacing w:before="120"/>
      </w:pPr>
      <w:r>
        <w:t xml:space="preserve">Стоимость услуг по сбору/ доставке стандартного отправления с оценочной стоимостью определяется как сумма следующих тарифов:</w:t>
      </w:r>
      <w:r/>
    </w:p>
    <w:p>
      <w:pPr>
        <w:pStyle w:val="958"/>
        <w:contextualSpacing w:val="0"/>
        <w:ind w:left="0"/>
        <w:jc w:val="both"/>
        <w:spacing w:before="6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ab/>
        <w:tab/>
        <w:t xml:space="preserve">- </w:t>
      </w:r>
      <w:r>
        <w:rPr>
          <w:sz w:val="20"/>
          <w:szCs w:val="20"/>
        </w:rPr>
        <w:t xml:space="preserve">Тариф из таблицы 7.1, основанный на весе стандартного отправления;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/>
        <w:jc w:val="both"/>
        <w:spacing w:before="6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ab/>
        <w:tab/>
        <w:t xml:space="preserve">- </w:t>
      </w:r>
      <w:r>
        <w:rPr>
          <w:sz w:val="20"/>
          <w:szCs w:val="20"/>
        </w:rPr>
        <w:t xml:space="preserve">Тариф из таблицы 7.2 за оценочную стоимость стандартного отправления.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09"/>
        <w:ind w:firstLine="709"/>
        <w:jc w:val="both"/>
        <w:spacing w:before="120"/>
      </w:pPr>
      <w:r>
        <w:t xml:space="preserve">Вес </w:t>
      </w:r>
      <w:r>
        <w:t xml:space="preserve">секретного</w:t>
      </w:r>
      <w:r>
        <w:t xml:space="preserve">/стандартн</w:t>
      </w:r>
      <w:r>
        <w:t xml:space="preserve">ого</w:t>
      </w:r>
      <w:r>
        <w:t xml:space="preserve"> отправления, превышающий указанный в таблице 7.1 на любую долю килограмма, тарифицируется как целый килограмм.</w:t>
      </w:r>
      <w:r/>
    </w:p>
    <w:p>
      <w:pPr>
        <w:pStyle w:val="909"/>
        <w:ind w:firstLine="709"/>
        <w:jc w:val="both"/>
        <w:spacing w:before="120"/>
      </w:pPr>
      <w:r>
        <w:t xml:space="preserve">Для </w:t>
      </w:r>
      <w:r>
        <w:t xml:space="preserve">секретных/стандартных</w:t>
      </w:r>
      <w:r>
        <w:t xml:space="preserve"> отправлений, объемный вес которых превышает физический, тариф определяется по объемному весу.</w:t>
      </w:r>
      <w:r/>
    </w:p>
    <w:p>
      <w:pPr>
        <w:pStyle w:val="909"/>
        <w:ind w:firstLine="709"/>
        <w:jc w:val="both"/>
        <w:spacing w:before="120"/>
      </w:pPr>
      <w:r>
        <w:t xml:space="preserve">Дополнительная плата </w:t>
      </w:r>
      <w:r>
        <w:rPr>
          <w:b/>
        </w:rPr>
        <w:t xml:space="preserve">не применяется</w:t>
      </w:r>
      <w:r>
        <w:t xml:space="preserve"> за доставку сопроводительного пакета с документами к стандартному отправлению, содержащему вложения в виде ювелирных изделий, драгоценных камней и изделий из них.</w:t>
      </w:r>
      <w:r/>
    </w:p>
    <w:p>
      <w:pPr>
        <w:pStyle w:val="909"/>
        <w:ind w:firstLine="709"/>
        <w:jc w:val="both"/>
        <w:spacing w:before="120"/>
      </w:pPr>
      <w:r>
        <w:t xml:space="preserve">Тарифы, указанные в таблицах 7.1 и 7.2, приведены для стандартных отправлений, следующих плановыми маршрутами, указанными в таблице 7.</w:t>
      </w:r>
      <w:r>
        <w:t xml:space="preserve">6</w:t>
      </w:r>
      <w:r>
        <w:t xml:space="preserve">.</w:t>
      </w:r>
      <w:r/>
    </w:p>
    <w:p>
      <w:pPr>
        <w:pStyle w:val="909"/>
        <w:spacing w:before="120" w:line="276" w:lineRule="auto"/>
      </w:pPr>
      <w:r>
        <w:t xml:space="preserve">Табли</w:t>
      </w:r>
      <w:r>
        <w:t xml:space="preserve">ца 7.6</w:t>
      </w:r>
      <w:r/>
    </w:p>
    <w:tbl>
      <w:tblPr>
        <w:tblW w:w="1063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8"/>
        <w:gridCol w:w="3111"/>
        <w:gridCol w:w="1276"/>
        <w:gridCol w:w="5387"/>
      </w:tblGrid>
      <w:tr>
        <w:trPr>
          <w:cantSplit/>
          <w:trHeight w:val="170"/>
        </w:trPr>
        <w:tc>
          <w:tcPr>
            <w:tcW w:w="858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№ п/п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111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  <w:rPr>
                <w:b/>
              </w:rPr>
            </w:pPr>
            <w:r>
              <w:rPr>
                <w:b/>
              </w:rPr>
              <w:t xml:space="preserve">Город откуда-город куда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Вид транспор</w:t>
            </w:r>
            <w:r>
              <w:rPr>
                <w:b/>
              </w:rPr>
              <w:t xml:space="preserve">-</w:t>
            </w:r>
            <w:r>
              <w:rPr>
                <w:b/>
              </w:rPr>
              <w:t xml:space="preserve">тировки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387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  <w:rPr>
                <w:b/>
              </w:rPr>
            </w:pPr>
            <w:r>
              <w:rPr>
                <w:b/>
              </w:rPr>
              <w:t xml:space="preserve">Ограничения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cantSplit/>
          <w:trHeight w:val="170"/>
        </w:trPr>
        <w:tc>
          <w:tcPr>
            <w:tcW w:w="858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  <w:jc w:val="center"/>
            </w:pPr>
            <w:r>
              <w:t xml:space="preserve">1</w:t>
            </w:r>
            <w:r/>
          </w:p>
        </w:tc>
        <w:tc>
          <w:tcPr>
            <w:tcW w:w="3111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</w:pPr>
            <w:r>
              <w:t xml:space="preserve">Москва – Алматы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  <w:jc w:val="center"/>
            </w:pPr>
            <w:r>
              <w:t xml:space="preserve">Авиа</w:t>
            </w:r>
            <w:r/>
          </w:p>
        </w:tc>
        <w:tc>
          <w:tcPr>
            <w:tcW w:w="5387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</w:pPr>
            <w:r>
              <w:t xml:space="preserve">Вес 1-го стандартного</w:t>
            </w:r>
            <w:r>
              <w:rPr>
                <w:bCs/>
              </w:rPr>
              <w:t xml:space="preserve"> </w:t>
            </w:r>
            <w:r>
              <w:t xml:space="preserve">отправления не более 10 кг.</w:t>
            </w:r>
            <w:r/>
          </w:p>
        </w:tc>
      </w:tr>
      <w:tr>
        <w:trPr>
          <w:cantSplit/>
          <w:trHeight w:val="170"/>
        </w:trPr>
        <w:tc>
          <w:tcPr>
            <w:tcW w:w="858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  <w:jc w:val="center"/>
            </w:pPr>
            <w:r>
              <w:t xml:space="preserve">2</w:t>
            </w:r>
            <w:r/>
          </w:p>
        </w:tc>
        <w:tc>
          <w:tcPr>
            <w:tcW w:w="3111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</w:pPr>
            <w:r>
              <w:t xml:space="preserve">Москва – Минск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  <w:jc w:val="center"/>
            </w:pPr>
            <w:r>
              <w:t xml:space="preserve">Авто</w:t>
            </w:r>
            <w:r/>
          </w:p>
        </w:tc>
        <w:tc>
          <w:tcPr>
            <w:tcW w:w="5387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</w:pPr>
            <w:r>
              <w:t xml:space="preserve">Вес 1-го стандартного отправления не более 300 кг.</w:t>
            </w:r>
            <w:r/>
          </w:p>
        </w:tc>
      </w:tr>
      <w:tr>
        <w:trPr>
          <w:cantSplit/>
          <w:trHeight w:val="170"/>
        </w:trPr>
        <w:tc>
          <w:tcPr>
            <w:tcW w:w="858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  <w:jc w:val="center"/>
            </w:pPr>
            <w:r>
              <w:t xml:space="preserve">3</w:t>
            </w:r>
            <w:r/>
          </w:p>
        </w:tc>
        <w:tc>
          <w:tcPr>
            <w:tcW w:w="3111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</w:pPr>
            <w:r>
              <w:t xml:space="preserve">Москва - Ереван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Авиа</w:t>
            </w:r>
            <w:r/>
          </w:p>
        </w:tc>
        <w:tc>
          <w:tcPr>
            <w:tcW w:w="5387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</w:pPr>
            <w:r>
              <w:t xml:space="preserve">Вес 1-го стандартного отправления не более 5 кг.</w:t>
            </w:r>
            <w:r/>
          </w:p>
        </w:tc>
      </w:tr>
      <w:tr>
        <w:trPr>
          <w:cantSplit/>
          <w:trHeight w:val="170"/>
        </w:trPr>
        <w:tc>
          <w:tcPr>
            <w:tcW w:w="858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  <w:jc w:val="center"/>
            </w:pPr>
            <w:r>
              <w:t xml:space="preserve">4</w:t>
            </w:r>
            <w:r/>
          </w:p>
        </w:tc>
        <w:tc>
          <w:tcPr>
            <w:tcW w:w="3111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</w:pPr>
            <w:r>
              <w:t xml:space="preserve">Москва – Бишкек (через Алматы)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Авиа</w:t>
            </w:r>
            <w:r/>
          </w:p>
        </w:tc>
        <w:tc>
          <w:tcPr>
            <w:tcW w:w="5387" w:type="dxa"/>
            <w:vAlign w:val="center"/>
            <w:textDirection w:val="lrTb"/>
            <w:noWrap w:val="false"/>
          </w:tcPr>
          <w:p>
            <w:pPr>
              <w:pStyle w:val="909"/>
              <w:contextualSpacing/>
            </w:pPr>
            <w:r>
              <w:t xml:space="preserve">Вес 1-го стандартного</w:t>
            </w:r>
            <w:r>
              <w:rPr>
                <w:bCs/>
              </w:rPr>
              <w:t xml:space="preserve"> </w:t>
            </w:r>
            <w:r>
              <w:t xml:space="preserve">отправления не более 10 кг.</w:t>
            </w:r>
            <w:r/>
          </w:p>
        </w:tc>
      </w:tr>
    </w:tbl>
    <w:p>
      <w:pPr>
        <w:pStyle w:val="910"/>
        <w:numPr>
          <w:ilvl w:val="0"/>
          <w:numId w:val="22"/>
        </w:numPr>
        <w:ind w:left="0" w:firstLine="567"/>
        <w:jc w:val="both"/>
        <w:spacing w:before="240" w:after="120"/>
        <w:rPr>
          <w:b/>
          <w:sz w:val="20"/>
        </w:rPr>
      </w:pPr>
      <w:r>
        <w:rPr>
          <w:b/>
          <w:sz w:val="20"/>
        </w:rPr>
        <w:t xml:space="preserve">Т</w:t>
      </w:r>
      <w:r>
        <w:rPr>
          <w:b/>
          <w:sz w:val="20"/>
        </w:rPr>
        <w:t xml:space="preserve">арифы на сбор/ доставку секретных/стандартных отправлений </w:t>
      </w:r>
      <w:r>
        <w:rPr>
          <w:b/>
          <w:sz w:val="20"/>
        </w:rPr>
        <w:t xml:space="preserve">и</w:t>
      </w:r>
      <w:r>
        <w:rPr>
          <w:b/>
          <w:sz w:val="20"/>
        </w:rPr>
        <w:t xml:space="preserve">з / в удаленные населенные пункты РФ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09"/>
        <w:ind w:left="709"/>
        <w:jc w:val="both"/>
        <w:spacing w:before="120"/>
      </w:pPr>
      <w:r>
        <w:t xml:space="preserve">Список удаленных населенных пунктов РФ представлен в таблице </w:t>
      </w:r>
      <w:r>
        <w:t xml:space="preserve">8</w:t>
      </w:r>
      <w:r>
        <w:t xml:space="preserve">.</w:t>
      </w:r>
      <w:r/>
    </w:p>
    <w:p>
      <w:pPr>
        <w:pStyle w:val="909"/>
        <w:ind w:firstLine="709"/>
        <w:jc w:val="both"/>
      </w:pPr>
      <w:r>
        <w:t xml:space="preserve">Для секретных</w:t>
      </w:r>
      <w:r>
        <w:t xml:space="preserve">/стандартных</w:t>
      </w:r>
      <w:r>
        <w:t xml:space="preserve"> отправлений, сбор / доставка которых происходит из / в удаленных населенных пунктах РФ, применя</w:t>
      </w:r>
      <w:r>
        <w:t xml:space="preserve">ется</w:t>
      </w:r>
      <w:r>
        <w:t xml:space="preserve"> дополнительный сбор (далее – доп. сбор) за каждый полный или неполный килограмм веса отправления. Величина доп. сбора указана в таблице </w:t>
      </w:r>
      <w:r>
        <w:t xml:space="preserve">8</w:t>
      </w:r>
      <w:r>
        <w:t xml:space="preserve">.</w:t>
      </w:r>
      <w:r/>
    </w:p>
    <w:p>
      <w:pPr>
        <w:pStyle w:val="909"/>
        <w:ind w:firstLine="709"/>
        <w:jc w:val="both"/>
      </w:pPr>
      <w:r>
        <w:t xml:space="preserve">При сборе и доставке секретного</w:t>
      </w:r>
      <w:r>
        <w:t xml:space="preserve">/стандартного</w:t>
      </w:r>
      <w:r>
        <w:t xml:space="preserve"> отправления в пределах одного удаленного населенн</w:t>
      </w:r>
      <w:r>
        <w:t xml:space="preserve">ого пункта дополнительный сбор </w:t>
      </w:r>
      <w:r>
        <w:t xml:space="preserve">взима</w:t>
      </w:r>
      <w:r>
        <w:t xml:space="preserve">ется</w:t>
      </w:r>
      <w:r>
        <w:t xml:space="preserve"> однократно.</w:t>
      </w:r>
      <w:r/>
    </w:p>
    <w:p>
      <w:pPr>
        <w:pStyle w:val="958"/>
        <w:ind w:left="0"/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Таблица 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49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222"/>
        <w:gridCol w:w="2268"/>
      </w:tblGrid>
      <w:tr>
        <w:trPr>
          <w:trHeight w:val="1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center"/>
            <w:textDirection w:val="lrTb"/>
            <w:noWrap/>
          </w:tcPr>
          <w:p>
            <w:pPr>
              <w:pStyle w:val="909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Наименование удаленного населенного пункта РФ</w: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Величина доп. сбора, руб./кг без НДС</w:t>
            </w:r>
            <w:r>
              <w:rPr>
                <w:b/>
                <w:bCs/>
                <w:szCs w:val="24"/>
              </w:rPr>
            </w:r>
            <w:r>
              <w:rPr>
                <w:b/>
                <w:bCs/>
                <w:szCs w:val="24"/>
              </w:rPr>
            </w:r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Благовещенка рп, Благовещенский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Верх-Суетка с., Суетский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Завьялово с., Завьяловский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Калманка с., Калманский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Мамонтово с., Мамонтовский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Новичиха с., Новичихинский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Поспелиха с., Поспелихинский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Ребриха с., Ребрихинский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Родино с., Родинский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Романово с., Романовский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Топчиха с., Топчихинский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Чарышское с., Чарышский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Алтайский край, Шипуново с., Шипуновский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Амурская область, Зея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Амурская область, Магдагачи пгт, Магдагачинский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Березник п., Виноградовский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Вельск г., Вельский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Карпогоры с., Пинежский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654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Коноша рп, Коношский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Лешуконское с., Лешуконский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Мезень г., Мезенский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Няндома г., Няндомский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Октябрьский рп, Устьянский муниципальный округ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р-н Каргопольский, г Каргополь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р-н Плесецкий, рп Плесецк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Холмогоры с., Холмогорский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Архангельская область, Шенкурск г., Шенкурский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Вологодская область, г.Великий Устюг, Великоустюгский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Вологодская область, имени Бабушкина с., Бабушкинский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Вологодская область, Кичменгский городок с., Кичменгско-Городецкий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Вологодская область, Никольск г., Никольский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Вологодская область, с.Нюксеница, Нюксенский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Забайкальский край, Акша с., Акшинский муниципальный округ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Забайкальский край, Красный Чикой с., Красночикойский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156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Забайкальский край, Кыра с., Кыринский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Забайкальский край, Мангут с., Кыринский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Забайкальский край, Могоча г., Могочинский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464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Забайкальский край, Петровск-Забайкальский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Забайкальский край, Тупик с., Тунгиро-Олёкминский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464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Забайкальский край, Хилок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Забайкальский край, Чара, с., Каларский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257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Бодайбо г., Бодайбинский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Братск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Вихоревка г., Братский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Ербогачен с., Катангский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243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Железногорск-Илимский г., Нижнеилимский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Казачинское с., Казачинско-Ленский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243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Киренск г., Киренский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243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Магистральный рп, Казачинско-Ленский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257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Мама пгт, Мамско-Чуйский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243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Улькан рп, Казачинско-Ленский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243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Усть-Илимск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243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Иркутская область, Усть-Кут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Камчатский край, Мильково с.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Камчатский край, Оссора п., Карагинский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514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Камчатский край, Палана пгт, Тигильски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507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Камчатский край, Соболево с., Соболевский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297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Камчатский край, Тигиль с., Тигильский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433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Камчатский край, Тиличики с., Олюторский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637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Камчатский край, Усть-Камчатск п., Усть-Камчатский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549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Кировская область, Верхошижемье пгт, Верхошижемский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Кировская область, Даровской пгт, Даровский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114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Кировская область, Кильмезь пгт, Кильмезский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180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Кировская область, Кумены пгт, Куменский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173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Кировская область, Лебяжье пгт, Лебяжский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Кировская область, Луза г., Лузский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Кировская область, Нема пгт, Немский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Кировская область, Советск г., Советский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Кировская область, Суна пгт, Сунский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Кировская облсть, Санчурск, Санчурский район 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Костромская область, Боговарово с., Октябрьский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Костромская область, Вохма п., Вохомский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Костромская область, Георгиевское с., Межевской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Костромская область, Кологрив г., Кологривский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Костромская область, Павино с., Павинский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Костромская область, Поназырево пгт, Поназыревский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573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Костромская область, Пыщуг с., Пыщугский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Костромская область, Шарья г., Шарьинский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Красноярский край, Богучаны с., Богучанский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562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Красноярский край, Дудинка г., Таймырский Долгано-Ненецкий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229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Красноярский край, Игарка г. Туруханский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Красноярский край, Кодинск г., Кежемский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564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Красноярский край, Мотыгино пгт, Мотыгинский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426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Красноярский край, Норильск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229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Красноярский край, Северо-Енисейск гп., Северо-Енисейский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98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Красноярский край, Тура п., Эвенкийский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175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Красноярский край, Туруханск с., Туруханский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Магаданская область, Омсукчан, Омсукчанский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Магаданская область, Сеймчан пгт, Среднеканский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Магаданская область, Синегорье пгт, Ягоднинский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Магаданская область, Сусуман г., Сусуманский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Магаданская область, Усть-Омчуг пгт, Тенькинский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Магаданская область, Ягодное пгт, Ягоднинский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Ненецкий автономный округ, Нарьян-Мар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744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Омская область, Знаменское с.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Омская область, Колосовка с., Колосовский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311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Омская область, Тара, Тарское гп.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Омская область, Тевриз рп, Тевризский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311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Омская область, Усть-Ишим с.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110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Приморский край, Ольга пгт, Ольгинский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Приморский край, Терней пгт, Тернейский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Приморский край, Тимофеевка п., Надеждинский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Пудож г., Республика Карелия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150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Алтай, Акташ с., Улаганский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219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Алтай, Улаган с., Улаганский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219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Башкортостан,  Месягутово с., Дуванский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153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Башкортостан, Большеустьикинское с., Мечетлинский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183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Башкортостан, Верхние Киги с., Кигинский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153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Башкортостан, Новобелокатай с., Белокатайский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183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Бурятия, Багдарин с., Баунтовский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Бурятия, Баргузин с., Баргузинский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153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Бурятия, Закаменск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172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Бурятия, Курумкан с., Курумканский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172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Бурятия, Кырен с., Тункинский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Бурятия, Нижнеангарск пгт, Северо-Байкальский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Бурятия, Орлик с., Окинский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423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Бурятия, Северобайкальск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Бурятия, Сосново-Озёрское с., Еравнинский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Бурятия, Таксимо пгт, Муйский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Агвали с., Цумадинский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Акуша с., Акушинский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544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Ахты с., Ахтынский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Бежта с., Цунтинский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791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Ботлих с., Ботлихский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Вачи с., Кулинский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540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Гергебиль с., Гергебильский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540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Карата с., Ахвахский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Кидеро с., Цунтинский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791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Кумух с., Лакский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540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Курах с., Курахский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370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Леваши с., Левашинский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540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Мехельта с., Гумбетовский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1000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Рутул с., Рутульский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Тидиб с., Шамильский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791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Тлярата с., Тляратинский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791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Тпиг с., Агульский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379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Усухчай с., Докузпаринский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132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Хебда с., Шамильский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791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Хив с., Хивский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379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Дагестан, Цуриб с., Чародинский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544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Карелия, Лахденпохья г., Лахденпохский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193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Карелия, Муезерский пгт, Муезерский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281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Карелия, Сегежа г., Сегежский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269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Коми, Вуктыл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142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Коми, Ижма с., Ижменский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113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Коми, Троицко-Печорск пгт, Троицко-Печорский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142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Коми, Усинск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156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Коми, Усть-Цильма с., Усть-Цилемский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113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Саха (Якутия), Алдан г., Алданский улус (район)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250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Саха (Якутия), Депутатский пгт *, Усть-Янский улус (район)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270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Саха (Якутия), Ленск г., Ленский улус (район)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297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Саха (Якутия), Мирный г., Мирнинский улус (район)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Саха (Якутия), Нерюнгри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250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Саха (Якутия), п. Батагай пгт, Верхоянский улус (район)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229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Саха (Якутия), Тикси п. *, Булунский улус (район)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297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Саха (Якутия), Усть-Нера пгт *, Оймяконский улус (район)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257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Саха (Якутия), Хандыга п. *, Томпонский улус (район)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156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Республика Саха (Якутия), Черский п. *, Нижнеколымский улус (район)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405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Сахалинская область, Александровск-Сахалинский г., Александровск-Сахалинский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248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Сахалинская область, Курильск г. *, Курильский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405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Сахалинская область, Оха г. *, Охинский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405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Сахалинская область, Северо-Курильск г. *, Северо-Курильский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405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Сахалинская область, Смирных пгт, Смирныховский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248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Сахалинская область, Тымовское пгт, Тымовский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248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Сахалинская область, Южно-Курильск пгт *, Южно-Курильский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405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Свердловская область, Артёмовский г., Артёмовский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356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Свердловская область, Верхотурье г., Верхотурский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Свердловская область, Гари пгт, Гаринский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Свердловская область, Ивдель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Свердловская область, Ирбит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356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Свердловская область, Лобва п., Новолялинский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Свердловская область, Новая Ляля п., Новолялинский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205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Свердловская область, Сосьва пгт, Серовский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Свердловская область, Тавда г., Тавдинский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Свердловская область, Туринск г., Туринский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371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Томская область, Александровское с., Александровский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264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Томская область, Белый Яр рп, Верхнекетский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213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Томская область, Каргасок с.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Томская область, Колпашево г., Колпашевский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213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Томская область, Парабель с.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160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Томская область, Подгорное с., Чаинский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153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Томская область, Стрежевой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253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Томская область, Тогур с., Колпашевский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213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Хабаровский край, Ванино рп, Ванинский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392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Хабаровский край, Николаевск-на-Амуре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257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Хабаровский край, Охотск рп, Охотский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345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Хабаровский край, Советская Гавань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246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Хабаровский край, Чегдомын рп, Верхнебуреинский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250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Ханты-Мансийский автономный округ-Югра АО, Белоярский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184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Ханты-Мансийский автономный округ-Югра АО, Березово пгт, Березовский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184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Ханты-Мансийский автономный округ-Югра АО, Когалым г., Сургутский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Ханты-Мансийский автономный округ-Югра АО, Междуреченский пгт, Кондинский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Ханты-Мансийский автономный округ-Югра АО, Нягань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226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Ханты-Мансийский автономный округ-Югра АО, Советский г., Советский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Ханты-Мансийский автономный округ-Югра АО, Урай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236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Чукотский автономный округ, Беринговский пгт, Анадырский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417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Чукотский автономный округ, Билибино г., Билибинский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919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Чукотский автономный округ, Лаврентия с., Чукотский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900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Чукотский автономный округ, Певек г., Чаунский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693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Чукотский автономный округ, Провидения пгт, Провиденский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350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Чукотский автономный округ, Эгвекинот пгт, Иультинский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919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Ямало-Ненецкий автономный округ, Губкинский г., Пуровский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Ямало-Ненецкий автономный округ, Красноселькуп с., Красноселькупский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435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Ямало-Ненецкий автономный округ, Лабытнанги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587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Ямало-Ненецкий автономный округ, Надым г., Надымский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367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Ямало-Ненецкий автономный округ, Новый Уренгой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367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Ямало-Ненецкий автономный округ, Ноябрьск г., Пуровский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69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Ямало-Ненецкий автономный округ, Салехард г.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587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Ямало-Ненецкий автономный округ, Тазовский п., Тазовский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367</w:t>
            </w:r>
            <w:r/>
          </w:p>
        </w:tc>
      </w:tr>
      <w:tr>
        <w:trPr>
          <w:trHeight w:val="170"/>
        </w:trPr>
        <w:tc>
          <w:tcPr>
            <w:tcBorders>
              <w:top w:val="none" w:color="FFFFFF" w:sz="255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22" w:type="dxa"/>
            <w:vAlign w:val="top"/>
            <w:textDirection w:val="lrTb"/>
            <w:noWrap w:val="false"/>
          </w:tcPr>
          <w:p>
            <w:pPr>
              <w:pStyle w:val="909"/>
            </w:pPr>
            <w:r>
              <w:t xml:space="preserve">Ямало-Ненецкий автономный округ, Тарко-Сале г., Пуровский район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69</w:t>
            </w:r>
            <w:r/>
          </w:p>
        </w:tc>
      </w:tr>
    </w:tbl>
    <w:p>
      <w:pPr>
        <w:pStyle w:val="958"/>
        <w:contextualSpacing w:val="0"/>
        <w:ind w:left="0" w:firstLine="284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* К доставке принимается только пакетная корреспонденция, при этом общий вес партии не должен превышать 20 кг.</w:t>
      </w:r>
      <w:r>
        <w:rPr>
          <w:i/>
          <w:sz w:val="18"/>
          <w:szCs w:val="20"/>
        </w:rPr>
      </w:r>
      <w:r>
        <w:rPr>
          <w:i/>
          <w:sz w:val="18"/>
          <w:szCs w:val="20"/>
        </w:rPr>
      </w:r>
    </w:p>
    <w:p>
      <w:pPr>
        <w:pStyle w:val="910"/>
        <w:numPr>
          <w:ilvl w:val="0"/>
          <w:numId w:val="22"/>
        </w:numPr>
        <w:ind w:left="0" w:firstLine="426"/>
        <w:jc w:val="both"/>
        <w:spacing w:before="240" w:after="120"/>
        <w:tabs>
          <w:tab w:val="left" w:pos="426" w:leader="none"/>
        </w:tabs>
        <w:rPr>
          <w:b/>
          <w:sz w:val="20"/>
        </w:rPr>
      </w:pPr>
      <w:r>
        <w:rPr>
          <w:b/>
          <w:sz w:val="20"/>
        </w:rPr>
        <w:t xml:space="preserve">Тарифы на сбор/ доставку секретных/стандартных отправлений </w:t>
      </w:r>
      <w:r>
        <w:rPr>
          <w:b/>
          <w:sz w:val="20"/>
        </w:rPr>
        <w:t xml:space="preserve">и</w:t>
      </w:r>
      <w:r>
        <w:rPr>
          <w:b/>
          <w:sz w:val="20"/>
        </w:rPr>
        <w:t xml:space="preserve">з / в населенные пункты</w:t>
      </w:r>
      <w:r>
        <w:rPr>
          <w:b/>
          <w:sz w:val="20"/>
        </w:rPr>
        <w:t xml:space="preserve"> </w:t>
      </w:r>
      <w:r>
        <w:rPr>
          <w:b/>
          <w:sz w:val="20"/>
        </w:rPr>
        <w:t xml:space="preserve">Донецкой Народной Республики (далее - ДНР) и Луганской Народной Республики (далее - ЛНР)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09"/>
        <w:ind w:firstLine="709"/>
        <w:jc w:val="both"/>
        <w:spacing w:before="120"/>
      </w:pPr>
      <w:r>
        <w:t xml:space="preserve">Тариф из / в Донецк и Луганск определя</w:t>
      </w:r>
      <w:r>
        <w:t xml:space="preserve">ется</w:t>
      </w:r>
      <w:r>
        <w:t xml:space="preserve"> путем применения повышающего коэффициента из таблицы </w:t>
      </w:r>
      <w:r>
        <w:t xml:space="preserve">9</w:t>
      </w:r>
      <w:r>
        <w:t xml:space="preserve"> к тарифам зоны 6 из таблицы 1</w:t>
      </w:r>
      <w:r>
        <w:t xml:space="preserve"> и 3</w:t>
      </w:r>
      <w:r>
        <w:t xml:space="preserve">.</w:t>
      </w:r>
      <w:r/>
    </w:p>
    <w:p>
      <w:pPr>
        <w:pStyle w:val="958"/>
        <w:ind w:left="0"/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Таблица 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00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97"/>
        <w:gridCol w:w="5107"/>
      </w:tblGrid>
      <w:tr>
        <w:trPr>
          <w:trHeight w:val="170"/>
        </w:trPr>
        <w:tc>
          <w:tcPr>
            <w:tcW w:w="489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Город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51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Повышающий коэффициент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70"/>
        </w:trPr>
        <w:tc>
          <w:tcPr>
            <w:tcW w:w="489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Донецк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107" w:type="dxa"/>
            <w:vAlign w:val="center"/>
            <w:vMerge w:val="restart"/>
            <w:textDirection w:val="lrTb"/>
            <w:noWrap w:val="false"/>
          </w:tcPr>
          <w:p>
            <w:pPr>
              <w:pStyle w:val="958"/>
              <w:ind w:left="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70"/>
        </w:trPr>
        <w:tc>
          <w:tcPr>
            <w:tcW w:w="489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Луганск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107" w:type="dxa"/>
            <w:vAlign w:val="center"/>
            <w:vMerge w:val="continue"/>
            <w:textDirection w:val="lrTb"/>
            <w:noWrap w:val="false"/>
          </w:tcPr>
          <w:p>
            <w:pPr>
              <w:pStyle w:val="958"/>
              <w:ind w:left="0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09"/>
        <w:ind w:firstLine="709"/>
        <w:jc w:val="both"/>
        <w:spacing w:before="120"/>
      </w:pPr>
      <w:r>
        <w:t xml:space="preserve">Тариф на сбор/ доставку </w:t>
      </w:r>
      <w:r>
        <w:t xml:space="preserve">секретного/</w:t>
      </w:r>
      <w:r>
        <w:t xml:space="preserve">стандартного отправления:</w:t>
      </w:r>
      <w:r/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before="6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внутри административных центров ДНР и ЛНР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по зоне 0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внутри ДНР и ЛНР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по з</w:t>
      </w:r>
      <w:r>
        <w:rPr>
          <w:sz w:val="20"/>
          <w:szCs w:val="20"/>
        </w:rPr>
        <w:t xml:space="preserve">оне 1 из таблиц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между административными центрами ДНР и ЛНР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зоне 2 из таблиц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административный центр ДНР в/ из </w:t>
      </w:r>
      <w:r>
        <w:rPr>
          <w:sz w:val="20"/>
          <w:szCs w:val="20"/>
        </w:rPr>
        <w:t xml:space="preserve">областного пункта ЛНР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путем однократного применения повышающего коэффициента 1,5 (для секретного отправления) и 1,25 (для стандартного отправления)</w:t>
      </w:r>
      <w:r>
        <w:rPr>
          <w:sz w:val="20"/>
          <w:szCs w:val="20"/>
        </w:rPr>
        <w:t xml:space="preserve"> к тарифу зоны 2 из таблиц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административный центр ЛНР в/ из областного пункта ДНР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путем однократного применения </w:t>
      </w:r>
      <w:r>
        <w:rPr>
          <w:sz w:val="20"/>
          <w:szCs w:val="20"/>
        </w:rPr>
        <w:t xml:space="preserve">повышающего коэффициента 1,5 (для секретного отправления) и 1,25 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 тарифу зоны 2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областной пункт ДНР в/ из областного пункта ЛНР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путем однократного применения </w:t>
      </w:r>
      <w:r>
        <w:rPr>
          <w:sz w:val="20"/>
          <w:szCs w:val="20"/>
        </w:rPr>
        <w:t xml:space="preserve">повышающего коэффициента 1,5 (для секретного отправления) и 1,25 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 тарифу зоны 2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областной пункт ДНР/ ЛНР в/ из административного центра/ областного пункта РФ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путем последовательного применения </w:t>
      </w:r>
      <w:r>
        <w:rPr>
          <w:sz w:val="20"/>
          <w:szCs w:val="20"/>
        </w:rPr>
        <w:t xml:space="preserve">повышающего коэффициента 1,5 (для секретного отправления) и 1,25 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повышающего коэффициента из таблицы 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 к тарифу зоны 6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административный центр ДНР/ ЛНР в/ из областного пункта Запорожской/ Херсонской области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путем применения повышающего коэффициент</w:t>
      </w:r>
      <w:r>
        <w:rPr>
          <w:sz w:val="20"/>
          <w:szCs w:val="20"/>
        </w:rPr>
        <w:t xml:space="preserve">а 2,0 к тарифу зоны 6 из таблиц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административный центр ДНР/ ЛНР в/ из областного пункта РФ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путем последовательного применения </w:t>
      </w:r>
      <w:r>
        <w:rPr>
          <w:sz w:val="20"/>
          <w:szCs w:val="20"/>
        </w:rPr>
        <w:t xml:space="preserve">повышающего коэффициента 1,5 (для секретного отправления) и 1,25 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повышающего коэффициента из таблицы </w:t>
      </w:r>
      <w:r>
        <w:rPr>
          <w:sz w:val="20"/>
          <w:szCs w:val="20"/>
        </w:rPr>
        <w:t xml:space="preserve">9 к тарифу зоны 6 из таблиц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между административными центрами ДНР/ ЛНР и Запорожской/ Херсонской областями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путем однократного применения повышающего коэффициент</w:t>
      </w:r>
      <w:r>
        <w:rPr>
          <w:sz w:val="20"/>
          <w:szCs w:val="20"/>
        </w:rPr>
        <w:t xml:space="preserve">а 2,0 к тарифу зоны 4 из таблиц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областной пункт ДНР/ ЛНР в/ из административного центра/ областного пункта Запорожской/ Херсонской области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путем последовательного применения </w:t>
      </w:r>
      <w:r>
        <w:rPr>
          <w:sz w:val="20"/>
          <w:szCs w:val="20"/>
        </w:rPr>
        <w:t xml:space="preserve">повышающ</w:t>
      </w:r>
      <w:r>
        <w:rPr>
          <w:sz w:val="20"/>
          <w:szCs w:val="20"/>
        </w:rPr>
        <w:t xml:space="preserve">их</w:t>
      </w:r>
      <w:r>
        <w:rPr>
          <w:sz w:val="20"/>
          <w:szCs w:val="20"/>
        </w:rPr>
        <w:t xml:space="preserve"> коэффициент</w:t>
      </w:r>
      <w:r>
        <w:rPr>
          <w:sz w:val="20"/>
          <w:szCs w:val="20"/>
        </w:rPr>
        <w:t xml:space="preserve">ов</w:t>
      </w:r>
      <w:r>
        <w:rPr>
          <w:sz w:val="20"/>
          <w:szCs w:val="20"/>
        </w:rPr>
        <w:t xml:space="preserve"> 1,5</w:t>
      </w:r>
      <w:r>
        <w:rPr>
          <w:sz w:val="20"/>
          <w:szCs w:val="20"/>
        </w:rPr>
        <w:t xml:space="preserve">, 2,0</w:t>
      </w:r>
      <w:r>
        <w:rPr>
          <w:sz w:val="20"/>
          <w:szCs w:val="20"/>
        </w:rPr>
        <w:t xml:space="preserve"> (для секретного отправления) и 1,25</w:t>
      </w:r>
      <w:r>
        <w:rPr>
          <w:sz w:val="20"/>
          <w:szCs w:val="20"/>
        </w:rPr>
        <w:t xml:space="preserve">, 2,0 </w:t>
      </w:r>
      <w:r>
        <w:rPr>
          <w:sz w:val="20"/>
          <w:szCs w:val="20"/>
        </w:rPr>
        <w:t xml:space="preserve">(для стандартного отправления)</w:t>
      </w:r>
      <w:r>
        <w:rPr>
          <w:sz w:val="20"/>
          <w:szCs w:val="20"/>
        </w:rPr>
        <w:t xml:space="preserve"> к тарифу зоны 4 из таблиц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областной пункт ДНР/ ЛНР в/ из областного пункта Запорожской/ Херсонской области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путем последовательного применения </w:t>
      </w:r>
      <w:r>
        <w:rPr>
          <w:sz w:val="20"/>
          <w:szCs w:val="20"/>
        </w:rPr>
        <w:t xml:space="preserve">повышающего коэффициента 1,5</w:t>
      </w:r>
      <w:r>
        <w:rPr>
          <w:sz w:val="20"/>
          <w:szCs w:val="20"/>
        </w:rPr>
        <w:t xml:space="preserve">, 2,0</w:t>
      </w:r>
      <w:r>
        <w:rPr>
          <w:sz w:val="20"/>
          <w:szCs w:val="20"/>
        </w:rPr>
        <w:t xml:space="preserve"> (для секретного отправления) и 1,25</w:t>
      </w:r>
      <w:r>
        <w:rPr>
          <w:sz w:val="20"/>
          <w:szCs w:val="20"/>
        </w:rPr>
        <w:t xml:space="preserve">,  2,0 </w:t>
      </w:r>
      <w:r>
        <w:rPr>
          <w:sz w:val="20"/>
          <w:szCs w:val="20"/>
        </w:rPr>
        <w:t xml:space="preserve">(для стандартного отправления)</w:t>
      </w:r>
      <w:r>
        <w:rPr>
          <w:sz w:val="20"/>
          <w:szCs w:val="20"/>
        </w:rPr>
        <w:t xml:space="preserve"> к тарифу зоны 4 из таблиц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административные центры ДНР/ ЛНР в/ из административных центров стран СНГ, не входящих в ТС ЕАЭС,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путем последовательного применения повышающего коэффициента 1,8 и повышающего коэффициента из таблицы </w:t>
      </w:r>
      <w:r>
        <w:rPr>
          <w:sz w:val="20"/>
          <w:szCs w:val="20"/>
        </w:rPr>
        <w:t xml:space="preserve">6 к тарифу зоны 6 из таблиц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административные центры ДНР/ ЛНР в/ из областных пунктов стран СНГ, не входящих в</w:t>
      </w:r>
      <w:r>
        <w:rPr>
          <w:sz w:val="20"/>
          <w:szCs w:val="20"/>
        </w:rPr>
        <w:t xml:space="preserve"> ТС ЕАЭС, определяется путем последовательного применения повышающего коэффициента 1,8, повышающего коэффициента 1,5 (для секретного отправления) и 1,25 (для стандартного отправления) и повышающего коэффициента из таблицы 6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областные пункты ДНР/ ЛНР в/ из областных пунктов стран СНГ, не входящих в ТС ЕАЭС, </w:t>
      </w:r>
      <w:r>
        <w:rPr>
          <w:sz w:val="20"/>
          <w:szCs w:val="20"/>
        </w:rPr>
        <w:t xml:space="preserve">определяется путем последовательного применения повышающего коэффициента 1,8, повышающих коэффициентов 1,5, 1,6 (для секретного отправления), 1,25, 1,25 (для стандартного отправления) и повышающего коэффициента из таблицы 6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областные пункты ДНР/ ЛНР в/ из административных центров стр</w:t>
      </w:r>
      <w:r>
        <w:rPr>
          <w:sz w:val="20"/>
          <w:szCs w:val="20"/>
        </w:rPr>
        <w:t xml:space="preserve">ан СНГ, не входящих в ТС ЕАЭС, определяется путем последовательного применения повышающих коэффициентов 1,5, 1,8 (для секретного отправления), 1,25, 1,8 (для стандартного отправления) и повышающего коэффициента из таблицы 6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административные центры ДНР/ ЛНР в/ из административных центров СНГ, входящих в ТС ЕАЭС, определяется путем последовательного применения повышающего коэффициента 1,8 и повышающего коэффициента из таблицы 7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административные центры ДНР/ ЛНР в/ из областных пунктов стран СНГ, входящих в ТС ЕА</w:t>
      </w:r>
      <w:r>
        <w:rPr>
          <w:sz w:val="20"/>
          <w:szCs w:val="20"/>
        </w:rPr>
        <w:t xml:space="preserve">ЭС, должен определяться путем последовательного применения повышающего коэффициента 1,8, повышающего коэффициента 1,6 (для секретного отправления), 1,25 (для стандартного отправления) и повышающего коэффициента из таблицы 7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областные пункты ДНР/ ЛНР в/ из областных пунктов стран СНГ, входящих в ТС ЕАЭС, </w:t>
      </w:r>
      <w:r>
        <w:rPr>
          <w:sz w:val="20"/>
          <w:szCs w:val="20"/>
        </w:rPr>
        <w:t xml:space="preserve">определяется путем последовательного применения повышающего коэффициента 1,8, повышающих коэффициентов 1,5, 1,6 (для секретного отправления), 1,25, 1,25 (для стандартного отправления) и повышающего коэффициента из таблицы 7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областные пункты ДНР/ ЛНР в/ из административных центров </w:t>
      </w:r>
      <w:r>
        <w:rPr>
          <w:sz w:val="20"/>
          <w:szCs w:val="20"/>
        </w:rPr>
        <w:t xml:space="preserve">стран СНГ, входящих в ТС ЕАЭС, определяется путем последовательного применения повышающих коэффициентов 1,5, 1,8 (для секретного отправления), 1,25, 1,8 (для стандартного отправления) и повышающего коэффициента из таблицы 7 к тарифу зоны 6 из таблиц 1 и 3.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09"/>
        <w:ind w:firstLine="709"/>
        <w:jc w:val="both"/>
        <w:spacing w:before="120"/>
      </w:pPr>
      <w:r>
        <w:t xml:space="preserve">Тариф на сбор</w:t>
      </w:r>
      <w:r>
        <w:t xml:space="preserve">/ доставку </w:t>
      </w:r>
      <w:r>
        <w:t xml:space="preserve">секретного/</w:t>
      </w:r>
      <w:r>
        <w:t xml:space="preserve">стандартного отправления с пометкой «Срочное» из/ в ДНР и ЛНР </w:t>
      </w:r>
      <w:r>
        <w:t xml:space="preserve">рассчитывается</w:t>
      </w:r>
      <w:r>
        <w:t xml:space="preserve"> индивидуально для каждого </w:t>
      </w:r>
      <w:r>
        <w:t xml:space="preserve">секретного/</w:t>
      </w:r>
      <w:r>
        <w:t xml:space="preserve">стандартного отправления, так как сбор/ доставка будет выполняться нарочным маршрутом.</w:t>
      </w:r>
      <w:r/>
    </w:p>
    <w:p>
      <w:pPr>
        <w:pStyle w:val="910"/>
        <w:numPr>
          <w:ilvl w:val="0"/>
          <w:numId w:val="22"/>
        </w:numPr>
        <w:ind w:left="0" w:firstLine="567"/>
        <w:jc w:val="both"/>
        <w:spacing w:before="240" w:after="120"/>
        <w:tabs>
          <w:tab w:val="left" w:pos="567" w:leader="none"/>
        </w:tabs>
        <w:rPr>
          <w:b/>
          <w:sz w:val="20"/>
        </w:rPr>
      </w:pPr>
      <w:r>
        <w:rPr>
          <w:b/>
          <w:sz w:val="20"/>
        </w:rPr>
        <w:t xml:space="preserve">Тарифы на сбор/ доставку секретных/стандартных отправлений </w:t>
      </w:r>
      <w:r>
        <w:rPr>
          <w:b/>
          <w:sz w:val="20"/>
        </w:rPr>
        <w:t xml:space="preserve">и</w:t>
      </w:r>
      <w:r>
        <w:rPr>
          <w:b/>
          <w:sz w:val="20"/>
        </w:rPr>
        <w:t xml:space="preserve">з / в населенные пункты</w:t>
      </w:r>
      <w:r>
        <w:rPr>
          <w:b/>
          <w:sz w:val="20"/>
        </w:rPr>
        <w:t xml:space="preserve"> </w:t>
      </w:r>
      <w:r>
        <w:rPr>
          <w:b/>
          <w:sz w:val="20"/>
        </w:rPr>
        <w:t xml:space="preserve">Запорожской и Херсонской областей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09"/>
        <w:ind w:firstLine="709"/>
        <w:jc w:val="both"/>
        <w:spacing w:before="120"/>
      </w:pPr>
      <w:r>
        <w:t xml:space="preserve">Тариф из / в Мелитополь и Геническ </w:t>
      </w:r>
      <w:r>
        <w:t xml:space="preserve">определяется</w:t>
      </w:r>
      <w:r>
        <w:t xml:space="preserve"> путем применения повышающего коэффициента из таблицы </w:t>
      </w:r>
      <w:r>
        <w:t xml:space="preserve">10</w:t>
      </w:r>
      <w:r>
        <w:t xml:space="preserve"> к тарифам зоны 6 из таблицы 1.</w:t>
      </w:r>
      <w:r/>
    </w:p>
    <w:p>
      <w:pPr>
        <w:pStyle w:val="958"/>
        <w:ind w:left="0"/>
        <w:spacing w:before="12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Таблица </w:t>
      </w:r>
      <w:r>
        <w:rPr>
          <w:sz w:val="20"/>
          <w:szCs w:val="20"/>
        </w:rPr>
        <w:t xml:space="preserve">10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994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66"/>
        <w:gridCol w:w="5076"/>
      </w:tblGrid>
      <w:tr>
        <w:trPr>
          <w:trHeight w:val="170"/>
        </w:trPr>
        <w:tc>
          <w:tcPr>
            <w:tcW w:w="4866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Город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5076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jc w:val="center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Повышающий коэффициент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70"/>
        </w:trPr>
        <w:tc>
          <w:tcPr>
            <w:tcW w:w="4866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Мелитополь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076" w:type="dxa"/>
            <w:vAlign w:val="center"/>
            <w:vMerge w:val="restart"/>
            <w:textDirection w:val="lrTb"/>
            <w:noWrap w:val="false"/>
          </w:tcPr>
          <w:p>
            <w:pPr>
              <w:pStyle w:val="958"/>
              <w:ind w:left="0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2,0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70"/>
        </w:trPr>
        <w:tc>
          <w:tcPr>
            <w:tcW w:w="4866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Геническ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5076" w:type="dxa"/>
            <w:vAlign w:val="center"/>
            <w:vMerge w:val="continue"/>
            <w:textDirection w:val="lrTb"/>
            <w:noWrap w:val="false"/>
          </w:tcPr>
          <w:p>
            <w:pPr>
              <w:pStyle w:val="958"/>
              <w:ind w:left="0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09"/>
        <w:ind w:firstLine="709"/>
        <w:jc w:val="both"/>
        <w:spacing w:before="120"/>
      </w:pPr>
      <w:r>
        <w:t xml:space="preserve">Тариф на сбор/ доставку </w:t>
      </w:r>
      <w:r>
        <w:t xml:space="preserve">секретного/</w:t>
      </w:r>
      <w:r>
        <w:t xml:space="preserve">стандартного отправления из/ в Мелитополь и Геническ в/ из областного пункта субъекта РФ </w:t>
      </w:r>
      <w:r>
        <w:t xml:space="preserve">определяется</w:t>
      </w:r>
      <w:r>
        <w:t xml:space="preserve"> </w:t>
      </w:r>
      <w:r>
        <w:t xml:space="preserve">путем последовательного применения повышающего коэффициента </w:t>
      </w:r>
      <w:r>
        <w:t xml:space="preserve">1,5 (для секретного отправления) и 1</w:t>
      </w:r>
      <w:r>
        <w:t xml:space="preserve">,25</w:t>
      </w:r>
      <w:r>
        <w:t xml:space="preserve"> (для стандартного отправления)</w:t>
      </w:r>
      <w:r>
        <w:t xml:space="preserve"> и повышающего коэффициента из таблицы </w:t>
      </w:r>
      <w:r>
        <w:t xml:space="preserve">10</w:t>
      </w:r>
      <w:r>
        <w:t xml:space="preserve">.</w:t>
      </w:r>
      <w:r/>
    </w:p>
    <w:p>
      <w:pPr>
        <w:pStyle w:val="909"/>
        <w:ind w:firstLine="709"/>
        <w:jc w:val="both"/>
        <w:spacing w:before="120"/>
      </w:pPr>
      <w:r>
        <w:t xml:space="preserve">Тариф на сбор/ доставку </w:t>
      </w:r>
      <w:r>
        <w:t xml:space="preserve">секретного/</w:t>
      </w:r>
      <w:r>
        <w:t xml:space="preserve">стандартного отправления:</w:t>
      </w:r>
      <w:r/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before="6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внутри административных центров Запорожской и Херсонской областей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зоне 0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внутри Запорожской и Херсонской областей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зоне 1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между административными центрами Запорожской и Херсонской областей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зоне 2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административный центр Запорожской области в/ из областного пункта Херсонской области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путем однократного применения повышающего </w:t>
      </w:r>
      <w:r>
        <w:rPr>
          <w:sz w:val="20"/>
          <w:szCs w:val="20"/>
        </w:rPr>
        <w:t xml:space="preserve">коэффициента 1,5 (для секретного отправления) и 1,25 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к тарифу зоны 2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административный центр Херсонской области в/ из областного пункта Запорожской области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путем однократного применения повышающего </w:t>
      </w:r>
      <w:r>
        <w:rPr>
          <w:sz w:val="20"/>
          <w:szCs w:val="20"/>
        </w:rPr>
        <w:t xml:space="preserve">коэффициента 1,5 (для секретного отправления) и 1,25 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 тарифу зоны 2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областной пункт Запорожской области в/ из областного пункта Херсонской области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путем однократного применения повышающего </w:t>
      </w:r>
      <w:r>
        <w:rPr>
          <w:sz w:val="20"/>
          <w:szCs w:val="20"/>
        </w:rPr>
        <w:t xml:space="preserve">коэффициента 1,5 (для секретного отправления) и 1,25 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 тарифу зоны 2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областной пункт Запорожской/ Херсонской областей в/ из административного центра/ областного пункта РФ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путем последовательного применения повышающего </w:t>
      </w:r>
      <w:r>
        <w:rPr>
          <w:sz w:val="20"/>
          <w:szCs w:val="20"/>
        </w:rPr>
        <w:t xml:space="preserve">коэффициента 1,5 (для секретного отправления) и 1,25 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повышающего коэффициента из таблицы </w:t>
      </w:r>
      <w:r>
        <w:rPr>
          <w:sz w:val="20"/>
          <w:szCs w:val="20"/>
        </w:rPr>
        <w:t xml:space="preserve">10 к тарифу зоны 6 из таблиц</w:t>
      </w:r>
      <w:r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административный центр Запорожской/ Херсонской областей в/ из областного пункта ДНР/ ЛНР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путем применения повышающего коэффициента</w:t>
      </w:r>
      <w:r>
        <w:rPr>
          <w:sz w:val="20"/>
          <w:szCs w:val="20"/>
        </w:rPr>
        <w:t xml:space="preserve"> 2,0 к тарифу зоны 6 из таблицы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административный центр Запорожской/ Херсонской областей в/ из областного пункта РФ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путем </w:t>
      </w:r>
      <w:r>
        <w:rPr>
          <w:sz w:val="20"/>
          <w:szCs w:val="20"/>
        </w:rPr>
        <w:t xml:space="preserve">последовательного применения повышающего </w:t>
      </w:r>
      <w:r>
        <w:rPr>
          <w:sz w:val="20"/>
          <w:szCs w:val="20"/>
        </w:rPr>
        <w:t xml:space="preserve">коэффициента 1,5 (для секретного отправления) и 1,25 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повышающего коэффициента из таблицы </w:t>
      </w:r>
      <w:r>
        <w:rPr>
          <w:sz w:val="20"/>
          <w:szCs w:val="20"/>
        </w:rPr>
        <w:t xml:space="preserve">10</w:t>
      </w:r>
      <w:r>
        <w:rPr>
          <w:sz w:val="20"/>
          <w:szCs w:val="20"/>
        </w:rPr>
        <w:t xml:space="preserve"> к тарифу зоны 6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между административными центрами Запорожской/ Херсонской областей и ДНР/ ЛНР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путем однократного применения повышающего коэффициента 2,0 к тарифу зоны 4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областной пункт Запорожской/ Херсонской областей в/ из административного центра ДНР/ ЛНР определяется путем последовательного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применения </w:t>
      </w:r>
      <w:r>
        <w:rPr>
          <w:sz w:val="20"/>
          <w:szCs w:val="20"/>
        </w:rPr>
        <w:t xml:space="preserve">повышающ</w:t>
      </w:r>
      <w:r>
        <w:rPr>
          <w:sz w:val="20"/>
          <w:szCs w:val="20"/>
        </w:rPr>
        <w:t xml:space="preserve">их</w:t>
      </w:r>
      <w:r>
        <w:rPr>
          <w:sz w:val="20"/>
          <w:szCs w:val="20"/>
        </w:rPr>
        <w:t xml:space="preserve"> коэффициент</w:t>
      </w:r>
      <w:r>
        <w:rPr>
          <w:sz w:val="20"/>
          <w:szCs w:val="20"/>
        </w:rPr>
        <w:t xml:space="preserve">ов</w:t>
      </w:r>
      <w:r>
        <w:rPr>
          <w:sz w:val="20"/>
          <w:szCs w:val="20"/>
        </w:rPr>
        <w:t xml:space="preserve"> 1,5</w:t>
      </w:r>
      <w:r>
        <w:rPr>
          <w:sz w:val="20"/>
          <w:szCs w:val="20"/>
        </w:rPr>
        <w:t xml:space="preserve">, 2,0</w:t>
      </w:r>
      <w:r>
        <w:rPr>
          <w:sz w:val="20"/>
          <w:szCs w:val="20"/>
        </w:rPr>
        <w:t xml:space="preserve"> (для</w:t>
      </w:r>
      <w:r>
        <w:rPr>
          <w:sz w:val="20"/>
          <w:szCs w:val="20"/>
        </w:rPr>
        <w:t xml:space="preserve"> секретного отправления) и 1,25,  2,0 </w:t>
      </w:r>
      <w:r>
        <w:rPr>
          <w:sz w:val="20"/>
          <w:szCs w:val="20"/>
        </w:rPr>
        <w:t xml:space="preserve">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 тарифу зоны 4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областной пункт Запорожской/ Херсонской области в/ из областного пункта ДНР/ ЛНР </w:t>
      </w:r>
      <w:r>
        <w:rPr>
          <w:sz w:val="20"/>
          <w:szCs w:val="20"/>
        </w:rPr>
        <w:t xml:space="preserve">определяется</w:t>
      </w:r>
      <w:r>
        <w:rPr>
          <w:sz w:val="20"/>
          <w:szCs w:val="20"/>
        </w:rPr>
        <w:t xml:space="preserve"> путем последовательного </w:t>
      </w:r>
      <w:r>
        <w:rPr>
          <w:sz w:val="20"/>
          <w:szCs w:val="20"/>
        </w:rPr>
        <w:t xml:space="preserve">применения </w:t>
      </w:r>
      <w:r>
        <w:rPr>
          <w:sz w:val="20"/>
          <w:szCs w:val="20"/>
        </w:rPr>
        <w:t xml:space="preserve">повышающ</w:t>
      </w:r>
      <w:r>
        <w:rPr>
          <w:sz w:val="20"/>
          <w:szCs w:val="20"/>
        </w:rPr>
        <w:t xml:space="preserve">их</w:t>
      </w:r>
      <w:r>
        <w:rPr>
          <w:sz w:val="20"/>
          <w:szCs w:val="20"/>
        </w:rPr>
        <w:t xml:space="preserve"> коэффициент</w:t>
      </w:r>
      <w:r>
        <w:rPr>
          <w:sz w:val="20"/>
          <w:szCs w:val="20"/>
        </w:rPr>
        <w:t xml:space="preserve">ов</w:t>
      </w:r>
      <w:r>
        <w:rPr>
          <w:sz w:val="20"/>
          <w:szCs w:val="20"/>
        </w:rPr>
        <w:t xml:space="preserve"> 1,5</w:t>
      </w:r>
      <w:r>
        <w:rPr>
          <w:sz w:val="20"/>
          <w:szCs w:val="20"/>
        </w:rPr>
        <w:t xml:space="preserve">, 2,0</w:t>
      </w:r>
      <w:r>
        <w:rPr>
          <w:sz w:val="20"/>
          <w:szCs w:val="20"/>
        </w:rPr>
        <w:t xml:space="preserve"> (для секретного отправления) и 1,25</w:t>
      </w:r>
      <w:r>
        <w:rPr>
          <w:sz w:val="20"/>
          <w:szCs w:val="20"/>
        </w:rPr>
        <w:t xml:space="preserve">, 2,0 </w:t>
      </w:r>
      <w:r>
        <w:rPr>
          <w:sz w:val="20"/>
          <w:szCs w:val="20"/>
        </w:rPr>
        <w:t xml:space="preserve">(для стандартного отправления)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к тарифу зоны 4 из таблиц 1</w:t>
      </w:r>
      <w:r>
        <w:rPr>
          <w:sz w:val="20"/>
          <w:szCs w:val="20"/>
        </w:rPr>
        <w:t xml:space="preserve"> и 3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</w:t>
      </w:r>
      <w:r>
        <w:rPr>
          <w:sz w:val="20"/>
          <w:szCs w:val="20"/>
        </w:rPr>
        <w:t xml:space="preserve">е центры Запорожской/ Херсонской областей в/ из административных центров стран СНГ, не входящих в ТС ЕАЭС, определяется путем последовательного применения повышающего коэффициента 2,0 и повышающего коэффициента из таблицы 6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административные центры Запорожской/ Херсонской областей в/ из областных пунктов стран СНГ, не входящих в</w:t>
      </w:r>
      <w:r>
        <w:rPr>
          <w:sz w:val="20"/>
          <w:szCs w:val="20"/>
        </w:rPr>
        <w:t xml:space="preserve"> ТС ЕАЭС, определяется путем последовательного применения повышающего коэффициента 2,0, повышающего коэффициента 1,6 (для секретного отправления) и 1,25 (для стандартного отправления) и повышающего коэффициента из таблицы 6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областные пункты Запорожской/ Херсонской областей в/ из областных пунктов с</w:t>
      </w:r>
      <w:r>
        <w:rPr>
          <w:sz w:val="20"/>
          <w:szCs w:val="20"/>
        </w:rPr>
        <w:t xml:space="preserve">тран СНГ, не входящих в ТС ЕАЭС, определяется путем последовательного применения повышающего коэффициента 2,0, повышающих коэффициентов 1,5, 1,6 (для секретного отправления),  1,25, 1,25 (для стандартного отправления) и повышающего коэффициента из таблицы 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областные пункты Запорожской/ Херсонской областей в/ </w:t>
      </w:r>
      <w:r>
        <w:rPr>
          <w:sz w:val="20"/>
          <w:szCs w:val="20"/>
        </w:rPr>
        <w:t xml:space="preserve">из административных центров стран СНГ, не входящих в ТС ЕАЭС, определяется путем последовательного применения повышающих коэффициентов 1,5 и 2,0 (для секретного отправления) и 1,25 и 2,0 (для стандартного отправления) и повышающего коэффициента из таблицы 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административные центры Запорожской/ Херсонской областей в/ из административных центров стран СНГ, входящих в ТС ЕАЭС, определяется путем последовательного применения повышающего коэффициента 2,0 и повышающего коэффициента из таблицы 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административные центры Запорожской/ Херсонской областе</w:t>
      </w:r>
      <w:r>
        <w:rPr>
          <w:sz w:val="20"/>
          <w:szCs w:val="20"/>
        </w:rPr>
        <w:t xml:space="preserve">й в/ из областных пунктов стран СНГ, входящих в ТС ЕАЭС, определяется путем последовательного применения повышающего коэффициента 2,0, повышающего 1,6 (для секретного отправления) и 1,25 (для стандартного отправления) и повышающего коэффициента из таблицы 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областные пункты Запорожской/ Херсонской областей в/ из областных пункто</w:t>
      </w:r>
      <w:r>
        <w:rPr>
          <w:sz w:val="20"/>
          <w:szCs w:val="20"/>
        </w:rPr>
        <w:t xml:space="preserve">в стран СНГ, входящих в ТС ЕАЭС, определяется путем последовательного применения повышающего коэффициента 2,0, повышающих коэффициентов 1,5, 1,6 (для секретного отправления) и 1,25, 1,25 (для стандартного отправления) и повышающего коэффициента из таблицы 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к тарифу зоны 6 из таблиц 1 и 3;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1"/>
        </w:numPr>
        <w:contextualSpacing w:val="0"/>
        <w:ind w:left="0"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из/ в областные пункты Запорожской/ Херс</w:t>
      </w:r>
      <w:r>
        <w:rPr>
          <w:sz w:val="20"/>
          <w:szCs w:val="20"/>
        </w:rPr>
        <w:t xml:space="preserve">онской областей в/ из административных центров стран СНГ, входящих в ТС ЕАЭС, определяется путем последовательного применения повышающих 1,5, 2,0 (для секретного отправления) и 1,25, 2,0 (для стандартного отправления) и повышающего коэффициента из таблицы 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к тарифу зоны 6 из таблиц 1 и 3.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 w:firstLine="709"/>
        <w:jc w:val="both"/>
        <w:spacing w:before="12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Тариф на сбор/ доставку секретного</w:t>
      </w:r>
      <w:r>
        <w:rPr>
          <w:sz w:val="20"/>
          <w:szCs w:val="20"/>
        </w:rPr>
        <w:t xml:space="preserve">/</w:t>
      </w:r>
      <w:r>
        <w:rPr>
          <w:sz w:val="20"/>
          <w:szCs w:val="20"/>
        </w:rPr>
        <w:t xml:space="preserve">стандартного отправления с пометкой «Срочное» из/ в Запорожскую и Херсонскую области рассчитыва</w:t>
      </w:r>
      <w:r>
        <w:rPr>
          <w:sz w:val="20"/>
          <w:szCs w:val="20"/>
        </w:rPr>
        <w:t xml:space="preserve">ется</w:t>
      </w:r>
      <w:r>
        <w:rPr>
          <w:sz w:val="20"/>
          <w:szCs w:val="20"/>
        </w:rPr>
        <w:t xml:space="preserve"> индивидуально для каждого </w:t>
      </w:r>
      <w:r>
        <w:rPr>
          <w:sz w:val="20"/>
          <w:szCs w:val="20"/>
        </w:rPr>
        <w:t xml:space="preserve">секретного/</w:t>
      </w:r>
      <w:r>
        <w:rPr>
          <w:sz w:val="20"/>
          <w:szCs w:val="20"/>
        </w:rPr>
        <w:t xml:space="preserve">стандартного отправления, так как сбор/ доставка будет выполняться нарочным маршрутом.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0"/>
        <w:numPr>
          <w:ilvl w:val="0"/>
          <w:numId w:val="22"/>
        </w:numPr>
        <w:ind w:left="0" w:firstLine="567"/>
        <w:jc w:val="both"/>
        <w:spacing w:before="240" w:after="8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Доставка стандартных отправлений с оценочной стоимостью по территории РФ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58"/>
        <w:contextualSpacing w:val="0"/>
        <w:ind w:left="0" w:firstLine="709"/>
        <w:jc w:val="both"/>
        <w:spacing w:before="8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При сборе стандартного отправления с оценочной стоимостью по территории РФ к тарифам, указанным в </w:t>
      </w:r>
      <w:r>
        <w:rPr>
          <w:sz w:val="20"/>
          <w:szCs w:val="20"/>
        </w:rPr>
        <w:t xml:space="preserve">пункте 4</w:t>
      </w:r>
      <w:r>
        <w:rPr>
          <w:sz w:val="20"/>
          <w:szCs w:val="20"/>
        </w:rPr>
        <w:t xml:space="preserve"> применяется дополнительный сбор за оценочную стоимость, указанную </w:t>
      </w:r>
      <w:r>
        <w:rPr>
          <w:sz w:val="20"/>
          <w:szCs w:val="20"/>
        </w:rPr>
        <w:t xml:space="preserve">в таблице 1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09"/>
        <w:spacing w:before="120" w:line="276" w:lineRule="auto"/>
      </w:pPr>
      <w:r>
        <w:t xml:space="preserve">Таблица 1</w:t>
      </w:r>
      <w:r>
        <w:t xml:space="preserve">1</w:t>
      </w:r>
      <w:r/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835"/>
        <w:gridCol w:w="1834"/>
        <w:gridCol w:w="900"/>
        <w:gridCol w:w="371"/>
        <w:gridCol w:w="890"/>
        <w:gridCol w:w="2778"/>
        <w:gridCol w:w="1813"/>
      </w:tblGrid>
      <w:tr>
        <w:trPr>
          <w:trHeight w:val="397"/>
        </w:trPr>
        <w:tc>
          <w:tcPr>
            <w:gridSpan w:val="2"/>
            <w:tcW w:w="1760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Оценочная стоимость, руб.</w: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</w:p>
        </w:tc>
        <w:tc>
          <w:tcPr>
            <w:gridSpan w:val="5"/>
            <w:tcW w:w="3240" w:type="pct"/>
            <w:vAlign w:val="center"/>
            <w:vMerge w:val="restart"/>
            <w:textDirection w:val="lrTb"/>
            <w:noWrap w:val="false"/>
          </w:tcPr>
          <w:p>
            <w:pPr>
              <w:pStyle w:val="909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Дополнительный сбор, руб.</w: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</w:p>
        </w:tc>
      </w:tr>
      <w:tr>
        <w:trPr>
          <w:trHeight w:val="250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От</w: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До</w: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</w:p>
        </w:tc>
        <w:tc>
          <w:tcPr>
            <w:gridSpan w:val="5"/>
            <w:tcW w:w="3240" w:type="pct"/>
            <w:vAlign w:val="center"/>
            <w:vMerge w:val="continue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</w:tr>
      <w:tr>
        <w:trPr>
          <w:trHeight w:val="250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14 999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right w:val="none" w:color="000000" w:sz="4" w:space="0"/>
            </w:tcBorders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246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</w:tr>
      <w:tr>
        <w:trPr>
          <w:trHeight w:val="270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15 000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24 999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right w:val="none" w:color="000000" w:sz="4" w:space="0"/>
            </w:tcBorders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612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</w:tr>
      <w:tr>
        <w:trPr>
          <w:trHeight w:val="264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25 000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49 999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right w:val="none" w:color="000000" w:sz="4" w:space="0"/>
            </w:tcBorders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1 224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  <w:r>
              <w:rPr>
                <w:color w:val="ff0000"/>
                <w:szCs w:val="22"/>
              </w:rPr>
            </w:r>
          </w:p>
        </w:tc>
      </w:tr>
      <w:tr>
        <w:trPr>
          <w:trHeight w:val="272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50 000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149 999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right w:val="none" w:color="000000" w:sz="4" w:space="0"/>
            </w:tcBorders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1 224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+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1,0%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с суммы, превышающей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50 000 руб.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224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150 000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499 999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right w:val="none" w:color="000000" w:sz="4" w:space="0"/>
            </w:tcBorders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2 446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+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0,5%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с суммы, превышающей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150 000 руб.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232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500 000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999 999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right w:val="none" w:color="000000" w:sz="4" w:space="0"/>
            </w:tcBorders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4 585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+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0,3%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с суммы, превышающей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500 000 руб.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325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1 000 000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1 999 999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right w:val="none" w:color="000000" w:sz="4" w:space="0"/>
            </w:tcBorders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6 419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+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0,2%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с суммы, превышающей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1 000 000 руб.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263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2 000 000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4 999 999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right w:val="none" w:color="000000" w:sz="4" w:space="0"/>
            </w:tcBorders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8 864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+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0,15%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с суммы, превышающей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2 000 000 руб.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269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5 000 000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9 999 999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right w:val="none" w:color="000000" w:sz="4" w:space="0"/>
            </w:tcBorders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14 366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+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0,1%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с суммы, превышающей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5 000 000 руб.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278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10 000 000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19 999 999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right w:val="none" w:color="000000" w:sz="4" w:space="0"/>
            </w:tcBorders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20 478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+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0,05%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с суммы, превышающей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10 000 000 руб.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rPr>
          <w:trHeight w:val="255"/>
        </w:trPr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20 000 000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W w:w="88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и выше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right w:val="none" w:color="000000" w:sz="4" w:space="0"/>
            </w:tcBorders>
            <w:tcW w:w="432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26 592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78" w:type="pct"/>
            <w:vAlign w:val="center"/>
            <w:textDirection w:val="lrTb"/>
            <w:noWrap w:val="false"/>
          </w:tcPr>
          <w:p>
            <w:pPr>
              <w:pStyle w:val="909"/>
              <w:jc w:val="center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+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427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0,04%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333" w:type="pct"/>
            <w:vAlign w:val="center"/>
            <w:textDirection w:val="lrTb"/>
            <w:noWrap w:val="false"/>
          </w:tcPr>
          <w:p>
            <w:pPr>
              <w:pStyle w:val="909"/>
              <w:jc w:val="right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с суммы, превышающей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left w:val="none" w:color="000000" w:sz="4" w:space="0"/>
            </w:tcBorders>
            <w:tcW w:w="870" w:type="pct"/>
            <w:vAlign w:val="center"/>
            <w:textDirection w:val="lrTb"/>
            <w:noWrap w:val="false"/>
          </w:tcPr>
          <w:p>
            <w:pPr>
              <w:pStyle w:val="909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 xml:space="preserve">20 000 000 руб.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</w:tbl>
    <w:p>
      <w:pPr>
        <w:pStyle w:val="910"/>
        <w:numPr>
          <w:ilvl w:val="0"/>
          <w:numId w:val="22"/>
        </w:numPr>
        <w:ind w:left="1353"/>
        <w:jc w:val="both"/>
        <w:spacing w:before="240" w:after="120"/>
        <w:tabs>
          <w:tab w:val="left" w:pos="1134" w:leader="none"/>
        </w:tabs>
        <w:rPr>
          <w:b/>
          <w:sz w:val="20"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 xml:space="preserve">Услуги по доставке отправлений авиатранспортом</w:t>
      </w:r>
      <w:r>
        <w:rPr>
          <w:b/>
          <w:sz w:val="20"/>
        </w:rPr>
      </w:r>
      <w:r>
        <w:rPr>
          <w:b/>
          <w:sz w:val="20"/>
        </w:rPr>
      </w:r>
    </w:p>
    <w:p>
      <w:pPr>
        <w:pStyle w:val="958"/>
        <w:contextualSpacing w:val="0"/>
        <w:ind w:left="0" w:firstLine="709"/>
        <w:jc w:val="both"/>
        <w:spacing w:before="120"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Стоимость услуг грузоперевозки согласовывается между </w:t>
      </w:r>
      <w:r>
        <w:rPr>
          <w:sz w:val="20"/>
          <w:szCs w:val="20"/>
        </w:rPr>
        <w:t xml:space="preserve">Заказчиком</w:t>
      </w:r>
      <w:r>
        <w:rPr>
          <w:sz w:val="20"/>
          <w:szCs w:val="20"/>
        </w:rPr>
        <w:t xml:space="preserve"> и отправителем/ получателем на каждую отправку дополнительно, в связи с тем, что стоимость услуги по доставке отправлений может быть скорректирована в случае изменения тарифной политики авиакомпаний.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numPr>
          <w:ilvl w:val="0"/>
          <w:numId w:val="22"/>
        </w:numPr>
        <w:contextualSpacing w:val="0"/>
        <w:ind w:left="1353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Порядок применения тарифов на сбор/ доставку </w:t>
      </w:r>
      <w:r>
        <w:rPr>
          <w:b/>
          <w:sz w:val="20"/>
          <w:szCs w:val="20"/>
        </w:rPr>
        <w:t xml:space="preserve">секретных/</w:t>
      </w:r>
      <w:r>
        <w:rPr>
          <w:b/>
          <w:sz w:val="20"/>
          <w:szCs w:val="20"/>
        </w:rPr>
        <w:t xml:space="preserve">стандартных отправлений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0"/>
        <w:numPr>
          <w:ilvl w:val="1"/>
          <w:numId w:val="19"/>
        </w:numPr>
        <w:ind w:left="0" w:firstLine="348"/>
        <w:jc w:val="both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 Все тарифы указаны без учета НДС. В случаях, определенных законодательством РФ, НДС взимается сверх тарифа в соответствии со ставкой НДС, установленной законодательством РФ.</w:t>
      </w:r>
      <w:r>
        <w:rPr>
          <w:sz w:val="20"/>
        </w:rPr>
      </w:r>
      <w:r>
        <w:rPr>
          <w:sz w:val="20"/>
        </w:rPr>
      </w:r>
    </w:p>
    <w:p>
      <w:pPr>
        <w:pStyle w:val="910"/>
        <w:numPr>
          <w:ilvl w:val="1"/>
          <w:numId w:val="19"/>
        </w:numPr>
        <w:ind w:left="0" w:firstLine="348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Зональное распределение представлено в приложении № 7 к настоящему Контракту.</w:t>
      </w:r>
      <w:r>
        <w:rPr>
          <w:sz w:val="20"/>
        </w:rPr>
      </w:r>
      <w:r>
        <w:rPr>
          <w:sz w:val="20"/>
        </w:rPr>
      </w:r>
    </w:p>
    <w:p>
      <w:pPr>
        <w:pStyle w:val="910"/>
        <w:numPr>
          <w:ilvl w:val="1"/>
          <w:numId w:val="19"/>
        </w:numPr>
        <w:ind w:left="0" w:firstLine="348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Тарифы, указанные в пунктах 2 и 4, действуют для сбора/ доставки секретных/стандартных отправлений из/ в населенные пункты, обслуживаемых плановыми маршрутами </w:t>
      </w:r>
      <w:r>
        <w:rPr>
          <w:sz w:val="20"/>
        </w:rPr>
        <w:t xml:space="preserve">Спецсвязи России</w:t>
      </w:r>
      <w:r>
        <w:rPr>
          <w:sz w:val="20"/>
        </w:rPr>
        <w:t xml:space="preserve">.</w:t>
      </w:r>
      <w:r>
        <w:rPr>
          <w:sz w:val="20"/>
        </w:rPr>
      </w:r>
      <w:r>
        <w:rPr>
          <w:sz w:val="20"/>
        </w:rPr>
      </w:r>
    </w:p>
    <w:p>
      <w:pPr>
        <w:pStyle w:val="910"/>
        <w:numPr>
          <w:ilvl w:val="1"/>
          <w:numId w:val="19"/>
        </w:numPr>
        <w:ind w:left="0" w:firstLine="348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Тарифы</w:t>
      </w:r>
      <w:r>
        <w:rPr>
          <w:sz w:val="20"/>
        </w:rPr>
        <w:t xml:space="preserve"> на оказание услуг специальной связи/ специальной почтовой связи по сбору/ доставке </w:t>
      </w:r>
      <w:r>
        <w:rPr>
          <w:sz w:val="20"/>
        </w:rPr>
        <w:t xml:space="preserve">секретных/</w:t>
      </w:r>
      <w:r>
        <w:rPr>
          <w:sz w:val="20"/>
        </w:rPr>
        <w:t xml:space="preserve">стандартных отправлений из/ в населенные пункты, не обслуживаемые плановыми маршрутами </w:t>
      </w:r>
      <w:r>
        <w:rPr>
          <w:sz w:val="20"/>
        </w:rPr>
        <w:t xml:space="preserve">Спецсвязи России</w:t>
      </w:r>
      <w:r>
        <w:rPr>
          <w:sz w:val="20"/>
        </w:rPr>
        <w:t xml:space="preserve">, рассчитываются индивидуально. Тариф учитывает дополнительные расходы, которые понесет </w:t>
      </w:r>
      <w:r>
        <w:rPr>
          <w:sz w:val="20"/>
        </w:rPr>
        <w:t xml:space="preserve">Спецсвязь России</w:t>
      </w:r>
      <w:r>
        <w:rPr>
          <w:sz w:val="20"/>
        </w:rPr>
        <w:t xml:space="preserve"> для оказания данных услуг. </w:t>
      </w:r>
      <w:r>
        <w:rPr>
          <w:sz w:val="20"/>
        </w:rPr>
      </w:r>
      <w:r>
        <w:rPr>
          <w:sz w:val="20"/>
        </w:rPr>
      </w:r>
    </w:p>
    <w:p>
      <w:pPr>
        <w:pStyle w:val="910"/>
        <w:numPr>
          <w:ilvl w:val="1"/>
          <w:numId w:val="19"/>
        </w:numPr>
        <w:ind w:left="0" w:firstLine="348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Расчет</w:t>
      </w:r>
      <w:r>
        <w:rPr>
          <w:sz w:val="20"/>
        </w:rPr>
        <w:t xml:space="preserve"> стоимости по указанным в пунктах</w:t>
      </w:r>
      <w:r>
        <w:rPr>
          <w:sz w:val="20"/>
        </w:rPr>
        <w:t xml:space="preserve"> 2</w:t>
      </w:r>
      <w:r>
        <w:rPr>
          <w:sz w:val="20"/>
        </w:rPr>
        <w:t xml:space="preserve"> и 4</w:t>
      </w:r>
      <w:r>
        <w:rPr>
          <w:sz w:val="20"/>
        </w:rPr>
        <w:t xml:space="preserve"> тарифам производится за каждое принятое к доставке </w:t>
      </w:r>
      <w:r>
        <w:rPr>
          <w:sz w:val="20"/>
        </w:rPr>
        <w:t xml:space="preserve">секретное/</w:t>
      </w:r>
      <w:r>
        <w:rPr>
          <w:sz w:val="20"/>
        </w:rPr>
        <w:t xml:space="preserve">стандартное отправление даже в случае, если оно является частью партии, идущей от одного отправителя в адрес одного получателя. </w:t>
      </w:r>
      <w:r>
        <w:rPr>
          <w:sz w:val="20"/>
        </w:rPr>
      </w:r>
      <w:r>
        <w:rPr>
          <w:sz w:val="20"/>
        </w:rPr>
      </w:r>
    </w:p>
    <w:p>
      <w:pPr>
        <w:pStyle w:val="910"/>
        <w:numPr>
          <w:ilvl w:val="1"/>
          <w:numId w:val="19"/>
        </w:numPr>
        <w:ind w:left="0" w:firstLine="348"/>
        <w:jc w:val="both"/>
        <w:spacing w:before="120"/>
        <w:tabs>
          <w:tab w:val="left" w:pos="1134" w:leader="none"/>
        </w:tabs>
        <w:rPr>
          <w:sz w:val="16"/>
        </w:rPr>
      </w:pPr>
      <w:r>
        <w:rPr>
          <w:sz w:val="20"/>
          <w:szCs w:val="24"/>
        </w:rPr>
        <w:t xml:space="preserve">Доставка сопроводительного пакета с документами (важность «СПР») к секретным отправлениям не тарифицируется.</w:t>
      </w:r>
      <w:r>
        <w:rPr>
          <w:sz w:val="16"/>
        </w:rPr>
      </w:r>
      <w:r>
        <w:rPr>
          <w:sz w:val="16"/>
        </w:rPr>
      </w:r>
    </w:p>
    <w:p>
      <w:pPr>
        <w:pStyle w:val="910"/>
        <w:numPr>
          <w:ilvl w:val="1"/>
          <w:numId w:val="19"/>
        </w:numPr>
        <w:ind w:left="0" w:firstLine="348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Вес </w:t>
      </w:r>
      <w:r>
        <w:rPr>
          <w:sz w:val="20"/>
        </w:rPr>
        <w:t xml:space="preserve">секретного/</w:t>
      </w:r>
      <w:r>
        <w:rPr>
          <w:sz w:val="20"/>
        </w:rPr>
        <w:t xml:space="preserve">стандартного отправления, превышающий указанный в таблицах </w:t>
      </w:r>
      <w:r>
        <w:rPr>
          <w:sz w:val="20"/>
        </w:rPr>
        <w:t xml:space="preserve">1,2 и 3,</w:t>
      </w:r>
      <w:r>
        <w:rPr>
          <w:sz w:val="20"/>
        </w:rPr>
        <w:t xml:space="preserve">4 </w:t>
      </w:r>
      <w:r>
        <w:rPr>
          <w:sz w:val="20"/>
        </w:rPr>
        <w:t xml:space="preserve">на любую долю килограмма, должен тарифицироваться как целый килограмм.</w:t>
      </w:r>
      <w:r>
        <w:rPr>
          <w:sz w:val="20"/>
        </w:rPr>
      </w:r>
      <w:r>
        <w:rPr>
          <w:sz w:val="20"/>
        </w:rPr>
      </w:r>
    </w:p>
    <w:p>
      <w:pPr>
        <w:pStyle w:val="910"/>
        <w:numPr>
          <w:ilvl w:val="1"/>
          <w:numId w:val="19"/>
        </w:numPr>
        <w:ind w:left="0" w:firstLine="348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Для </w:t>
      </w:r>
      <w:r>
        <w:rPr>
          <w:sz w:val="20"/>
        </w:rPr>
        <w:t xml:space="preserve">секретных/</w:t>
      </w:r>
      <w:r>
        <w:rPr>
          <w:sz w:val="20"/>
        </w:rPr>
        <w:t xml:space="preserve">стандартных отправлений, объемный вес которых превышает физический, тариф определяется по объемному весу. Объемный вес </w:t>
      </w:r>
      <w:r>
        <w:rPr>
          <w:sz w:val="20"/>
        </w:rPr>
        <w:t xml:space="preserve">секретного/</w:t>
      </w:r>
      <w:r>
        <w:rPr>
          <w:sz w:val="20"/>
        </w:rPr>
        <w:t xml:space="preserve">стандартного отправления определяется по формуле: </w:t>
      </w:r>
      <w:r>
        <w:rPr>
          <w:sz w:val="20"/>
        </w:rPr>
      </w:r>
      <w:r>
        <w:rPr>
          <w:sz w:val="20"/>
        </w:rPr>
      </w:r>
    </w:p>
    <w:p>
      <w:pPr>
        <w:pStyle w:val="958"/>
        <w:contextualSpacing w:val="0"/>
        <w:ind w:left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- </w:t>
      </w:r>
      <w:r>
        <w:rPr>
          <w:sz w:val="20"/>
          <w:szCs w:val="20"/>
        </w:rPr>
        <w:t xml:space="preserve">для коробки объёмный вес (кг) = (длина (см) × ширина (см) × высота (см)) / 5000;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- </w:t>
      </w:r>
      <w:r>
        <w:rPr>
          <w:sz w:val="20"/>
          <w:szCs w:val="20"/>
        </w:rPr>
        <w:t xml:space="preserve">для рулона объёмный вес (кг) = (площадь круга (см2) × высота (см)) / 5000;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8"/>
        <w:contextualSpacing w:val="0"/>
        <w:ind w:left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- </w:t>
      </w:r>
      <w:r>
        <w:rPr>
          <w:sz w:val="20"/>
          <w:szCs w:val="20"/>
        </w:rPr>
        <w:t xml:space="preserve">площадь круга = πR2, где R – радиус круга (см), π=3,14.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0"/>
        <w:numPr>
          <w:ilvl w:val="1"/>
          <w:numId w:val="19"/>
        </w:numPr>
        <w:ind w:left="0" w:firstLine="348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bCs/>
          <w:sz w:val="20"/>
        </w:rPr>
        <w:t xml:space="preserve">Предельный</w:t>
      </w:r>
      <w:r>
        <w:rPr>
          <w:sz w:val="20"/>
        </w:rPr>
        <w:t xml:space="preserve"> фактический вес места </w:t>
      </w:r>
      <w:r>
        <w:rPr>
          <w:sz w:val="20"/>
        </w:rPr>
        <w:t xml:space="preserve">секретного/</w:t>
      </w:r>
      <w:r>
        <w:rPr>
          <w:sz w:val="20"/>
        </w:rPr>
        <w:t xml:space="preserve">стандартного отправления по тарифам, указанным в </w:t>
      </w:r>
      <w:r>
        <w:rPr>
          <w:sz w:val="20"/>
        </w:rPr>
        <w:t xml:space="preserve">настоящем приложении</w:t>
      </w:r>
      <w:r>
        <w:rPr>
          <w:sz w:val="20"/>
        </w:rPr>
        <w:t xml:space="preserve">, не должен превышать 300 кг, а предельные габаритные размеры места </w:t>
      </w:r>
      <w:r>
        <w:rPr>
          <w:sz w:val="20"/>
        </w:rPr>
        <w:t xml:space="preserve">секретного/</w:t>
      </w:r>
      <w:r>
        <w:rPr>
          <w:sz w:val="20"/>
        </w:rPr>
        <w:t xml:space="preserve">стандартного отправления не должны быть более 200×100×75</w:t>
      </w:r>
      <w:r>
        <w:rPr>
          <w:color w:val="ffffff"/>
          <w:sz w:val="20"/>
        </w:rPr>
        <w:t xml:space="preserve">_</w:t>
      </w:r>
      <w:r>
        <w:rPr>
          <w:sz w:val="20"/>
        </w:rPr>
        <w:t xml:space="preserve">см:</w:t>
      </w:r>
      <w:r>
        <w:rPr>
          <w:sz w:val="20"/>
        </w:rPr>
      </w:r>
      <w:r>
        <w:rPr>
          <w:sz w:val="20"/>
        </w:rPr>
      </w:r>
    </w:p>
    <w:p>
      <w:pPr>
        <w:pStyle w:val="958"/>
        <w:contextualSpacing w:val="0"/>
        <w:ind w:left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- </w:t>
      </w:r>
      <w:r>
        <w:rPr>
          <w:bCs/>
          <w:sz w:val="20"/>
          <w:szCs w:val="20"/>
        </w:rPr>
        <w:t xml:space="preserve">если габаритные размеры места </w:t>
      </w:r>
      <w:r>
        <w:rPr>
          <w:bCs/>
          <w:sz w:val="20"/>
          <w:szCs w:val="20"/>
        </w:rPr>
        <w:t xml:space="preserve">секретного/стандартного </w:t>
      </w:r>
      <w:r>
        <w:rPr>
          <w:bCs/>
          <w:sz w:val="20"/>
          <w:szCs w:val="20"/>
        </w:rPr>
        <w:t xml:space="preserve">отправления по одной из сторон превышают 200 см и/ или физический вес места </w:t>
      </w:r>
      <w:r>
        <w:rPr>
          <w:bCs/>
          <w:sz w:val="20"/>
          <w:szCs w:val="20"/>
        </w:rPr>
        <w:t xml:space="preserve">секретного/</w:t>
      </w:r>
      <w:r>
        <w:rPr>
          <w:sz w:val="20"/>
          <w:szCs w:val="20"/>
        </w:rPr>
        <w:t xml:space="preserve">стандартного </w:t>
      </w:r>
      <w:r>
        <w:rPr>
          <w:bCs/>
          <w:sz w:val="20"/>
          <w:szCs w:val="20"/>
        </w:rPr>
        <w:t xml:space="preserve">отправления превышает 300 кг, сбор/ </w:t>
      </w:r>
      <w:r>
        <w:rPr>
          <w:sz w:val="20"/>
          <w:szCs w:val="20"/>
        </w:rPr>
        <w:t xml:space="preserve">доставка </w:t>
      </w:r>
      <w:r>
        <w:rPr>
          <w:sz w:val="20"/>
          <w:szCs w:val="20"/>
        </w:rPr>
        <w:t xml:space="preserve">секретного/</w:t>
      </w:r>
      <w:r>
        <w:rPr>
          <w:sz w:val="20"/>
          <w:szCs w:val="20"/>
        </w:rPr>
        <w:t xml:space="preserve">стандартного отправления возможна </w:t>
      </w:r>
      <w:r>
        <w:rPr>
          <w:b/>
          <w:sz w:val="20"/>
          <w:szCs w:val="20"/>
        </w:rPr>
        <w:t xml:space="preserve">только по предварительному согласованию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а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к тарифу применяется повышающий коэффициент 1,5</w:t>
      </w:r>
      <w:r>
        <w:rPr>
          <w:bCs/>
          <w:sz w:val="20"/>
          <w:szCs w:val="20"/>
        </w:rPr>
        <w:t xml:space="preserve">;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958"/>
        <w:contextualSpacing w:val="0"/>
        <w:ind w:left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- </w:t>
      </w:r>
      <w:r>
        <w:rPr>
          <w:bCs/>
          <w:sz w:val="20"/>
          <w:szCs w:val="20"/>
        </w:rPr>
        <w:t xml:space="preserve">если габаритные размеры места </w:t>
      </w:r>
      <w:r>
        <w:rPr>
          <w:bCs/>
          <w:sz w:val="20"/>
          <w:szCs w:val="20"/>
        </w:rPr>
        <w:t xml:space="preserve">секретного/</w:t>
      </w:r>
      <w:r>
        <w:rPr>
          <w:sz w:val="20"/>
          <w:szCs w:val="20"/>
        </w:rPr>
        <w:t xml:space="preserve">стандартного </w:t>
      </w:r>
      <w:r>
        <w:rPr>
          <w:bCs/>
          <w:sz w:val="20"/>
          <w:szCs w:val="20"/>
        </w:rPr>
        <w:t xml:space="preserve">отправления по одной из сторон превышают 200 см и физический вес места </w:t>
      </w:r>
      <w:r>
        <w:rPr>
          <w:bCs/>
          <w:sz w:val="20"/>
          <w:szCs w:val="20"/>
        </w:rPr>
        <w:t xml:space="preserve">секретного/</w:t>
      </w:r>
      <w:r>
        <w:rPr>
          <w:sz w:val="20"/>
          <w:szCs w:val="20"/>
        </w:rPr>
        <w:t xml:space="preserve">стандартного </w:t>
      </w:r>
      <w:r>
        <w:rPr>
          <w:bCs/>
          <w:sz w:val="20"/>
          <w:szCs w:val="20"/>
        </w:rPr>
        <w:t xml:space="preserve">отправления превышает 300 кг, </w:t>
      </w:r>
      <w:r>
        <w:rPr>
          <w:b/>
          <w:bCs/>
          <w:sz w:val="20"/>
          <w:szCs w:val="20"/>
        </w:rPr>
        <w:t xml:space="preserve">повышающий коэффициент к платному (расчётному) весу применяется единожды</w:t>
      </w:r>
      <w:r>
        <w:rPr>
          <w:bCs/>
          <w:sz w:val="20"/>
          <w:szCs w:val="20"/>
        </w:rPr>
        <w:t xml:space="preserve">.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958"/>
        <w:contextualSpacing w:val="0"/>
        <w:ind w:left="0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- </w:t>
      </w:r>
      <w:r>
        <w:rPr>
          <w:bCs/>
          <w:sz w:val="20"/>
          <w:szCs w:val="20"/>
        </w:rPr>
        <w:t xml:space="preserve">если одновременно физический вес секретного отправления не превышает 300 кг, его габаритные размеры по одной из сторон не превышают 200 см, а объемный вес секретного отправления превышает 300 кг, повышающий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0"/>
          <w:szCs w:val="20"/>
        </w:rPr>
        <w:t xml:space="preserve">коэффициент не применяется.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910"/>
        <w:numPr>
          <w:ilvl w:val="1"/>
          <w:numId w:val="19"/>
        </w:numPr>
        <w:ind w:left="0" w:firstLine="348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В том случае, есл</w:t>
      </w:r>
      <w:r>
        <w:rPr>
          <w:sz w:val="20"/>
        </w:rPr>
        <w:t xml:space="preserve">и по ошибке отправителя адрес (населенный пункт) доставки указан неверно, отправитель должен оплатить доставку по неверно указанному адресу в полном объеме в соответствии с установленными тарифами. Доставка по новому (правильному) адресу при переадресации </w:t>
      </w:r>
      <w:r>
        <w:rPr>
          <w:sz w:val="20"/>
        </w:rPr>
        <w:t xml:space="preserve">секретного/</w:t>
      </w:r>
      <w:r>
        <w:rPr>
          <w:sz w:val="20"/>
        </w:rPr>
        <w:t xml:space="preserve">стандартного отправления должна оплачиваться дополнительно в соответствии с установленными </w:t>
      </w:r>
      <w:r>
        <w:rPr>
          <w:sz w:val="20"/>
        </w:rPr>
        <w:t xml:space="preserve">договором/контрактом тарифами. Переадресация в пределах одного населенного пункта не тарифицируется.</w:t>
      </w:r>
      <w:r>
        <w:rPr>
          <w:sz w:val="20"/>
        </w:rPr>
      </w:r>
      <w:r>
        <w:rPr>
          <w:sz w:val="20"/>
        </w:rPr>
      </w:r>
    </w:p>
    <w:p>
      <w:pPr>
        <w:pStyle w:val="958"/>
        <w:numPr>
          <w:ilvl w:val="0"/>
          <w:numId w:val="19"/>
        </w:numPr>
        <w:contextualSpacing w:val="0"/>
        <w:ind w:left="0" w:firstLine="709"/>
        <w:jc w:val="both"/>
        <w:spacing w:before="240" w:after="0" w:line="240" w:lineRule="auto"/>
        <w:tabs>
          <w:tab w:val="left" w:pos="1276" w:leader="none"/>
        </w:tabs>
        <w:rPr>
          <w:b/>
          <w:sz w:val="20"/>
          <w:szCs w:val="20"/>
        </w:rPr>
      </w:pPr>
      <w:r/>
      <w:bookmarkStart w:id="3" w:name="_Toc468775298"/>
      <w:r/>
      <w:bookmarkStart w:id="4" w:name="_Toc492985950"/>
      <w:r>
        <w:rPr>
          <w:b/>
          <w:sz w:val="20"/>
          <w:szCs w:val="20"/>
        </w:rPr>
        <w:t xml:space="preserve">Дополнительные услуги</w:t>
      </w:r>
      <w:bookmarkEnd w:id="3"/>
      <w:r/>
      <w:bookmarkEnd w:id="4"/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10"/>
        <w:numPr>
          <w:ilvl w:val="1"/>
          <w:numId w:val="19"/>
        </w:numPr>
        <w:ind w:left="0" w:firstLine="709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 Плата за предоставление </w:t>
      </w:r>
      <w:r>
        <w:rPr>
          <w:sz w:val="20"/>
        </w:rPr>
        <w:t xml:space="preserve">З</w:t>
      </w:r>
      <w:r>
        <w:rPr>
          <w:sz w:val="20"/>
        </w:rPr>
        <w:t xml:space="preserve">аказчику пластиковых пакетов типа «Секьюрпак» не взимается.</w:t>
      </w:r>
      <w:r>
        <w:rPr>
          <w:sz w:val="20"/>
        </w:rPr>
      </w:r>
      <w:r>
        <w:rPr>
          <w:sz w:val="20"/>
        </w:rPr>
      </w:r>
    </w:p>
    <w:p>
      <w:pPr>
        <w:pStyle w:val="910"/>
        <w:numPr>
          <w:ilvl w:val="1"/>
          <w:numId w:val="19"/>
        </w:numPr>
        <w:ind w:left="0" w:firstLine="709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Тариф за хранение каждого места секретного/стандартного отправления по прошествии 5 (Пяти) рабочих дней после направления уведомления о его прибытии в филиал составляет:</w:t>
      </w:r>
      <w:r>
        <w:rPr>
          <w:sz w:val="20"/>
        </w:rPr>
      </w:r>
      <w:r>
        <w:rPr>
          <w:sz w:val="20"/>
        </w:rPr>
      </w:r>
    </w:p>
    <w:p>
      <w:pPr>
        <w:pStyle w:val="910"/>
        <w:ind w:left="0"/>
        <w:jc w:val="both"/>
        <w:spacing w:before="120"/>
        <w:tabs>
          <w:tab w:val="left" w:pos="284" w:leader="none"/>
          <w:tab w:val="left" w:pos="993" w:leader="none"/>
          <w:tab w:val="left" w:pos="1134" w:leader="none"/>
        </w:tabs>
        <w:rPr>
          <w:sz w:val="20"/>
        </w:rPr>
      </w:pPr>
      <w:r>
        <w:rPr>
          <w:sz w:val="20"/>
        </w:rPr>
        <w:tab/>
        <w:tab/>
        <w:t xml:space="preserve">- </w:t>
      </w:r>
      <w:r>
        <w:rPr>
          <w:sz w:val="20"/>
        </w:rPr>
        <w:t xml:space="preserve">101 руб. за полные или неполные сутки, если место секретного/стандартного отправления занимает площадь </w:t>
      </w:r>
      <w:r>
        <w:rPr>
          <w:b/>
          <w:sz w:val="20"/>
        </w:rPr>
        <w:t xml:space="preserve">менее</w:t>
      </w:r>
      <w:r>
        <w:rPr>
          <w:sz w:val="20"/>
        </w:rPr>
        <w:t xml:space="preserve"> 1 кв. м.;</w:t>
      </w:r>
      <w:r>
        <w:rPr>
          <w:sz w:val="20"/>
        </w:rPr>
      </w:r>
      <w:r>
        <w:rPr>
          <w:sz w:val="20"/>
        </w:rPr>
      </w:r>
    </w:p>
    <w:p>
      <w:pPr>
        <w:pStyle w:val="910"/>
        <w:ind w:left="0"/>
        <w:jc w:val="both"/>
        <w:spacing w:before="120"/>
        <w:tabs>
          <w:tab w:val="left" w:pos="284" w:leader="none"/>
          <w:tab w:val="left" w:pos="993" w:leader="none"/>
          <w:tab w:val="left" w:pos="1134" w:leader="none"/>
        </w:tabs>
        <w:rPr>
          <w:sz w:val="20"/>
        </w:rPr>
      </w:pPr>
      <w:r>
        <w:rPr>
          <w:sz w:val="20"/>
        </w:rPr>
        <w:tab/>
        <w:tab/>
        <w:t xml:space="preserve">- 442</w:t>
      </w:r>
      <w:r>
        <w:rPr>
          <w:sz w:val="20"/>
        </w:rPr>
        <w:t xml:space="preserve"> руб. за полные или неполные сутки, если место </w:t>
      </w:r>
      <w:r>
        <w:rPr>
          <w:sz w:val="20"/>
        </w:rPr>
        <w:t xml:space="preserve">секретного/</w:t>
      </w:r>
      <w:r>
        <w:rPr>
          <w:sz w:val="20"/>
        </w:rPr>
        <w:t xml:space="preserve">стандартного отправления занимает площадь </w:t>
      </w:r>
      <w:r>
        <w:rPr>
          <w:b/>
          <w:sz w:val="20"/>
        </w:rPr>
        <w:t xml:space="preserve">более</w:t>
      </w:r>
      <w:r>
        <w:rPr>
          <w:sz w:val="20"/>
        </w:rPr>
        <w:t xml:space="preserve"> 1 кв. м.</w:t>
      </w:r>
      <w:r>
        <w:rPr>
          <w:sz w:val="20"/>
        </w:rPr>
      </w:r>
      <w:r>
        <w:rPr>
          <w:sz w:val="20"/>
        </w:rPr>
      </w:r>
    </w:p>
    <w:p>
      <w:pPr>
        <w:pStyle w:val="910"/>
        <w:ind w:left="0"/>
        <w:jc w:val="both"/>
        <w:spacing w:before="120"/>
        <w:tabs>
          <w:tab w:val="left" w:pos="284" w:leader="none"/>
          <w:tab w:val="left" w:pos="993" w:leader="none"/>
          <w:tab w:val="left" w:pos="1134" w:leader="none"/>
        </w:tabs>
        <w:rPr>
          <w:sz w:val="20"/>
        </w:rPr>
      </w:pPr>
      <w:r>
        <w:rPr>
          <w:sz w:val="20"/>
        </w:rPr>
        <w:tab/>
        <w:t xml:space="preserve">          </w:t>
      </w:r>
      <w:r>
        <w:rPr>
          <w:b/>
          <w:sz w:val="20"/>
        </w:rPr>
        <w:t xml:space="preserve">14.3</w:t>
      </w:r>
      <w:r>
        <w:rPr>
          <w:sz w:val="20"/>
        </w:rPr>
        <w:t xml:space="preserve"> </w:t>
      </w:r>
      <w:r>
        <w:rPr>
          <w:sz w:val="20"/>
        </w:rPr>
        <w:t xml:space="preserve">Тариф за погрузочно-разгрузочные работы должен применяться в случае, если платный вес секретного/стандартного отправления больше 50 кг и меньше или равен 300 кг. В этом случае, к тарифу за сбор/ доставку добавляется тариф, который составляет:</w:t>
      </w:r>
      <w:r>
        <w:rPr>
          <w:sz w:val="20"/>
        </w:rPr>
      </w:r>
      <w:r>
        <w:rPr>
          <w:sz w:val="20"/>
        </w:rPr>
      </w:r>
    </w:p>
    <w:p>
      <w:pPr>
        <w:pStyle w:val="910"/>
        <w:ind w:left="709"/>
        <w:jc w:val="both"/>
        <w:spacing w:before="120"/>
        <w:tabs>
          <w:tab w:val="left" w:pos="284" w:leader="none"/>
          <w:tab w:val="left" w:pos="993" w:leader="none"/>
          <w:tab w:val="left" w:pos="1134" w:leader="none"/>
        </w:tabs>
        <w:rPr>
          <w:sz w:val="20"/>
        </w:rPr>
      </w:pPr>
      <w:r>
        <w:rPr>
          <w:sz w:val="20"/>
        </w:rPr>
        <w:t xml:space="preserve">- </w:t>
      </w:r>
      <w:r>
        <w:rPr>
          <w:sz w:val="20"/>
        </w:rPr>
        <w:t xml:space="preserve">вес от 50 до 100 кг – 328 руб.;</w:t>
      </w:r>
      <w:r>
        <w:rPr>
          <w:sz w:val="20"/>
        </w:rPr>
      </w:r>
      <w:r>
        <w:rPr>
          <w:sz w:val="20"/>
        </w:rPr>
      </w:r>
    </w:p>
    <w:p>
      <w:pPr>
        <w:pStyle w:val="910"/>
        <w:ind w:left="709"/>
        <w:jc w:val="both"/>
        <w:spacing w:before="120"/>
        <w:tabs>
          <w:tab w:val="left" w:pos="284" w:leader="none"/>
          <w:tab w:val="left" w:pos="993" w:leader="none"/>
          <w:tab w:val="left" w:pos="1134" w:leader="none"/>
        </w:tabs>
        <w:rPr>
          <w:sz w:val="20"/>
        </w:rPr>
      </w:pPr>
      <w:r>
        <w:rPr>
          <w:sz w:val="20"/>
        </w:rPr>
        <w:t xml:space="preserve">- </w:t>
      </w:r>
      <w:r>
        <w:rPr>
          <w:sz w:val="20"/>
        </w:rPr>
        <w:t xml:space="preserve">вес от 101 кг до 200 кг – </w:t>
      </w:r>
      <w:r>
        <w:rPr>
          <w:sz w:val="20"/>
        </w:rPr>
        <w:t xml:space="preserve">505</w:t>
      </w:r>
      <w:r>
        <w:rPr>
          <w:sz w:val="20"/>
        </w:rPr>
        <w:t xml:space="preserve"> руб.;</w:t>
      </w:r>
      <w:r>
        <w:rPr>
          <w:sz w:val="20"/>
        </w:rPr>
      </w:r>
      <w:r>
        <w:rPr>
          <w:sz w:val="20"/>
        </w:rPr>
      </w:r>
    </w:p>
    <w:p>
      <w:pPr>
        <w:pStyle w:val="958"/>
        <w:contextualSpacing w:val="0"/>
        <w:ind w:left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вес от 201 кг до 300 кг – 7</w:t>
      </w:r>
      <w:r>
        <w:rPr>
          <w:sz w:val="20"/>
          <w:szCs w:val="20"/>
        </w:rPr>
        <w:t xml:space="preserve">58</w:t>
      </w:r>
      <w:r>
        <w:rPr>
          <w:sz w:val="20"/>
          <w:szCs w:val="20"/>
        </w:rPr>
        <w:t xml:space="preserve"> руб.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10"/>
        <w:numPr>
          <w:ilvl w:val="1"/>
          <w:numId w:val="20"/>
        </w:numPr>
        <w:ind w:left="0" w:firstLine="709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Тариф за предоставление информации из архива (например, копия реестра ф.1, ф.5) составляет – </w:t>
      </w:r>
      <w:r>
        <w:rPr>
          <w:sz w:val="20"/>
        </w:rPr>
        <w:t xml:space="preserve">63</w:t>
      </w:r>
      <w:r>
        <w:rPr>
          <w:sz w:val="20"/>
        </w:rPr>
        <w:t xml:space="preserve"> руб. за каждый документ.</w:t>
      </w:r>
      <w:r>
        <w:rPr>
          <w:sz w:val="20"/>
        </w:rPr>
      </w:r>
      <w:r>
        <w:rPr>
          <w:sz w:val="20"/>
        </w:rPr>
      </w:r>
    </w:p>
    <w:p>
      <w:pPr>
        <w:pStyle w:val="910"/>
        <w:numPr>
          <w:ilvl w:val="1"/>
          <w:numId w:val="20"/>
        </w:numPr>
        <w:ind w:left="0" w:firstLine="709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Тариф за простой автомобиля длительностью свыше 30 минут составляет – </w:t>
      </w:r>
      <w:r>
        <w:rPr>
          <w:sz w:val="20"/>
        </w:rPr>
        <w:t xml:space="preserve">884</w:t>
      </w:r>
      <w:r>
        <w:rPr>
          <w:sz w:val="20"/>
        </w:rPr>
        <w:t xml:space="preserve"> руб. за каждый час простоя. Время фактической передачи </w:t>
      </w:r>
      <w:r>
        <w:rPr>
          <w:sz w:val="20"/>
        </w:rPr>
        <w:t xml:space="preserve">секретного/</w:t>
      </w:r>
      <w:r>
        <w:rPr>
          <w:sz w:val="20"/>
        </w:rPr>
        <w:t xml:space="preserve">стандартного отправления фиксируется в реестре ф. 1.</w:t>
      </w:r>
      <w:r>
        <w:rPr>
          <w:sz w:val="20"/>
        </w:rPr>
      </w:r>
      <w:r>
        <w:rPr>
          <w:sz w:val="20"/>
        </w:rPr>
      </w:r>
    </w:p>
    <w:p>
      <w:pPr>
        <w:pStyle w:val="910"/>
        <w:numPr>
          <w:ilvl w:val="1"/>
          <w:numId w:val="20"/>
        </w:numPr>
        <w:ind w:left="0" w:firstLine="709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Тариф за отказ отправителя от заявки на сбор </w:t>
      </w:r>
      <w:r>
        <w:rPr>
          <w:sz w:val="20"/>
        </w:rPr>
        <w:t xml:space="preserve">секретного/</w:t>
      </w:r>
      <w:r>
        <w:rPr>
          <w:sz w:val="20"/>
        </w:rPr>
        <w:t xml:space="preserve">стандартного отправления либо от передачи </w:t>
      </w:r>
      <w:r>
        <w:rPr>
          <w:sz w:val="20"/>
        </w:rPr>
        <w:t xml:space="preserve">секретного/</w:t>
      </w:r>
      <w:r>
        <w:rPr>
          <w:sz w:val="20"/>
        </w:rPr>
        <w:t xml:space="preserve">стандартного отправления для его дальнейшей доставки составляет – 1 </w:t>
      </w:r>
      <w:r>
        <w:rPr>
          <w:sz w:val="20"/>
        </w:rPr>
        <w:t xml:space="preserve">325</w:t>
      </w:r>
      <w:r>
        <w:rPr>
          <w:sz w:val="20"/>
        </w:rPr>
        <w:t xml:space="preserve"> руб.</w:t>
      </w:r>
      <w:r>
        <w:rPr>
          <w:sz w:val="20"/>
        </w:rPr>
      </w:r>
      <w:r>
        <w:rPr>
          <w:sz w:val="20"/>
        </w:rPr>
      </w:r>
    </w:p>
    <w:p>
      <w:pPr>
        <w:pStyle w:val="958"/>
        <w:numPr>
          <w:ilvl w:val="0"/>
          <w:numId w:val="20"/>
        </w:numPr>
        <w:contextualSpacing w:val="0"/>
        <w:ind w:left="0" w:firstLine="709"/>
        <w:jc w:val="both"/>
        <w:spacing w:before="240" w:after="0" w:line="240" w:lineRule="auto"/>
        <w:tabs>
          <w:tab w:val="left" w:pos="1276" w:leader="none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Таможенное оформление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09"/>
        <w:numPr>
          <w:ilvl w:val="1"/>
          <w:numId w:val="21"/>
        </w:numPr>
        <w:ind w:left="0" w:firstLine="709"/>
        <w:jc w:val="both"/>
      </w:pPr>
      <w:r>
        <w:t xml:space="preserve">Секретные отправления с индексом вложимого 1 «Документация» и весом до 20 кг, принимаемые от органов прокуратуры, ФСБ России, МВД России, Минобороны России, Минюста России, таможенных и налоговых органов, не подлежат процедуре таможенного оформления.</w:t>
      </w:r>
      <w:r/>
    </w:p>
    <w:p>
      <w:pPr>
        <w:pStyle w:val="910"/>
        <w:numPr>
          <w:ilvl w:val="1"/>
          <w:numId w:val="21"/>
        </w:numPr>
        <w:ind w:left="0" w:firstLine="709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Все </w:t>
      </w:r>
      <w:r>
        <w:rPr>
          <w:sz w:val="20"/>
        </w:rPr>
        <w:t xml:space="preserve">секретные/</w:t>
      </w:r>
      <w:r>
        <w:rPr>
          <w:sz w:val="20"/>
        </w:rPr>
        <w:t xml:space="preserve">стандартные отправления, весом до 2 кг и с индексом вложимого 1 «Документация», не подлежат таможенному оформлению.</w:t>
      </w:r>
      <w:r>
        <w:rPr>
          <w:sz w:val="20"/>
        </w:rPr>
      </w:r>
      <w:r>
        <w:rPr>
          <w:sz w:val="20"/>
        </w:rPr>
      </w:r>
    </w:p>
    <w:p>
      <w:pPr>
        <w:pStyle w:val="910"/>
        <w:numPr>
          <w:ilvl w:val="1"/>
          <w:numId w:val="21"/>
        </w:numPr>
        <w:ind w:left="0" w:firstLine="709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Все </w:t>
      </w:r>
      <w:r>
        <w:rPr>
          <w:sz w:val="20"/>
        </w:rPr>
        <w:t xml:space="preserve">секретные/</w:t>
      </w:r>
      <w:r>
        <w:rPr>
          <w:sz w:val="20"/>
        </w:rPr>
        <w:t xml:space="preserve">стандартные отправления, адресованные в страны ТС ЕАЭС, не подлежат таможенному оформлению.</w:t>
      </w:r>
      <w:r>
        <w:rPr>
          <w:sz w:val="20"/>
        </w:rPr>
      </w:r>
      <w:r>
        <w:rPr>
          <w:sz w:val="20"/>
        </w:rPr>
      </w:r>
    </w:p>
    <w:p>
      <w:pPr>
        <w:pStyle w:val="910"/>
        <w:numPr>
          <w:ilvl w:val="1"/>
          <w:numId w:val="21"/>
        </w:numPr>
        <w:ind w:left="0" w:firstLine="709"/>
        <w:jc w:val="both"/>
        <w:spacing w:before="120"/>
        <w:tabs>
          <w:tab w:val="left" w:pos="1134" w:leader="none"/>
        </w:tabs>
        <w:rPr>
          <w:sz w:val="20"/>
        </w:rPr>
      </w:pPr>
      <w:r>
        <w:rPr>
          <w:sz w:val="20"/>
        </w:rPr>
        <w:t xml:space="preserve">Все </w:t>
      </w:r>
      <w:r>
        <w:rPr>
          <w:sz w:val="20"/>
        </w:rPr>
        <w:t xml:space="preserve">секретные/</w:t>
      </w:r>
      <w:r>
        <w:rPr>
          <w:sz w:val="20"/>
        </w:rPr>
        <w:t xml:space="preserve">стандартные отправления, адресованные в страны СНГ (кроме отправлений, </w:t>
      </w:r>
      <w:r>
        <w:rPr>
          <w:sz w:val="20"/>
        </w:rPr>
        <w:t xml:space="preserve">указанных в пунктах 15.1-15.3),</w:t>
      </w:r>
      <w:r>
        <w:rPr>
          <w:sz w:val="20"/>
        </w:rPr>
        <w:t xml:space="preserve"> подлеж</w:t>
      </w:r>
      <w:r>
        <w:rPr>
          <w:sz w:val="20"/>
        </w:rPr>
        <w:t xml:space="preserve">ат</w:t>
      </w:r>
      <w:r>
        <w:rPr>
          <w:sz w:val="20"/>
        </w:rPr>
        <w:t xml:space="preserve"> таможенному оформлению, тарифицир</w:t>
      </w:r>
      <w:r>
        <w:rPr>
          <w:sz w:val="20"/>
        </w:rPr>
        <w:t xml:space="preserve">уются</w:t>
      </w:r>
      <w:r>
        <w:rPr>
          <w:sz w:val="20"/>
        </w:rPr>
        <w:t xml:space="preserve"> индивидуально и не являются предметом типового договора</w:t>
      </w:r>
      <w:r>
        <w:rPr>
          <w:sz w:val="20"/>
        </w:rPr>
        <w:t xml:space="preserve">/контракта</w:t>
      </w:r>
      <w:r>
        <w:rPr>
          <w:sz w:val="20"/>
        </w:rPr>
        <w:t xml:space="preserve"> на оказание услуг по доставке </w:t>
      </w:r>
      <w:r>
        <w:rPr>
          <w:sz w:val="20"/>
        </w:rPr>
        <w:t xml:space="preserve">секретных/</w:t>
      </w:r>
      <w:r>
        <w:rPr>
          <w:sz w:val="20"/>
        </w:rPr>
        <w:t xml:space="preserve">стандартных отправлений.</w:t>
      </w:r>
      <w:r>
        <w:rPr>
          <w:sz w:val="20"/>
        </w:rPr>
      </w:r>
      <w:r>
        <w:rPr>
          <w:sz w:val="20"/>
        </w:rPr>
      </w:r>
    </w:p>
    <w:p>
      <w:pPr>
        <w:pStyle w:val="909"/>
      </w:pPr>
      <w:r/>
      <w:r/>
    </w:p>
    <w:p>
      <w:pPr>
        <w:pStyle w:val="910"/>
        <w:ind w:left="792"/>
        <w:spacing w:after="120"/>
        <w:tabs>
          <w:tab w:val="left" w:pos="1134" w:leader="none"/>
        </w:tabs>
        <w:rPr>
          <w:rStyle w:val="931"/>
          <w:b/>
          <w:sz w:val="20"/>
        </w:rPr>
      </w:pPr>
      <w:r>
        <w:rPr>
          <w:rStyle w:val="931"/>
          <w:b/>
          <w:sz w:val="20"/>
        </w:rPr>
        <w:t xml:space="preserve">16. Список субъектов РФ</w:t>
      </w:r>
      <w:r>
        <w:rPr>
          <w:rStyle w:val="931"/>
          <w:b/>
          <w:sz w:val="20"/>
        </w:rPr>
      </w:r>
      <w:r>
        <w:rPr>
          <w:rStyle w:val="931"/>
          <w:b/>
          <w:sz w:val="20"/>
        </w:rPr>
      </w:r>
    </w:p>
    <w:p>
      <w:pPr>
        <w:pStyle w:val="909"/>
      </w:pPr>
      <w:r>
        <w:t xml:space="preserve">  </w:t>
      </w:r>
      <w:r>
        <w:t xml:space="preserve">Таблица 12</w:t>
      </w:r>
      <w:r/>
    </w:p>
    <w:tbl>
      <w:tblPr>
        <w:tblW w:w="9562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494"/>
        <w:gridCol w:w="3160"/>
        <w:gridCol w:w="2908"/>
      </w:tblGrid>
      <w:tr>
        <w:trPr>
          <w:trHeight w:val="594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Тип субъекта РФ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Субъект РФ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Административный центр субъекта РФ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Адыгея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Майкоп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Алтай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Горно-Алтайск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Алтайский 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Барнаул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Амурская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Благовещенск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Архангельская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Архангельск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Астраханская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Астрахань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Башкортостан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Уфа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Белгородская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Белгород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Брянская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Брянск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Бурятия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Улан-Удэ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Владимирская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Владимир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Волгоградская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Волгоград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Вологодская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Вологда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Воронежская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Воронеж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Дагестан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Махачкала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Народная 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Донецкая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Донецк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Автономная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Еврейская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Биробиджан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Забайкальский 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Чита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Запорожская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Мелитополь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Ивановская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Иваново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Ингушетия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Магас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Иркутская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Иркутск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Кабардино-Балкария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Нальчик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Калининградская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Калининград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Калмыкия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Элиста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Калужская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Калуга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Камчатский 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Петропавловск-Камчатский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Карачаево-Черкесская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Черкесск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Карелия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Петрозаводск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Кемеровская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Кемерово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Киров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Коми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Сыктывкар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Костромская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Кострома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Краснодарский 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Краснодар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Красноярский 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Красноярск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Крым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Симферополь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Курганская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Курган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Курская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Курск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Ленинградская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Санкт-Петербург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Липецкая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Липецк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Народная 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Луганская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Луганск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Магаданская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Магадан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Марий Эл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Йошкар-Ола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Мордовия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Саранск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Город федерального значения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Москва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Москва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Московская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Москва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Мурманская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Мурманск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Автономный округ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Ненецкий АО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Нарьян-Мар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Нижегородская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Нижний Новгород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Новгородская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Великий Новгород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Новосибирская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Новосибирск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Омская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Омск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Оренбургская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Оренбург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Орловская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Орел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Пензенская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Пенза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Пермский 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Пермь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Приморский 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Владивосток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Псковская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Псков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Ростовская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Ростов-на-Дону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Рязанская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Рязань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Самарская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Самара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Город федерального значения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Санкт-Петербург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Санкт-Петербург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Саратовская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Саратов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Саха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Якутск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Сахалинская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Южно-Сахалинск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Свердловская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Екатеринбург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Город федерального значения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Севастополь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Севастополь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Северная Осетия-Алания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Владикавказ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Смоленская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Смоленск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Ставропольский 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Ставрополь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Тамбовская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Тамбов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Татарстан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Казань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Тверская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Тверь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Томская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Томск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Тульская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Тула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Тыва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Кызыл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Тюменская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Тюмень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Удмуртия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Ижевск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Ульяновская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Ульяновск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Хабаровский край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Хабаровск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Хакасия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Абакан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Автономный округ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Ханты-Мансийский - Югра АО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Ханты-Мансийск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Херсонская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Геническ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Челябинская 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Челябинск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Чечня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Грозный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Республика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Чувашская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Чебоксары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Автономный округ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Чукотский АО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Анадырь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Автономный округ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Ямало-Ненецкий АО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Салехард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>
          <w:trHeight w:val="297"/>
        </w:trPr>
        <w:tc>
          <w:tcPr>
            <w:tcW w:w="3494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Область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3160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Ярославская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908" w:type="dxa"/>
            <w:vAlign w:val="center"/>
            <w:textDirection w:val="lrTb"/>
            <w:noWrap w:val="false"/>
          </w:tcPr>
          <w:p>
            <w:pPr>
              <w:pStyle w:val="909"/>
              <w:rPr>
                <w:color w:val="000000"/>
              </w:rPr>
            </w:pPr>
            <w:r>
              <w:rPr>
                <w:color w:val="000000"/>
              </w:rPr>
              <w:t xml:space="preserve">Ярославль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909"/>
      </w:pPr>
      <w:r/>
      <w:r/>
    </w:p>
    <w:p>
      <w:pPr>
        <w:pStyle w:val="909"/>
        <w:jc w:val="center"/>
        <w:spacing w:before="120" w:after="120"/>
        <w:rPr>
          <w:b/>
        </w:rPr>
      </w:pPr>
      <w:r>
        <w:rPr>
          <w:b/>
        </w:rPr>
        <w:t xml:space="preserve">17. </w:t>
      </w:r>
      <w:r>
        <w:rPr>
          <w:b/>
        </w:rPr>
        <w:t xml:space="preserve">Список стран, входящих в Таможенный Союз Евразийского Экономического Союза (ТС ЕАЭС)</w:t>
      </w:r>
      <w:r>
        <w:rPr>
          <w:b/>
        </w:rPr>
      </w:r>
      <w:r>
        <w:rPr>
          <w:b/>
        </w:rPr>
      </w:r>
    </w:p>
    <w:p>
      <w:pPr>
        <w:pStyle w:val="909"/>
        <w:spacing w:before="120"/>
        <w:rPr>
          <w:b/>
        </w:rPr>
      </w:pPr>
      <w:r>
        <w:t xml:space="preserve">   </w:t>
      </w:r>
      <w:r>
        <w:t xml:space="preserve">Таблица </w:t>
      </w:r>
      <w:r>
        <w:t xml:space="preserve">13</w:t>
      </w:r>
      <w:r>
        <w:rPr>
          <w:b/>
        </w:rPr>
      </w:r>
      <w:r>
        <w:rPr>
          <w:b/>
        </w:rPr>
      </w:r>
    </w:p>
    <w:tbl>
      <w:tblPr>
        <w:tblW w:w="9563" w:type="dxa"/>
        <w:jc w:val="center"/>
        <w:tblInd w:w="-27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56"/>
        <w:gridCol w:w="4007"/>
      </w:tblGrid>
      <w:tr>
        <w:trPr>
          <w:trHeight w:val="425"/>
        </w:trPr>
        <w:tc>
          <w:tcPr>
            <w:tcW w:w="5556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0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Столица страны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5556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Кыргызская Республика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Бишкек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5556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Армения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Ереван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5556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Беларусь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5556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Казахстан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Астана (бывший Нур-Султан)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5556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0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Москва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09"/>
      </w:pPr>
      <w:r/>
      <w:r/>
    </w:p>
    <w:p>
      <w:pPr>
        <w:pStyle w:val="909"/>
        <w:ind w:firstLine="567"/>
        <w:spacing w:before="120" w:after="120"/>
        <w:rPr>
          <w:b/>
        </w:rPr>
      </w:pPr>
      <w:r>
        <w:rPr>
          <w:b/>
        </w:rPr>
        <w:t xml:space="preserve">18. </w:t>
      </w:r>
      <w:r>
        <w:rPr>
          <w:b/>
        </w:rPr>
        <w:t xml:space="preserve">Список стран, входящих в Содружество Независимых Государств (СНГ)</w:t>
      </w:r>
      <w:r>
        <w:rPr>
          <w:b/>
        </w:rPr>
      </w:r>
      <w:r>
        <w:rPr>
          <w:b/>
        </w:rPr>
      </w:r>
    </w:p>
    <w:p>
      <w:pPr>
        <w:pStyle w:val="909"/>
        <w:spacing w:before="120"/>
        <w:rPr>
          <w:b/>
        </w:rPr>
      </w:pPr>
      <w:r>
        <w:t xml:space="preserve">  </w:t>
      </w:r>
      <w:r>
        <w:t xml:space="preserve">Таблица </w:t>
      </w:r>
      <w:r>
        <w:t xml:space="preserve">14</w:t>
      </w:r>
      <w:r>
        <w:rPr>
          <w:b/>
        </w:rPr>
      </w:r>
      <w:r>
        <w:rPr>
          <w:b/>
        </w:rPr>
      </w:r>
    </w:p>
    <w:tbl>
      <w:tblPr>
        <w:tblW w:w="9678" w:type="dxa"/>
        <w:jc w:val="center"/>
        <w:tblInd w:w="3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77"/>
        <w:gridCol w:w="2693"/>
        <w:gridCol w:w="4008"/>
      </w:tblGrid>
      <w:tr>
        <w:trPr>
          <w:trHeight w:val="425"/>
        </w:trPr>
        <w:tc>
          <w:tcPr>
            <w:tcW w:w="29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Страна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Столица страны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008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Дополнительная информация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29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Кыргызская Республика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Бишкек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08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29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Азербайджан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Баку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008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29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Армения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Ереван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08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29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Беларусь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08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29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Казахстан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Астана (бывший Нур-Султан)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08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29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Молдова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Кишинев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008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29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Таджикистан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Душанбе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008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29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Узбекистан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Ташкент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008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29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Российская Федерация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Москва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4008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W w:w="2977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Туркменистан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693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Ашхабад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008" w:type="dxa"/>
            <w:vAlign w:val="center"/>
            <w:textDirection w:val="lrTb"/>
            <w:noWrap w:val="false"/>
          </w:tcPr>
          <w:p>
            <w:pPr>
              <w:pStyle w:val="958"/>
              <w:ind w:left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правах ассоциированного членства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958"/>
        <w:ind w:left="1080"/>
        <w:jc w:val="both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10"/>
        <w:ind w:left="567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09"/>
        <w:contextualSpacing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09"/>
        <w:contextualSpacing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58"/>
        <w:ind w:left="1080"/>
        <w:jc w:val="both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W w:w="0" w:type="auto"/>
        <w:jc w:val="right"/>
        <w:tblInd w:w="7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5226"/>
        <w:gridCol w:w="4889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26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ИСПОЛНИТЕЛЬ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89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ЗАКАЗЧИК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26" w:type="dxa"/>
            <w:vAlign w:val="top"/>
            <w:textDirection w:val="lrTb"/>
            <w:noWrap w:val="false"/>
          </w:tcPr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Федеральное государственное унитарное предприятие «Главный центр специальной связи»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филиал - </w:t>
            </w:r>
            <w:r>
              <w:rPr>
                <w:b/>
                <w:bCs/>
                <w:color w:val="000000"/>
              </w:rPr>
              <w:t xml:space="preserve">Региональное управление специальной связи по Южному региону - Управление специальной связи по Ростовской области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89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/>
            <w:permStart w:colFirst="0" w:colLast="0" w:displacedbyCustomXml="next" w:edGrp="everyone" w:id="undefined"/>
            <w:r>
              <w:rPr>
                <w:b/>
                <w:bCs/>
              </w:rPr>
              <w:t xml:space="preserve">Федеральное казенное учреждение «Управление федеральных автомобильных дорог «Новороссия» Федерального дорожного агентства»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26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Заместитель начальника Управления по развитию  </w:t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Cs w:val="22"/>
              </w:rPr>
              <w:t xml:space="preserve">______________________</w:t>
            </w:r>
            <w:r>
              <w:rPr>
                <w:b/>
                <w:color w:val="000000"/>
                <w:sz w:val="22"/>
                <w:szCs w:val="22"/>
              </w:rPr>
              <w:t xml:space="preserve">О.М. Верб</w:t>
            </w:r>
            <w:r>
              <w:rPr>
                <w:b/>
                <w:color w:val="000000"/>
                <w:sz w:val="24"/>
                <w:szCs w:val="22"/>
              </w:rPr>
              <w:t xml:space="preserve">и</w:t>
            </w:r>
            <w:r>
              <w:rPr>
                <w:b/>
                <w:color w:val="000000"/>
                <w:sz w:val="22"/>
                <w:szCs w:val="22"/>
              </w:rPr>
              <w:t xml:space="preserve">ло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89" w:type="dxa"/>
            <w:vAlign w:val="top"/>
            <w:textDirection w:val="lrTb"/>
            <w:noWrap w:val="false"/>
          </w:tcPr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Зам. начальника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___________________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О.Н. Гулый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/>
            <w:permEnd w:id="22"/>
            <w:r>
              <w:rPr>
                <w:b/>
                <w:bCs/>
                <w:color w:val="000000"/>
                <w:sz w:val="22"/>
                <w:szCs w:val="22"/>
              </w:rPr>
              <w:t xml:space="preserve">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  <w:lang w:val="ru-RU"/>
        </w:rPr>
        <w:t xml:space="preserve">П</w:t>
      </w:r>
      <w:r>
        <w:rPr>
          <w:sz w:val="20"/>
        </w:rPr>
        <w:t xml:space="preserve">риложение</w:t>
      </w:r>
      <w:r>
        <w:rPr>
          <w:sz w:val="20"/>
        </w:rPr>
        <w:t xml:space="preserve"> №</w:t>
      </w:r>
      <w:r>
        <w:rPr>
          <w:sz w:val="20"/>
          <w:lang w:val="ru-RU"/>
        </w:rPr>
        <w:t xml:space="preserve">3</w:t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</w:rPr>
        <w:t xml:space="preserve">к </w:t>
      </w:r>
      <w:r>
        <w:rPr>
          <w:sz w:val="20"/>
          <w:lang w:val="ru-RU"/>
        </w:rPr>
        <w:t xml:space="preserve">Контракту</w:t>
      </w:r>
      <w:r>
        <w:rPr>
          <w:sz w:val="20"/>
        </w:rPr>
        <w:t xml:space="preserve"> № </w:t>
      </w:r>
      <w:r>
        <w:rPr>
          <w:sz w:val="20"/>
          <w:lang w:val="ru-RU"/>
        </w:rPr>
        <w:t xml:space="preserve">__________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на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оказание</w:t>
      </w:r>
      <w:r>
        <w:rPr>
          <w:sz w:val="20"/>
        </w:rPr>
        <w:br w:type="textWrapping" w:clear="all"/>
      </w:r>
      <w:r>
        <w:rPr>
          <w:sz w:val="20"/>
        </w:rPr>
        <w:t xml:space="preserve"> услуг специальной почтовой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связи </w:t>
      </w:r>
      <w:r>
        <w:rPr>
          <w:sz w:val="20"/>
        </w:rPr>
        <w:br w:type="textWrapping" w:clear="all"/>
      </w:r>
      <w:r>
        <w:rPr>
          <w:sz w:val="20"/>
          <w:lang w:val="ru-RU"/>
        </w:rPr>
        <w:t xml:space="preserve">п</w:t>
      </w:r>
      <w:r>
        <w:rPr>
          <w:sz w:val="20"/>
        </w:rPr>
        <w:t xml:space="preserve">о доставке отправлений</w:t>
      </w:r>
      <w:r>
        <w:rPr>
          <w:sz w:val="20"/>
        </w:rPr>
        <w:br w:type="textWrapping" w:clear="all"/>
      </w:r>
      <w:r>
        <w:rPr>
          <w:sz w:val="20"/>
        </w:rPr>
        <w:t xml:space="preserve"> </w:t>
      </w:r>
      <w:permStart w:edGrp="everyone" w:id="23"/>
      <w:r>
        <w:rPr>
          <w:sz w:val="20"/>
        </w:rPr>
        <w:t xml:space="preserve">от «____» </w:t>
      </w:r>
      <w:r>
        <w:rPr>
          <w:sz w:val="20"/>
        </w:rPr>
        <w:t xml:space="preserve">августа </w:t>
      </w:r>
      <w:r>
        <w:rPr>
          <w:sz w:val="20"/>
        </w:rPr>
        <w:t xml:space="preserve">2026</w:t>
      </w:r>
      <w:r>
        <w:rPr>
          <w:sz w:val="20"/>
        </w:rPr>
        <w:t xml:space="preserve"> года </w:t>
      </w:r>
      <w:permEnd w:id="23"/>
      <w:r>
        <w:rPr>
          <w:sz w:val="20"/>
        </w:rPr>
      </w:r>
      <w:r>
        <w:rPr>
          <w:sz w:val="20"/>
        </w:rPr>
      </w:r>
    </w:p>
    <w:p>
      <w:pPr>
        <w:pStyle w:val="921"/>
        <w:ind w:firstLine="142"/>
        <w:jc w:val="center"/>
        <w:rPr>
          <w:b/>
          <w:color w:val="000000"/>
          <w:lang w:val="en-US"/>
        </w:rPr>
      </w:pPr>
      <w:r>
        <w:rPr>
          <w:b/>
          <w:color w:val="000000"/>
          <w:lang w:val="en-US"/>
        </w:rPr>
      </w:r>
      <w:r>
        <w:rPr>
          <w:b/>
          <w:color w:val="000000"/>
          <w:lang w:val="en-US"/>
        </w:rPr>
      </w:r>
      <w:r>
        <w:rPr>
          <w:b/>
          <w:color w:val="000000"/>
          <w:lang w:val="en-US"/>
        </w:rPr>
      </w:r>
    </w:p>
    <w:p>
      <w:pPr>
        <w:pStyle w:val="921"/>
        <w:ind w:firstLine="142"/>
        <w:jc w:val="center"/>
        <w:rPr>
          <w:b/>
          <w:color w:val="000000"/>
        </w:rPr>
      </w:pPr>
      <w:r>
        <w:rPr>
          <w:b/>
          <w:color w:val="000000"/>
        </w:rPr>
        <w:t xml:space="preserve">ПОРЯДОК ПОДАЧИ И ПРИЕМА ЗАЯВОК,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 xml:space="preserve">ПРИЕМА И ВРУЧЕНИЯ ОТПРАВЛЕНИЙ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21"/>
        <w:numPr>
          <w:ilvl w:val="0"/>
          <w:numId w:val="9"/>
        </w:numPr>
        <w:jc w:val="center"/>
        <w:spacing w:after="0"/>
        <w:rPr>
          <w:b/>
          <w:color w:val="000000"/>
        </w:rPr>
      </w:pPr>
      <w:r>
        <w:rPr>
          <w:b/>
          <w:color w:val="000000"/>
        </w:rPr>
        <w:t xml:space="preserve">ПОРЯДОК ПОДАЧИ И ПРИЕМА ЗАЯВОК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numPr>
          <w:ilvl w:val="1"/>
          <w:numId w:val="10"/>
        </w:numPr>
        <w:ind w:left="0" w:firstLine="540"/>
        <w:jc w:val="both"/>
        <w:widowControl w:val="off"/>
        <w:tabs>
          <w:tab w:val="num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Заявка на оказание услуг, указанных в п. 1.1. Контракта (далее по тексту – Заявка), подается Заказчиком по форме, предусмотренной в Приложении № 1 к Контракту.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1"/>
          <w:numId w:val="10"/>
        </w:numPr>
        <w:ind w:left="0" w:firstLine="540"/>
        <w:jc w:val="both"/>
        <w:widowControl w:val="off"/>
        <w:tabs>
          <w:tab w:val="num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Заявка должна быть подана не позднее 1</w:t>
      </w:r>
      <w:r>
        <w:rPr>
          <w:color w:val="000000"/>
        </w:rPr>
        <w:t xml:space="preserve">5</w:t>
      </w:r>
      <w:r>
        <w:rPr>
          <w:color w:val="000000"/>
        </w:rPr>
        <w:t xml:space="preserve"> часов дня, предшествующего дню получения Отправлений у Заказчика или указанного им отправителя.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widowControl w:val="off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Заявка, поданная с нарушением срока, указанного в первом абзаце настоящего пункта, принимается к исполнению, при этом сроки доставки могут быть увеличены, о чем предупреждается Заказчик. 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1"/>
          <w:numId w:val="10"/>
        </w:numPr>
        <w:ind w:left="0" w:firstLine="540"/>
        <w:jc w:val="both"/>
        <w:widowControl w:val="off"/>
        <w:tabs>
          <w:tab w:val="num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Заявка на оказание услуг может подаваться следующим образом: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0"/>
        </w:numPr>
        <w:ind w:left="567" w:hanging="567"/>
        <w:jc w:val="both"/>
        <w:widowControl w:val="off"/>
        <w:tabs>
          <w:tab w:val="left" w:pos="567" w:leader="none"/>
          <w:tab w:val="clear" w:pos="720" w:leader="none"/>
        </w:tabs>
        <w:rPr>
          <w:color w:val="000000"/>
        </w:rPr>
      </w:pPr>
      <w:r>
        <w:rPr>
          <w:color w:val="000000"/>
        </w:rPr>
        <w:t xml:space="preserve">путем непосредственной передачи Исполнителю заявки, составленной в письменном виде;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0"/>
        </w:numPr>
        <w:ind w:left="567" w:hanging="567"/>
        <w:jc w:val="both"/>
        <w:widowControl w:val="off"/>
        <w:tabs>
          <w:tab w:val="left" w:pos="567" w:leader="none"/>
          <w:tab w:val="clear" w:pos="720" w:leader="none"/>
        </w:tabs>
        <w:rPr>
          <w:color w:val="000000"/>
        </w:rPr>
      </w:pPr>
      <w:r>
        <w:rPr>
          <w:color w:val="000000"/>
        </w:rPr>
        <w:t xml:space="preserve">по электронной почте </w:t>
      </w:r>
      <w:r>
        <w:rPr>
          <w:color w:val="000000"/>
          <w:u w:val="single"/>
        </w:rPr>
        <w:fldChar w:fldCharType="begin"/>
      </w:r>
      <w:r>
        <w:rPr>
          <w:color w:val="000000"/>
          <w:u w:val="single"/>
        </w:rPr>
        <w:instrText xml:space="preserve"> HYPERLINK "mailto:order@cccb.ru" </w:instrText>
      </w:r>
      <w:r>
        <w:rPr>
          <w:color w:val="000000"/>
          <w:u w:val="single"/>
        </w:rPr>
        <w:fldChar w:fldCharType="separate"/>
      </w:r>
      <w:r>
        <w:rPr>
          <w:rStyle w:val="936"/>
          <w:color w:val="000000"/>
        </w:rPr>
        <w:t xml:space="preserve">order@cccb.ru</w:t>
      </w:r>
      <w:r>
        <w:rPr>
          <w:color w:val="000000"/>
          <w:u w:val="single"/>
        </w:rPr>
        <w:fldChar w:fldCharType="end"/>
      </w:r>
      <w:r>
        <w:rPr>
          <w:color w:val="000000"/>
          <w:u w:val="single"/>
        </w:rPr>
        <w:t xml:space="preserve">. </w:t>
      </w:r>
      <w:r>
        <w:rPr>
          <w:color w:val="000000"/>
        </w:rPr>
        <w:t xml:space="preserve">Заявка, направленная посредством электронной почты, считается полученной Исполнителем с момента получения Заказчиком электронного сообщения о подтверждении  доставки и прочтения электронного сообщения Исполнителем (Reading Confirmation);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0"/>
        </w:numPr>
        <w:ind w:left="567" w:hanging="567"/>
        <w:jc w:val="both"/>
        <w:widowControl w:val="off"/>
        <w:tabs>
          <w:tab w:val="left" w:pos="567" w:leader="none"/>
          <w:tab w:val="clear" w:pos="720" w:leader="none"/>
        </w:tabs>
        <w:rPr>
          <w:color w:val="000000"/>
        </w:rPr>
      </w:pPr>
      <w:r>
        <w:rPr>
          <w:color w:val="000000"/>
        </w:rPr>
        <w:t xml:space="preserve">телефонограммой по бесплатному номеру телефона </w:t>
      </w:r>
      <w:r>
        <w:rPr>
          <w:color w:val="000000"/>
          <w:u w:val="single"/>
        </w:rPr>
        <w:t xml:space="preserve">8-800-250-60-70</w:t>
      </w:r>
      <w:r>
        <w:rPr>
          <w:color w:val="000000"/>
        </w:rPr>
        <w:t xml:space="preserve">. При этом Исполнителю должны быть сообщены все сведения, указанные в Приложении № 1 к настоящему </w:t>
      </w:r>
      <w:r>
        <w:rPr>
          <w:color w:val="000000"/>
        </w:rPr>
        <w:t xml:space="preserve">Контракту;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0"/>
        </w:numPr>
        <w:ind w:left="567" w:hanging="567"/>
        <w:jc w:val="both"/>
        <w:widowControl w:val="off"/>
        <w:tabs>
          <w:tab w:val="left" w:pos="567" w:leader="none"/>
          <w:tab w:val="clear" w:pos="720" w:leader="none"/>
        </w:tabs>
        <w:rPr>
          <w:color w:val="000000"/>
        </w:rPr>
      </w:pPr>
      <w:r>
        <w:rPr>
          <w:color w:val="000000"/>
        </w:rPr>
        <w:t xml:space="preserve">путем размещения заявки на сайте Исполнителя </w:t>
      </w:r>
      <w:r>
        <w:rPr>
          <w:color w:val="000000"/>
          <w:lang w:val="en-US"/>
        </w:rPr>
        <w:t xml:space="preserve">www</w:t>
      </w:r>
      <w:r>
        <w:rPr>
          <w:color w:val="000000"/>
        </w:rPr>
        <w:t xml:space="preserve">.</w:t>
      </w:r>
      <w:r>
        <w:rPr>
          <w:color w:val="000000"/>
          <w:lang w:val="en-US"/>
        </w:rPr>
        <w:t xml:space="preserve">cccb</w:t>
      </w:r>
      <w:r>
        <w:rPr>
          <w:color w:val="000000"/>
        </w:rPr>
        <w:t xml:space="preserve">.</w:t>
      </w:r>
      <w:r>
        <w:rPr>
          <w:color w:val="000000"/>
          <w:lang w:val="en-US"/>
        </w:rPr>
        <w:t xml:space="preserve">ru</w:t>
      </w:r>
      <w:r>
        <w:rPr>
          <w:color w:val="000000"/>
        </w:rPr>
        <w:t xml:space="preserve">. Заявка, размещенная на сайте, считается полученной Исполнителем с момента получения Заказчиком электронного сообщения о подтверждении размещения заявки.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1"/>
          <w:numId w:val="10"/>
        </w:numPr>
        <w:ind w:left="0" w:firstLine="540"/>
        <w:jc w:val="both"/>
        <w:widowControl w:val="off"/>
        <w:tabs>
          <w:tab w:val="num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Заявки, поданные Исполнителю непосредственно, а также посредством факсимильной или электронной связи, подшиваются в хронологическом порядке.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1"/>
          <w:numId w:val="10"/>
        </w:numPr>
        <w:ind w:left="0" w:firstLine="540"/>
        <w:jc w:val="both"/>
        <w:widowControl w:val="off"/>
        <w:tabs>
          <w:tab w:val="num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Заявки, переданные Исполнителю телефонограммой, регистрируются в Журнале учета телефонограмм, полученных от Заказчика. Листы указанного журнала до начала его ведения прошиваются и пронумеровываются.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1"/>
          <w:numId w:val="10"/>
        </w:numPr>
        <w:ind w:left="0" w:firstLine="540"/>
        <w:jc w:val="both"/>
        <w:widowControl w:val="off"/>
        <w:tabs>
          <w:tab w:val="num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Стороны согласились считать, что Заявки, поданные в порядке и по форме, установленными настоящим Приложение</w:t>
      </w:r>
      <w:r>
        <w:rPr>
          <w:color w:val="000000"/>
        </w:rPr>
        <w:t xml:space="preserve">м, за исключением заявки, предусмотренной п. 1.3.1. настоящего Приложения, имеют юридическую силу и не требуют дальнейшего подтверждения путем предоставления Исполнителю оригинала Заявки, а также достоверно исходят от противоположной Стороны по Контракту.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1"/>
          <w:numId w:val="10"/>
        </w:numPr>
        <w:ind w:left="0" w:firstLine="540"/>
        <w:jc w:val="both"/>
        <w:widowControl w:val="off"/>
        <w:tabs>
          <w:tab w:val="num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Лицами, уполномоченными на подписание и подачу Заявок, считаются: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0"/>
        </w:numPr>
        <w:ind w:left="567" w:hanging="567"/>
        <w:jc w:val="both"/>
        <w:widowControl w:val="off"/>
        <w:tabs>
          <w:tab w:val="left" w:pos="567" w:leader="none"/>
          <w:tab w:val="clear" w:pos="720" w:leader="none"/>
        </w:tabs>
        <w:rPr>
          <w:color w:val="000000"/>
        </w:rPr>
      </w:pPr>
      <w:r>
        <w:rPr>
          <w:color w:val="000000"/>
        </w:rPr>
        <w:t xml:space="preserve">единоличный Исполнительный орган Заказчика;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0"/>
        </w:numPr>
        <w:ind w:left="567" w:hanging="567"/>
        <w:jc w:val="both"/>
        <w:widowControl w:val="off"/>
        <w:tabs>
          <w:tab w:val="left" w:pos="567" w:leader="none"/>
          <w:tab w:val="clear" w:pos="720" w:leader="none"/>
        </w:tabs>
        <w:rPr>
          <w:color w:val="000000"/>
        </w:rPr>
      </w:pPr>
      <w:r>
        <w:rPr>
          <w:color w:val="000000"/>
        </w:rPr>
        <w:t xml:space="preserve">иные лица, уполномоченные распорядительным документом Заказчика или доверенностью Заказчика на осуществление указанных действий.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1"/>
          <w:numId w:val="10"/>
        </w:numPr>
        <w:ind w:left="0" w:firstLine="540"/>
        <w:jc w:val="both"/>
        <w:widowControl w:val="off"/>
        <w:tabs>
          <w:tab w:val="num" w:pos="0" w:leader="none"/>
          <w:tab w:val="num" w:pos="993" w:leader="none"/>
        </w:tabs>
        <w:rPr>
          <w:color w:val="000000"/>
        </w:rPr>
      </w:pPr>
      <w:r>
        <w:rPr>
          <w:color w:val="000000"/>
        </w:rPr>
        <w:t xml:space="preserve">Распорядительный документ Заказчика или доверенность Заказчика, уп</w:t>
      </w:r>
      <w:r>
        <w:rPr>
          <w:color w:val="000000"/>
        </w:rPr>
        <w:t xml:space="preserve">олномочивающие лиц на подписание и подачу Заявок, а также дополнения и изменения к распорядительному документу Заказчика предоставляется Исполнителю не позднее 24 часов до момента предполагаемой подачи заявки посредством факсимильной или электронной связи.</w:t>
      </w:r>
      <w:r>
        <w:rPr>
          <w:color w:val="000000"/>
        </w:rPr>
        <w:t xml:space="preserve"> Заказчик может выдать машиночитаемую доверенность, для подписания и подачи заявок посредством электронного документооборота.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1"/>
          <w:numId w:val="10"/>
        </w:numPr>
        <w:ind w:left="0" w:firstLine="540"/>
        <w:jc w:val="both"/>
        <w:widowControl w:val="off"/>
        <w:tabs>
          <w:tab w:val="num" w:pos="0" w:leader="none"/>
          <w:tab w:val="num" w:pos="993" w:leader="none"/>
          <w:tab w:val="left" w:pos="1260" w:leader="none"/>
        </w:tabs>
        <w:rPr>
          <w:color w:val="000000"/>
        </w:rPr>
      </w:pPr>
      <w:r>
        <w:rPr>
          <w:color w:val="000000"/>
        </w:rPr>
        <w:t xml:space="preserve">Заказчик вправе отказаться от поданной заявки в порядке, предусмотренном для ее подачи, за 2 (два) часа до выезда представителей Исполнителя к Заказчику или указанному им отправителю.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left="540"/>
        <w:jc w:val="both"/>
        <w:widowControl w:val="off"/>
        <w:tabs>
          <w:tab w:val="num" w:pos="993" w:leader="none"/>
          <w:tab w:val="left" w:pos="1260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numPr>
          <w:ilvl w:val="0"/>
          <w:numId w:val="10"/>
        </w:numPr>
        <w:jc w:val="center"/>
        <w:spacing w:after="0"/>
        <w:rPr>
          <w:b/>
          <w:color w:val="000000"/>
        </w:rPr>
      </w:pPr>
      <w:r>
        <w:rPr>
          <w:b/>
          <w:color w:val="000000"/>
        </w:rPr>
        <w:t xml:space="preserve">ПОРЯДОК ПРИЕМА И ВЫДАЧИ ОТПРАВЛЕНИЙ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21"/>
        <w:numPr>
          <w:ilvl w:val="1"/>
          <w:numId w:val="10"/>
        </w:numPr>
        <w:ind w:left="0" w:firstLine="567"/>
        <w:jc w:val="both"/>
        <w:spacing w:after="0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Прием Отправлений осуществляется Исполнителем следующим способом: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0"/>
        </w:numPr>
        <w:ind w:left="567" w:hanging="567"/>
        <w:jc w:val="both"/>
        <w:widowControl w:val="off"/>
        <w:tabs>
          <w:tab w:val="left" w:pos="567" w:leader="none"/>
          <w:tab w:val="clear" w:pos="720" w:leader="none"/>
        </w:tabs>
        <w:rPr>
          <w:color w:val="000000"/>
        </w:rPr>
      </w:pPr>
      <w:r>
        <w:rPr>
          <w:color w:val="000000"/>
        </w:rPr>
        <w:t xml:space="preserve">на территории Исполнителя  по  адресу: г. Ростов-на-Дону, ул. Доватора, 152Д, ежедневно, кроме выходных и праздничных дней, с 8.00 часов до 15.00 часов, в пятницу с 8.00 часов до 14.00;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0"/>
        </w:numPr>
        <w:ind w:left="567" w:hanging="567"/>
        <w:jc w:val="both"/>
        <w:widowControl w:val="off"/>
        <w:tabs>
          <w:tab w:val="left" w:pos="567" w:leader="none"/>
          <w:tab w:val="clear" w:pos="720" w:leader="none"/>
        </w:tabs>
        <w:rPr>
          <w:color w:val="000000"/>
        </w:rPr>
      </w:pPr>
      <w:r>
        <w:rPr>
          <w:color w:val="000000"/>
        </w:rPr>
        <w:t xml:space="preserve">на территории Заказчика или по указанному отправителем адресу - в дни и часы, указанные в Заявке, поданной по форме, в порядке и сроки, предусмотренные настоящим Контрактом. 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numPr>
          <w:ilvl w:val="1"/>
          <w:numId w:val="10"/>
        </w:numPr>
        <w:ind w:left="0" w:firstLine="567"/>
        <w:jc w:val="both"/>
        <w:spacing w:after="0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Отправления, принимаемые к доставке, должны соответствовать требованиям, предусмотренным в Приложении №4 к  Контракту.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rPr>
          <w:color w:val="000000"/>
        </w:rPr>
      </w:pPr>
      <w:r>
        <w:rPr>
          <w:color w:val="000000"/>
        </w:rPr>
        <w:t xml:space="preserve">Исполнитель принимает к доставке Отправления, не запрещенные к пересылке в пределах Российской Федерации. Перечень предметов и веществ, запрещенных к пересылке почтовых отправлений, установлен статьей 22 Федерального закона «О почтовой связи».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rPr>
          <w:color w:val="000000"/>
        </w:rPr>
      </w:pPr>
      <w:r>
        <w:rPr>
          <w:color w:val="000000"/>
        </w:rPr>
        <w:t xml:space="preserve">Не принимаются к доставке: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0"/>
          <w:numId w:val="11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о</w:t>
      </w:r>
      <w:r>
        <w:rPr>
          <w:color w:val="000000"/>
        </w:rPr>
        <w:t xml:space="preserve">тправления, которые требует особого режима доставки (ограниченную скорость движения поезда</w:t>
      </w:r>
      <w:r>
        <w:rPr>
          <w:color w:val="000000"/>
        </w:rPr>
        <w:t xml:space="preserve">, движение поезда без толчков и</w:t>
      </w:r>
      <w:r>
        <w:rPr>
          <w:color w:val="000000"/>
        </w:rPr>
        <w:t xml:space="preserve"> рывков, допустимых уровней вибраций, обусловленного температурного режима и т.д.);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0"/>
          <w:numId w:val="11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о</w:t>
      </w:r>
      <w:r>
        <w:rPr>
          <w:color w:val="000000"/>
        </w:rPr>
        <w:t xml:space="preserve">тправления с неправильными, неясными или имеющими незаверенные исправления адресами;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0"/>
          <w:numId w:val="11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о</w:t>
      </w:r>
      <w:r>
        <w:rPr>
          <w:color w:val="000000"/>
        </w:rPr>
        <w:t xml:space="preserve">тправления в непригодной или поврежденной таре, не опечатанные (не опломбированные), с поврежденными или неясными печатями (пломбами);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0"/>
          <w:numId w:val="11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адресованные по номерам абонентных ящиков;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0"/>
          <w:numId w:val="11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о</w:t>
      </w:r>
      <w:r>
        <w:rPr>
          <w:color w:val="000000"/>
        </w:rPr>
        <w:t xml:space="preserve">тправления, опечатанные печатями (пломбами) других организаций и не имеющие соответствующей оговорки;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0"/>
          <w:numId w:val="11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упаковки массой свыше 30 кг с предупредительной надписью «Не кантовать».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0"/>
          <w:numId w:val="11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о</w:t>
      </w:r>
      <w:r>
        <w:rPr>
          <w:color w:val="000000"/>
        </w:rPr>
        <w:t xml:space="preserve">тправления, имеющие повреждения целостности, упаковки, пломб;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0"/>
          <w:numId w:val="11"/>
        </w:numPr>
        <w:ind w:left="0" w:firstLine="0"/>
        <w:jc w:val="both"/>
        <w:rPr>
          <w:color w:val="000000"/>
        </w:rPr>
      </w:pPr>
      <w:r>
        <w:rPr>
          <w:color w:val="000000"/>
        </w:rPr>
        <w:t xml:space="preserve">секретные пакеты, секретные посылки, секретные упаковки с оборванной прошивкой, с неясными оттисками печатей (пломб), опечатанные бумажными наклейками, изготовленными типографским способом либо на множительной технике или без указания исходящих номеров.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numPr>
          <w:ilvl w:val="1"/>
          <w:numId w:val="10"/>
        </w:numPr>
        <w:ind w:left="0" w:firstLine="567"/>
        <w:jc w:val="both"/>
        <w:spacing w:after="0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Отправления принимаются Исполнителем в опечатанном (пломбированном) виде без проверки содержимого, но с проверкой целостности упаковки, печатей, пломб или иных средств контроля отсутствия доступа к вложению Отправлений.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При условии передачи секретных пакетов, секретных посылок, секретных упаковок представителям Исполнителя на территории Заказчика или указанного им отправи</w:t>
      </w:r>
      <w:r>
        <w:rPr>
          <w:color w:val="000000"/>
        </w:rPr>
        <w:t xml:space="preserve">теля последними должны быть созданы все необходимые условия, обеспечивающие гарантированную сохранность принимаемых Отправлений. Секретные пакеты, секретные посылки, секретные упаковки не принимаются представителями Исполнителя в комнатах, где находятся по</w:t>
      </w:r>
      <w:r>
        <w:rPr>
          <w:color w:val="000000"/>
        </w:rPr>
        <w:t xml:space="preserve">с</w:t>
      </w:r>
      <w:r>
        <w:rPr>
          <w:color w:val="000000"/>
        </w:rPr>
        <w:t xml:space="preserve">торонние лица, проходных, коридорах, темных помещениях и в других местах, не приспособленных для работы с секретными отправлениями.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rPr>
          <w:color w:val="000000"/>
        </w:rPr>
      </w:pPr>
      <w:r>
        <w:rPr>
          <w:color w:val="000000"/>
        </w:rPr>
        <w:t xml:space="preserve">Упаковка Отправлений должна соответствовать требованиям, предусмотренным в Приложении №4 к Контракту, а также</w:t>
      </w:r>
      <w:r>
        <w:rPr>
          <w:color w:val="000000"/>
        </w:rPr>
        <w:t xml:space="preserve"> характеру вложения, условиям пересылки, исключать возможность повреждения вложения при обработке и пересылке, доступа к нему без нарушения оболочки, порчи других отправлений и причинения какого-либо вреда имуществу и работникам/представителям Исполнителя.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numPr>
          <w:ilvl w:val="1"/>
          <w:numId w:val="10"/>
        </w:numPr>
        <w:ind w:left="0" w:firstLine="567"/>
        <w:jc w:val="both"/>
        <w:spacing w:after="0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Прием Отправлений осуществляется на основании реестров Ф.1 или Ф.1а, заполняемых Заказчиком или указанным им отправителем в 2-х экземплярах с помощью печатной машинки или ЭВМ либо шариковой ручкой (только пастой синего, черного или фиолетового цвета).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numPr>
          <w:ilvl w:val="1"/>
          <w:numId w:val="10"/>
        </w:numPr>
        <w:ind w:left="0" w:firstLine="567"/>
        <w:jc w:val="both"/>
        <w:spacing w:after="0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Если в реестре все Отправления имеют одинаковый характер вложения, то последнее указывается в строке «Индекс вложения», расположенной в верхней части реестра, проставлением соответствующей цифры, обозначающей к какой группе относится вложение.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numPr>
          <w:ilvl w:val="1"/>
          <w:numId w:val="10"/>
        </w:numPr>
        <w:ind w:left="0" w:firstLine="567"/>
        <w:jc w:val="both"/>
        <w:spacing w:after="0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Если приписанные к реестру Отправления имеют различный характер вложения, то индекс по каждому Отправлению проставляется в столбце 4 в скобках после исходящего(их) номера(ов) Отправления.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tabs>
          <w:tab w:val="num" w:pos="1353" w:leader="none"/>
        </w:tabs>
        <w:rPr>
          <w:color w:val="000000"/>
        </w:rPr>
      </w:pPr>
      <w:r>
        <w:rPr>
          <w:color w:val="000000"/>
        </w:rPr>
        <w:t xml:space="preserve">            2.7. </w:t>
      </w:r>
      <w:r>
        <w:rPr>
          <w:color w:val="000000"/>
        </w:rPr>
        <w:t xml:space="preserve">Идентификация Отправителя (его представителя осуществляется следующими способами</w:t>
      </w:r>
      <w:r>
        <w:rPr>
          <w:color w:val="000000"/>
        </w:rPr>
        <w:t xml:space="preserve">)</w:t>
      </w:r>
      <w:r>
        <w:rPr>
          <w:color w:val="000000"/>
        </w:rPr>
        <w:t xml:space="preserve">: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            2.7.1. </w:t>
      </w:r>
      <w:r>
        <w:rPr>
          <w:color w:val="000000"/>
        </w:rPr>
        <w:t xml:space="preserve">При сдаче Отправлений Исполнителю, за исключением секретных пакетов, секретных посылок, секр</w:t>
      </w:r>
      <w:r>
        <w:rPr>
          <w:color w:val="000000"/>
        </w:rPr>
        <w:t xml:space="preserve">етных упаковок, </w:t>
      </w:r>
      <w:r>
        <w:rPr>
          <w:color w:val="000000"/>
        </w:rPr>
        <w:t xml:space="preserve">представители Заказчика предъявляют доверенность, оформленную в соответствии с действующим законодательством Российской Федерации.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40"/>
        <w:jc w:val="both"/>
        <w:rPr>
          <w:bCs/>
          <w:color w:val="000000"/>
        </w:rPr>
        <w:outlineLvl w:val="1"/>
      </w:pPr>
      <w:r>
        <w:rPr>
          <w:color w:val="000000"/>
        </w:rPr>
        <w:t xml:space="preserve">2.7.2. </w:t>
      </w:r>
      <w:r>
        <w:rPr>
          <w:color w:val="000000"/>
        </w:rPr>
        <w:t xml:space="preserve">При сдаче секретных пакетов, секретных посылок, секретных упаковок на территории Исполнителя представители Заказчика или отправителя предъявляют </w:t>
      </w:r>
      <w:r>
        <w:rPr>
          <w:bCs/>
          <w:color w:val="000000"/>
        </w:rPr>
        <w:t xml:space="preserve">предписание на выполнение задания (форма 5) и справку о соответствующей форме допуска к государственной тайне, оформленные в соответствии с требованиями законодательства о государственной тайне.</w:t>
      </w:r>
      <w:r>
        <w:rPr>
          <w:bCs/>
          <w:color w:val="000000"/>
        </w:rPr>
      </w:r>
      <w:r>
        <w:rPr>
          <w:bCs/>
          <w:color w:val="000000"/>
        </w:rPr>
      </w:r>
    </w:p>
    <w:p>
      <w:pPr>
        <w:pStyle w:val="909"/>
        <w:ind w:firstLine="540"/>
        <w:jc w:val="both"/>
        <w:rPr>
          <w:color w:val="000000"/>
        </w:rPr>
        <w:outlineLvl w:val="1"/>
      </w:pPr>
      <w:r>
        <w:rPr>
          <w:bCs/>
          <w:color w:val="000000"/>
        </w:rPr>
        <w:t xml:space="preserve">2.7.3. </w:t>
      </w:r>
      <w:r>
        <w:rPr>
          <w:bCs/>
          <w:color w:val="000000"/>
        </w:rPr>
        <w:t xml:space="preserve">При сдаче </w:t>
      </w:r>
      <w:r>
        <w:rPr>
          <w:color w:val="000000"/>
        </w:rPr>
        <w:t xml:space="preserve">секретных пакетов, секретных посылок, секретных упаковок на территории Заказчика или отправителя они передаются Исполнителю работниками </w:t>
      </w:r>
      <w:r>
        <w:rPr>
          <w:bCs/>
          <w:color w:val="000000"/>
        </w:rPr>
        <w:t xml:space="preserve">режимно-секретного подразделения Заказчика или отправителя либо работником, исполняющим функции режимно-секретного подразделения Заказчика или отправителя.</w:t>
      </w:r>
      <w:r>
        <w:rPr>
          <w:color w:val="000000"/>
        </w:rPr>
      </w:r>
      <w:r>
        <w:rPr>
          <w:color w:val="000000"/>
        </w:rPr>
      </w:r>
    </w:p>
    <w:p>
      <w:pPr>
        <w:pStyle w:val="1032"/>
        <w:jc w:val="both"/>
        <w:rPr>
          <w:color w:val="000000"/>
        </w:rPr>
      </w:pPr>
      <w:r>
        <w:rPr>
          <w:color w:val="000000"/>
        </w:rPr>
        <w:t xml:space="preserve">          </w:t>
      </w:r>
      <w:r>
        <w:rPr>
          <w:color w:val="000000"/>
        </w:rPr>
        <w:t xml:space="preserve"> </w:t>
      </w:r>
      <w:r>
        <w:rPr>
          <w:color w:val="000000"/>
        </w:rPr>
        <w:t xml:space="preserve">2.8.</w:t>
        <w:tab/>
        <w:t xml:space="preserve">Идентификация работника Исполнителя при приеме Отправлений на территории Заказчика (отправителя) осуществляется путем предъявления представителем Исполнителя служебного удостоверения</w:t>
      </w:r>
      <w:r>
        <w:rPr>
          <w:color w:val="000000"/>
        </w:rPr>
        <w:t xml:space="preserve"> 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tabs>
          <w:tab w:val="num" w:pos="1353" w:leader="none"/>
        </w:tabs>
        <w:rPr>
          <w:color w:val="000000"/>
        </w:rPr>
      </w:pPr>
      <w:r>
        <w:rPr>
          <w:color w:val="000000"/>
        </w:rPr>
        <w:t xml:space="preserve">           2.9. </w:t>
      </w:r>
      <w:r>
        <w:rPr>
          <w:color w:val="000000"/>
        </w:rPr>
        <w:t xml:space="preserve">Доставка Отправлений, за исключением метизов, производится в республиканские, краевые, областные, районные центры субъектов Российской Федерации.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tabs>
          <w:tab w:val="num" w:pos="993" w:leader="none"/>
        </w:tabs>
        <w:rPr>
          <w:color w:val="000000"/>
        </w:rPr>
      </w:pPr>
      <w:r>
        <w:rPr>
          <w:color w:val="000000"/>
        </w:rPr>
        <w:t xml:space="preserve">           2.10. </w:t>
      </w:r>
      <w:r>
        <w:rPr>
          <w:color w:val="000000"/>
        </w:rPr>
        <w:t xml:space="preserve">Доставка упаковок о</w:t>
      </w:r>
      <w:r>
        <w:rPr>
          <w:color w:val="000000"/>
        </w:rPr>
        <w:t xml:space="preserve">существляется до территориального структурного подразделения Исполнителя (управлений специальной связи, отделения, пунктов специальной связи). Сдача метизов получателям или Заказчику производится в месте нахождения названных подразделений в часы их работы.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</w:pPr>
      <w:r>
        <w:t xml:space="preserve">          2.11. </w:t>
      </w:r>
      <w:r>
        <w:t xml:space="preserve">Отправления с пометкой «Срочно» доставляются в сроки, указанные в Приложении № 6 к настоящему Контракту.</w:t>
      </w:r>
      <w:r>
        <w:t xml:space="preserve"> </w:t>
      </w:r>
      <w:r/>
    </w:p>
    <w:p>
      <w:pPr>
        <w:pStyle w:val="921"/>
        <w:ind w:left="0"/>
        <w:jc w:val="both"/>
        <w:spacing w:after="0"/>
      </w:pPr>
      <w:r>
        <w:t xml:space="preserve">          2.12.</w:t>
      </w:r>
      <w:r>
        <w:rPr>
          <w:color w:val="000000"/>
        </w:rPr>
        <w:t xml:space="preserve"> </w:t>
      </w:r>
      <w:r>
        <w:rPr>
          <w:color w:val="000000"/>
        </w:rPr>
        <w:t xml:space="preserve">О поступлении Отправления, подлежащего вручению, получатель уведомляется телефонограммой, по факсу или по электронной почте.</w:t>
      </w:r>
      <w:r/>
    </w:p>
    <w:p>
      <w:pPr>
        <w:pStyle w:val="921"/>
        <w:ind w:left="0"/>
        <w:jc w:val="both"/>
        <w:spacing w:after="0"/>
        <w:tabs>
          <w:tab w:val="num" w:pos="1353" w:leader="none"/>
        </w:tabs>
        <w:rPr>
          <w:color w:val="000000"/>
        </w:rPr>
      </w:pPr>
      <w:r>
        <w:rPr>
          <w:color w:val="000000"/>
        </w:rPr>
        <w:t xml:space="preserve">          2.13.</w:t>
      </w:r>
      <w:r>
        <w:rPr>
          <w:color w:val="000000"/>
        </w:rPr>
        <w:t xml:space="preserve"> Доставленные Отправления, за исключением секретных пакетов </w:t>
      </w:r>
      <w:r>
        <w:rPr>
          <w:color w:val="000000"/>
        </w:rPr>
        <w:t xml:space="preserve">и секретных посылок, вручаются получателю, указанному в заявке, или его представителю при предъявлении последним доверенности, оформленной в соответствии с действующим законодательством Российской Федерации, а также документа, удостоверяющего его личность.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40"/>
        <w:jc w:val="both"/>
        <w:rPr>
          <w:bCs/>
          <w:color w:val="000000"/>
        </w:rPr>
        <w:outlineLvl w:val="1"/>
      </w:pPr>
      <w:r>
        <w:rPr>
          <w:color w:val="000000"/>
        </w:rPr>
        <w:t xml:space="preserve">Доставленные секретные пакеты и секретные посылки вручаются Исполнителем работникам </w:t>
      </w:r>
      <w:r>
        <w:rPr>
          <w:bCs/>
          <w:color w:val="000000"/>
        </w:rPr>
        <w:t xml:space="preserve">режимно-секретного подразделения получателя или</w:t>
      </w:r>
      <w:r>
        <w:rPr>
          <w:bCs/>
          <w:color w:val="000000"/>
        </w:rPr>
        <w:t xml:space="preserve"> работнику, исполняющему функции режимно-секретного подразделения получателя. При этом на документах, указанных в п. 2.12. настоящего Приложения, в обязательном порядке проставляется печать получателя или печать режимно-секретного подразделения получателя.</w:t>
      </w:r>
      <w:r>
        <w:rPr>
          <w:bCs/>
          <w:color w:val="000000"/>
        </w:rPr>
      </w:r>
      <w:r>
        <w:rPr>
          <w:bCs/>
          <w:color w:val="000000"/>
        </w:rPr>
      </w:r>
    </w:p>
    <w:p>
      <w:pPr>
        <w:pStyle w:val="909"/>
        <w:ind w:firstLine="540"/>
        <w:jc w:val="both"/>
        <w:rPr>
          <w:color w:val="000000"/>
        </w:rPr>
        <w:outlineLvl w:val="1"/>
      </w:pPr>
      <w:r>
        <w:rPr>
          <w:bCs/>
          <w:color w:val="000000"/>
        </w:rPr>
        <w:t xml:space="preserve">Вручение получателю </w:t>
      </w:r>
      <w:r>
        <w:rPr>
          <w:color w:val="000000"/>
        </w:rPr>
        <w:t xml:space="preserve">доставленных секретных пакетов и секретных посылок на территории Исполнителя осуществляется в порядке, предусмотренном абз.2 п. 2.7. настоящего Приложения.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40"/>
        <w:jc w:val="both"/>
        <w:rPr>
          <w:color w:val="000000"/>
        </w:rPr>
      </w:pPr>
      <w:r>
        <w:rPr>
          <w:color w:val="000000"/>
        </w:rPr>
        <w:t xml:space="preserve">При</w:t>
      </w:r>
      <w:r>
        <w:rPr>
          <w:color w:val="000000"/>
        </w:rPr>
        <w:t xml:space="preserve"> получении секретных пакетов, секретных посылок, секретных упаковок получатель обязан предоставить Исполнителю по его требованию заверенную надлежащим образом копию лицензии, выданную получателю, на проведение работ с использованием сведений, составляющих </w:t>
      </w:r>
      <w:r>
        <w:rPr>
          <w:color w:val="000000"/>
        </w:rPr>
        <w:t xml:space="preserve">государственную тайну, либо заверенную надлежащим образом копию согласования (разрешения) органов, уполномоченных на ведение лицензионной деятельности в области защиты государственной тайны, на размещение (создание) режимно-секретных подразделений. При неп</w:t>
      </w:r>
      <w:r>
        <w:rPr>
          <w:color w:val="000000"/>
        </w:rPr>
        <w:t xml:space="preserve">редставлении получателем Исполнителю  по его требованию заверенной надлежащим образом копии лицензии, выданной получателю, на проведение работ с использованием сведений, составляющих государственную тайну, либо заверенной надлежащим образом копии согласова</w:t>
      </w:r>
      <w:r>
        <w:rPr>
          <w:color w:val="000000"/>
        </w:rPr>
        <w:t xml:space="preserve">ния (разрешения) органов, уполномоченных на ведение лицензионной деятельности в области защиты государственной тайны, на размещение (создание) режимно-секретных подразделений секретные пакеты, секретные посылки, секретные упаковки не передаются получателю.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40"/>
        <w:jc w:val="both"/>
        <w:rPr>
          <w:bCs/>
          <w:color w:val="000000"/>
        </w:rPr>
      </w:pPr>
      <w:r>
        <w:rPr>
          <w:color w:val="000000"/>
        </w:rPr>
        <w:t xml:space="preserve">Секретные пакеты, секретные посылки, секретные упа</w:t>
      </w:r>
      <w:r>
        <w:rPr>
          <w:color w:val="000000"/>
        </w:rPr>
        <w:t xml:space="preserve">ковки не передаются Исполнителем получателю в случаях истечения срока действия лицензии получателя на проведение работ с использованием сведений, составляющих государственную тайну, или согласования (разрешения) органов, уполномоченных на ведение лицензион</w:t>
      </w:r>
      <w:r>
        <w:rPr>
          <w:color w:val="000000"/>
        </w:rPr>
        <w:t xml:space="preserve">ной деятельности в области защиты государственной тайны, на размещение (создание) режимно-секретных подразделений, их приостановления или аннулирования, если указанные лицензия или разрешение не продлены или возобновлены получателем в установленном порядке</w:t>
      </w:r>
      <w:r>
        <w:rPr>
          <w:bCs/>
          <w:color w:val="000000"/>
        </w:rPr>
        <w:t xml:space="preserve">. </w:t>
      </w:r>
      <w:r>
        <w:rPr>
          <w:bCs/>
          <w:color w:val="000000"/>
        </w:rPr>
      </w:r>
      <w:r>
        <w:rPr>
          <w:bCs/>
          <w:color w:val="000000"/>
        </w:rPr>
      </w:r>
    </w:p>
    <w:p>
      <w:pPr>
        <w:pStyle w:val="921"/>
        <w:ind w:left="0"/>
        <w:jc w:val="both"/>
        <w:spacing w:after="0"/>
        <w:tabs>
          <w:tab w:val="num" w:pos="1353" w:leader="none"/>
        </w:tabs>
        <w:rPr>
          <w:color w:val="000000"/>
        </w:rPr>
      </w:pPr>
      <w:r>
        <w:rPr>
          <w:color w:val="000000"/>
        </w:rPr>
        <w:t xml:space="preserve">              2.14. </w:t>
      </w:r>
      <w:r>
        <w:rPr>
          <w:color w:val="000000"/>
        </w:rPr>
        <w:t xml:space="preserve"> При сдаче доставленных Отправлений получателю представителями Исполнителя составляется реестр Ф.5 в двух экземплярах, один из которых передается получателю.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tabs>
          <w:tab w:val="num" w:pos="1353" w:leader="none"/>
        </w:tabs>
        <w:rPr>
          <w:color w:val="000000"/>
        </w:rPr>
      </w:pPr>
      <w:r>
        <w:rPr>
          <w:color w:val="000000"/>
        </w:rPr>
        <w:t xml:space="preserve">              2.15.</w:t>
      </w:r>
      <w:r>
        <w:rPr>
          <w:color w:val="000000"/>
        </w:rPr>
        <w:t xml:space="preserve"> При передаче Заказчику или получателю Отправлений последним проверяется количество мест, соответствие веса, целостность упаковки, печатей, пломб или иных средств контроля отсутствия доступа к вложению Отправлений.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tabs>
          <w:tab w:val="num" w:pos="1353" w:leader="none"/>
        </w:tabs>
        <w:rPr>
          <w:color w:val="000000"/>
        </w:rPr>
      </w:pPr>
      <w:r>
        <w:rPr>
          <w:color w:val="000000"/>
        </w:rPr>
        <w:t xml:space="preserve">              2.16. </w:t>
      </w:r>
      <w:r>
        <w:rPr>
          <w:color w:val="000000"/>
        </w:rPr>
        <w:t xml:space="preserve"> При наличии нарушения, повреждения упаковки, пломб или иного упаковочного материала, наличия пломб неустановленного обр</w:t>
      </w:r>
      <w:r>
        <w:rPr>
          <w:color w:val="000000"/>
        </w:rPr>
        <w:t xml:space="preserve">азца, а также наличия следов несанкционированного вскрытия Отправление вскрывается в присутствии представителей Исполнителя, проверяется его содержимое, вес, а также составляется акт в двух экземплярах, по одному для Исполнителя и Заказчика или получателя.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40"/>
        <w:jc w:val="both"/>
        <w:rPr>
          <w:color w:val="000000"/>
        </w:rPr>
      </w:pPr>
      <w:r>
        <w:rPr>
          <w:color w:val="000000"/>
        </w:rPr>
        <w:t xml:space="preserve">   Претензии с требованием возмещения утраты, повреждения, порчи или недостачи Отправления принимаются только при наличии указанного акта.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spacing w:after="0"/>
        <w:rPr>
          <w:color w:val="000000"/>
        </w:rPr>
      </w:pPr>
      <w:r>
        <w:rPr>
          <w:color w:val="000000"/>
        </w:rPr>
        <w:t xml:space="preserve">              2.17. </w:t>
      </w:r>
      <w:r>
        <w:rPr>
          <w:color w:val="000000"/>
        </w:rPr>
        <w:t xml:space="preserve">Отправления возвращаются в место их приема в следующих случаях: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rPr>
          <w:color w:val="000000"/>
        </w:rPr>
      </w:pPr>
      <w:r>
        <w:rPr>
          <w:color w:val="000000"/>
        </w:rPr>
        <w:t xml:space="preserve">              2.1</w:t>
      </w:r>
      <w:r>
        <w:rPr>
          <w:color w:val="000000"/>
        </w:rPr>
        <w:t xml:space="preserve">7</w:t>
      </w:r>
      <w:r>
        <w:rPr>
          <w:color w:val="000000"/>
        </w:rPr>
        <w:t xml:space="preserve">.1. </w:t>
      </w:r>
      <w:r>
        <w:rPr>
          <w:color w:val="000000"/>
        </w:rPr>
        <w:t xml:space="preserve">если Отправления не получены получателем в течение 15 календарных д</w:t>
      </w:r>
      <w:r>
        <w:rPr>
          <w:color w:val="000000"/>
        </w:rPr>
        <w:t xml:space="preserve">ней с момента их доставки, если </w:t>
      </w:r>
      <w:r>
        <w:rPr>
          <w:color w:val="000000"/>
        </w:rPr>
        <w:t xml:space="preserve">задержка получения не вызвана  какими-либо не зависящими от получателя причинами (стихийные бедствия, метеорологические условия и т.п.);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rPr>
          <w:color w:val="000000"/>
        </w:rPr>
      </w:pPr>
      <w:r>
        <w:rPr>
          <w:color w:val="000000"/>
        </w:rPr>
        <w:t xml:space="preserve">              2.1</w:t>
      </w:r>
      <w:r>
        <w:rPr>
          <w:color w:val="000000"/>
        </w:rPr>
        <w:t xml:space="preserve">7</w:t>
      </w:r>
      <w:r>
        <w:rPr>
          <w:color w:val="000000"/>
        </w:rPr>
        <w:t xml:space="preserve">.2. </w:t>
      </w:r>
      <w:r>
        <w:rPr>
          <w:color w:val="000000"/>
        </w:rPr>
        <w:t xml:space="preserve">указания неправильного адреса, контактного лица, номера телефона;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rPr>
          <w:color w:val="000000"/>
        </w:rPr>
      </w:pPr>
      <w:r>
        <w:rPr>
          <w:color w:val="000000"/>
        </w:rPr>
        <w:t xml:space="preserve">              2.1</w:t>
      </w:r>
      <w:r>
        <w:rPr>
          <w:color w:val="000000"/>
        </w:rPr>
        <w:t xml:space="preserve">7</w:t>
      </w:r>
      <w:r>
        <w:rPr>
          <w:color w:val="000000"/>
        </w:rPr>
        <w:t xml:space="preserve">.3. </w:t>
      </w:r>
      <w:r>
        <w:rPr>
          <w:color w:val="000000"/>
        </w:rPr>
        <w:t xml:space="preserve">отказа получателя от приема Отправления;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rPr>
          <w:color w:val="000000"/>
        </w:rPr>
      </w:pPr>
      <w:r>
        <w:rPr>
          <w:color w:val="000000"/>
        </w:rPr>
        <w:t xml:space="preserve">              2.1</w:t>
      </w:r>
      <w:r>
        <w:rPr>
          <w:color w:val="000000"/>
        </w:rPr>
        <w:t xml:space="preserve">7</w:t>
      </w:r>
      <w:r>
        <w:rPr>
          <w:color w:val="000000"/>
        </w:rPr>
        <w:t xml:space="preserve">.4. </w:t>
      </w:r>
      <w:r>
        <w:rPr>
          <w:color w:val="000000"/>
        </w:rPr>
        <w:t xml:space="preserve">отсутствия получателя в месте передачи Отправления;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rPr>
          <w:color w:val="000000"/>
        </w:rPr>
      </w:pPr>
      <w:r>
        <w:rPr>
          <w:color w:val="000000"/>
        </w:rPr>
        <w:t xml:space="preserve">              2.1</w:t>
      </w:r>
      <w:r>
        <w:rPr>
          <w:color w:val="000000"/>
        </w:rPr>
        <w:t xml:space="preserve">7</w:t>
      </w:r>
      <w:r>
        <w:rPr>
          <w:color w:val="000000"/>
        </w:rPr>
        <w:t xml:space="preserve">.5. </w:t>
      </w:r>
      <w:r>
        <w:rPr>
          <w:color w:val="000000"/>
        </w:rPr>
        <w:t xml:space="preserve">по письменному требованию Заказчика или указанного им отправителя;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rPr>
          <w:color w:val="000000"/>
        </w:rPr>
      </w:pPr>
      <w:r>
        <w:rPr>
          <w:color w:val="000000"/>
        </w:rPr>
        <w:t xml:space="preserve">              2.1</w:t>
      </w:r>
      <w:r>
        <w:rPr>
          <w:color w:val="000000"/>
        </w:rPr>
        <w:t xml:space="preserve">7</w:t>
      </w:r>
      <w:r>
        <w:rPr>
          <w:color w:val="000000"/>
        </w:rPr>
        <w:t xml:space="preserve">.6. </w:t>
      </w:r>
      <w:r>
        <w:rPr>
          <w:color w:val="000000"/>
        </w:rPr>
        <w:t xml:space="preserve">отсутствия у получателя секретных пакетов, секретных посылок, секретных упаковок лицензии на проведение ра</w:t>
      </w:r>
      <w:r>
        <w:rPr>
          <w:color w:val="000000"/>
        </w:rPr>
        <w:t xml:space="preserve">бот с использованием сведений, составляющих государственную тайну, или согласования (разрешения) органов, уполномоченных на ведение лицензионной деятельности в области защиты государственной тайны, на размещение (создание) режимно-секретных подразделений; 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rPr>
          <w:color w:val="000000"/>
        </w:rPr>
      </w:pPr>
      <w:r>
        <w:rPr>
          <w:color w:val="000000"/>
        </w:rPr>
        <w:t xml:space="preserve">               2.1</w:t>
      </w:r>
      <w:r>
        <w:rPr>
          <w:color w:val="000000"/>
        </w:rPr>
        <w:t xml:space="preserve">7</w:t>
      </w:r>
      <w:r>
        <w:rPr>
          <w:color w:val="000000"/>
        </w:rPr>
        <w:t xml:space="preserve">.7. </w:t>
      </w:r>
      <w:r>
        <w:rPr>
          <w:color w:val="000000"/>
        </w:rPr>
        <w:t xml:space="preserve">истечения срока действия, приостановления или аннулирования лицензии получателя на проведение ра</w:t>
      </w:r>
      <w:r>
        <w:rPr>
          <w:color w:val="000000"/>
        </w:rPr>
        <w:t xml:space="preserve">бот с использованием сведений, составляющих государственную тайну, или согласования (разрешения) органов, уполномоченных на ведение лицензионной деятельности в области защиты государственной тайны, на размещение (создание) режимно-секретных подразделений; 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rPr>
          <w:color w:val="000000"/>
        </w:rPr>
      </w:pPr>
      <w:r>
        <w:rPr>
          <w:color w:val="000000"/>
        </w:rPr>
        <w:t xml:space="preserve">              </w:t>
      </w:r>
      <w:r>
        <w:rPr>
          <w:color w:val="000000"/>
        </w:rPr>
        <w:t xml:space="preserve"> 2.1</w:t>
      </w:r>
      <w:r>
        <w:rPr>
          <w:color w:val="000000"/>
        </w:rPr>
        <w:t xml:space="preserve">7</w:t>
      </w:r>
      <w:r>
        <w:rPr>
          <w:color w:val="000000"/>
        </w:rPr>
        <w:t xml:space="preserve">.8. </w:t>
      </w:r>
      <w:r>
        <w:rPr>
          <w:color w:val="000000"/>
        </w:rPr>
        <w:t xml:space="preserve">непредставления Исполнителю получателем секретных пакетов, секретных посылок, секретных упаковок заверенной надлежащим образом копии лицензии на проведение работ с использованием сведений, соста</w:t>
      </w:r>
      <w:r>
        <w:rPr>
          <w:color w:val="000000"/>
        </w:rPr>
        <w:t xml:space="preserve">вляющих государственную тайну, либо заверенной надлежащим образом копии согласования (разрешения) органов, уполномоченных на ведение лицензионной деятельности в области защиты государственной тайны, на размещение (создание) режимно-секретных подразделений.</w:t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ind w:left="0"/>
        <w:jc w:val="both"/>
        <w:spacing w:after="0"/>
        <w:tabs>
          <w:tab w:val="num" w:pos="1353" w:leader="none"/>
        </w:tabs>
        <w:rPr>
          <w:color w:val="000000"/>
        </w:rPr>
      </w:pPr>
      <w:r>
        <w:rPr>
          <w:color w:val="000000"/>
        </w:rPr>
        <w:t xml:space="preserve">               2.18. </w:t>
      </w:r>
      <w:r>
        <w:rPr>
          <w:color w:val="000000"/>
        </w:rPr>
        <w:t xml:space="preserve"> Возврат (обратная доставка в адрес Заказчика) Отправлений оплачивается Заказчиком по тарифам, установленным для их доставки.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51"/>
        <w:jc w:val="center"/>
        <w:widowControl w:val="off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ИНДЕКСАЦИЯ ОТПРАВЛЕНИЙ, ОТРАЖАЮЩАЯ ХАРАКТЕР ВЛОЖЕНИЯ</w:t>
      </w:r>
      <w:r>
        <w:rPr>
          <w:b w:val="0"/>
          <w:color w:val="000000"/>
          <w:sz w:val="22"/>
          <w:szCs w:val="22"/>
        </w:rPr>
      </w:r>
      <w:r>
        <w:rPr>
          <w:b w:val="0"/>
          <w:color w:val="000000"/>
          <w:sz w:val="22"/>
          <w:szCs w:val="22"/>
        </w:rPr>
      </w:r>
    </w:p>
    <w:tbl>
      <w:tblPr>
        <w:tblW w:w="9985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28" w:type="dxa"/>
          <w:right w:w="108" w:type="dxa"/>
          <w:bottom w:w="28" w:type="dxa"/>
        </w:tblCellMar>
        <w:tblLook w:val="01E0" w:firstRow="1" w:lastRow="1" w:firstColumn="1" w:lastColumn="1" w:noHBand="0" w:noVBand="0"/>
      </w:tblPr>
      <w:tblGrid>
        <w:gridCol w:w="993"/>
        <w:gridCol w:w="2467"/>
        <w:gridCol w:w="6525"/>
      </w:tblGrid>
      <w:tr>
        <w:trPr>
          <w:cantSplit/>
          <w:trHeight w:val="5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Индекс группы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7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Вид вложения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5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Характер вложения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Документация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5" w:type="dxa"/>
            <w:vAlign w:val="top"/>
            <w:textDirection w:val="lrTb"/>
            <w:noWrap w:val="false"/>
          </w:tcPr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Документация на бумажных носителях (документация служебного характера, архивные материалы, техническая документация)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Металлические изделия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5" w:type="dxa"/>
            <w:vAlign w:val="top"/>
            <w:textDirection w:val="lrTb"/>
            <w:noWrap w:val="false"/>
          </w:tcPr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Двигатели и турбины механического типа;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различные механизмы и запасные части;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металлические рабочие инструменты;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металлическая арматура;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электрическая арматура;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кабели, провода, проволока;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металлические изделия бытового назначения;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другие подобные изделия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Электрическое и электронное оборудование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5" w:type="dxa"/>
            <w:vAlign w:val="top"/>
            <w:textDirection w:val="lrTb"/>
            <w:noWrap w:val="false"/>
          </w:tcPr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Оргтехника;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радиоаппаратура;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телефонные станции;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компьютеры;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телевизоры;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электробытовые машины и приборы;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магнитофоны;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видеопроигрыватели;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видеокамеры;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электронные игры;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электрические и радиоэлектронные детали;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магнитные, электронные и иные носители электронной информации;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электродвигатели;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трансформаторы;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телефонные аппараты;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-другие подобные изделия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Неметаллические изделия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5" w:type="dxa"/>
            <w:vAlign w:val="top"/>
            <w:textDirection w:val="lrTb"/>
            <w:noWrap w:val="false"/>
          </w:tcPr>
          <w:p>
            <w:pPr>
              <w:pStyle w:val="909"/>
              <w:ind w:left="12" w:hanging="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Изделия из пластических масс, минералов, дерева, резины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Приборы и инструменты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5" w:type="dxa"/>
            <w:vAlign w:val="top"/>
            <w:textDirection w:val="lrTb"/>
            <w:noWrap w:val="false"/>
          </w:tcPr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Приборы и инструменты научного назначения;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приборы и инструменты медицинского назначения;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весоизмерительная техника;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часы;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музыкальные инструменты;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оптические приборы;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фотоаппараты;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слуховые аппараты;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-другие подобные изделия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Печатные материалы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5" w:type="dxa"/>
            <w:vAlign w:val="top"/>
            <w:textDirection w:val="lrTb"/>
            <w:noWrap w:val="false"/>
          </w:tcPr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Полиграфическая продукция (печатные материалы, направляемые в посылках  или упаковках за пределы РФ (кроме Беларуси и Казахстана))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Медикаменты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5" w:type="dxa"/>
            <w:vAlign w:val="top"/>
            <w:textDirection w:val="lrTb"/>
            <w:noWrap w:val="false"/>
          </w:tcPr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Лекарственное вещество;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ind w:left="113" w:hanging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лекарственный препарат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1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4</w:t>
            </w:r>
            <w:r>
              <w:rPr>
                <w:color w:val="000000"/>
                <w:sz w:val="18"/>
                <w:szCs w:val="18"/>
                <w:lang w:val="en-US"/>
              </w:rPr>
            </w:r>
            <w:r>
              <w:rPr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67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Посылки, упаковки с вложением аккумуляторных батарей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25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Наличие в отправлениях аккумуляторных батарей или изделий, имеющих в своем составе аккумуляторные батареи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pStyle w:val="921"/>
        <w:ind w:left="709"/>
        <w:jc w:val="both"/>
        <w:spacing w:after="0"/>
        <w:tabs>
          <w:tab w:val="num" w:pos="1353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W w:w="9973" w:type="dxa"/>
        <w:jc w:val="right"/>
        <w:tblInd w:w="7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501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ИСПОЛНИТЕЛЬ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Федеральное государственное унитарное предприятие «Главный центр специальной связи»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филиал - </w:t>
            </w:r>
            <w:r>
              <w:rPr>
                <w:b/>
                <w:bCs/>
                <w:color w:val="000000"/>
              </w:rPr>
              <w:t xml:space="preserve">Региональное управление специальной связи по Южному региону - Управление специальной связи по Ростовской области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Федеральное казенное учреждение «Управление федеральных автомобильных дорог «Новороссия» Федерального дорожного агентства»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Заместитель начальника Управления по развитию  </w:t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______________________О.М. Вербило</w:t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/>
            <w:permStart w:edGrp="everyone" w:id="25"/>
            <w:r>
              <w:rPr>
                <w:b/>
                <w:bCs/>
                <w:color w:val="000000"/>
                <w:sz w:val="22"/>
                <w:szCs w:val="22"/>
              </w:rPr>
              <w:t xml:space="preserve">Зам. начальника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____________________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О.Н. Гулый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26"/>
              <w:widowControl w:val="off"/>
              <w:rPr>
                <w:b/>
                <w:bCs/>
                <w:color w:val="000000"/>
              </w:rPr>
            </w:pPr>
            <w:r/>
            <w:permEnd w:id="25"/>
            <w:r>
              <w:rPr>
                <w:b/>
                <w:bCs/>
                <w:color w:val="000000"/>
                <w:sz w:val="22"/>
                <w:szCs w:val="22"/>
              </w:rPr>
              <w:t xml:space="preserve">      М.П.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</w:tbl>
    <w:p>
      <w:pPr>
        <w:pStyle w:val="9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lef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lef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</w:rPr>
        <w:t xml:space="preserve">Приложение №</w:t>
      </w:r>
      <w:r>
        <w:rPr>
          <w:sz w:val="20"/>
          <w:lang w:val="ru-RU"/>
        </w:rPr>
        <w:t xml:space="preserve">4</w:t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  <w:lang w:val="ru-RU"/>
        </w:rPr>
        <w:t xml:space="preserve">   </w:t>
      </w:r>
      <w:r>
        <w:rPr>
          <w:sz w:val="20"/>
        </w:rPr>
        <w:t xml:space="preserve">к </w:t>
      </w:r>
      <w:r>
        <w:rPr>
          <w:sz w:val="20"/>
          <w:lang w:val="ru-RU"/>
        </w:rPr>
        <w:t xml:space="preserve">Контракту</w:t>
      </w:r>
      <w:r>
        <w:rPr>
          <w:sz w:val="20"/>
        </w:rPr>
        <w:t xml:space="preserve"> № ____________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на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оказание</w:t>
      </w:r>
      <w:r>
        <w:rPr>
          <w:sz w:val="20"/>
        </w:rPr>
        <w:br w:type="textWrapping" w:clear="all"/>
      </w:r>
      <w:r>
        <w:rPr>
          <w:sz w:val="20"/>
        </w:rPr>
        <w:t xml:space="preserve"> услуг специальной почтовой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связи </w:t>
      </w:r>
      <w:r>
        <w:rPr>
          <w:sz w:val="20"/>
        </w:rPr>
        <w:br w:type="textWrapping" w:clear="all"/>
      </w:r>
      <w:r>
        <w:rPr>
          <w:sz w:val="20"/>
          <w:lang w:val="ru-RU"/>
        </w:rPr>
        <w:t xml:space="preserve">п</w:t>
      </w:r>
      <w:r>
        <w:rPr>
          <w:sz w:val="20"/>
        </w:rPr>
        <w:t xml:space="preserve">о доставке отправлений </w:t>
      </w:r>
      <w:r>
        <w:rPr>
          <w:sz w:val="20"/>
        </w:rPr>
        <w:br w:type="textWrapping" w:clear="all"/>
      </w:r>
      <w:permStart w:edGrp="everyone" w:id="26"/>
      <w:r>
        <w:rPr>
          <w:sz w:val="20"/>
        </w:rPr>
        <w:t xml:space="preserve">от «____» августа </w:t>
      </w:r>
      <w:r>
        <w:rPr>
          <w:sz w:val="20"/>
        </w:rPr>
        <w:t xml:space="preserve">2026</w:t>
      </w:r>
      <w:r>
        <w:rPr>
          <w:sz w:val="20"/>
        </w:rPr>
        <w:t xml:space="preserve"> года </w:t>
      </w:r>
      <w:permEnd w:id="26"/>
      <w:r>
        <w:rPr>
          <w:sz w:val="20"/>
        </w:rPr>
      </w:r>
      <w:r>
        <w:rPr>
          <w:sz w:val="20"/>
        </w:rPr>
      </w:r>
    </w:p>
    <w:p>
      <w:pPr>
        <w:pStyle w:val="921"/>
        <w:ind w:firstLine="142"/>
        <w:jc w:val="center"/>
        <w:rPr>
          <w:b/>
          <w:color w:val="000000"/>
          <w:lang w:val="en-US"/>
        </w:rPr>
      </w:pPr>
      <w:r>
        <w:rPr>
          <w:b/>
          <w:color w:val="000000"/>
          <w:lang w:val="en-US"/>
        </w:rPr>
      </w:r>
      <w:r>
        <w:rPr>
          <w:b/>
          <w:color w:val="000000"/>
          <w:lang w:val="en-US"/>
        </w:rPr>
      </w:r>
      <w:r>
        <w:rPr>
          <w:b/>
          <w:color w:val="000000"/>
          <w:lang w:val="en-US"/>
        </w:rPr>
      </w:r>
    </w:p>
    <w:p>
      <w:pPr>
        <w:pStyle w:val="921"/>
        <w:ind w:firstLine="142"/>
        <w:jc w:val="center"/>
        <w:rPr>
          <w:b/>
          <w:color w:val="000000"/>
        </w:rPr>
      </w:pPr>
      <w:r>
        <w:rPr>
          <w:b/>
          <w:color w:val="000000"/>
        </w:rPr>
        <w:t xml:space="preserve">ТРЕБОВАНИЯ К ОФОРМЛЕНИЮ ОТПРАВЛЕНИЙ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21"/>
        <w:numPr>
          <w:ilvl w:val="0"/>
          <w:numId w:val="12"/>
        </w:numPr>
        <w:jc w:val="center"/>
        <w:spacing w:after="0"/>
        <w:rPr>
          <w:b/>
          <w:color w:val="000000"/>
        </w:rPr>
      </w:pPr>
      <w:r>
        <w:rPr>
          <w:b/>
          <w:color w:val="000000"/>
        </w:rPr>
        <w:t xml:space="preserve">ТРЕБОВАНИЯ К ОФОРМЛЕНИЮ ОТПРАВЛЕНИЙ, НЕ СОДЕРЖАЩИХ СВЕДЕНИЯ, СОСТАВЛЯЮЩИЕ ГОСУДАРСТВЕННУЮ ТАЙНУ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ind w:firstLine="567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09"/>
        <w:ind w:firstLine="567"/>
        <w:rPr>
          <w:b/>
          <w:bCs/>
          <w:color w:val="000000"/>
        </w:rPr>
      </w:pPr>
      <w:r>
        <w:rPr>
          <w:b/>
          <w:bCs/>
          <w:color w:val="000000"/>
        </w:rPr>
        <w:t xml:space="preserve">1.1. Требования, предъявляемые к пакетам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48"/>
        <w:numPr>
          <w:ilvl w:val="2"/>
          <w:numId w:val="13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Бумажные оболочки пакетов должны быть изготовлены из целого листа пло</w:t>
      </w:r>
      <w:r>
        <w:rPr>
          <w:color w:val="000000"/>
        </w:rPr>
        <w:t xml:space="preserve">тной бумаги. Документы, упакованные в ранее использованные пакеты, а также в пакеты, изготовленные из газетной, рыхлой, глянцевой, лощеной, пергаментной и просвечивающейся бумаги, а также в художественные конверты, к пересылке Исполнителем не принимаются. 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3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Документы, имеющие жесткие острые углы и грани, которые могут повредить оболочку конверта, а также пакеты весом свыше 2 кг, принимаемые от воинских подразделений, должны упаковываться в плотную бумагу типа «Крафт».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3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Для пересылки документов разрешается использование бумажных конвертов европейского стандарта, клапан которых опечатывается двумя оттисками мастичной печати отправителя, а также одноразовых пластиковых пакетов типа «Секъюрпак».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3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Пакеты подразделяются по следующим типоразмерам: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3"/>
          <w:numId w:val="13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 малые пакеты – 11х15 см;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3"/>
          <w:numId w:val="13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 средние пакеты – более 11х15 см до 15х20 см;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3"/>
          <w:numId w:val="13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 большие пакеты – более 15х20 см до 30х38 см.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3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Пакеты не прошиваются, но должны опечатываться мастичными печатями «Для пакетов» так, чтобы оттиски последних захватывали все клапаны конверта.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rPr>
          <w:color w:val="000000"/>
        </w:rPr>
      </w:pPr>
      <w:r>
        <w:rPr>
          <w:color w:val="000000"/>
        </w:rPr>
        <w:t xml:space="preserve">При использовании одноразовых пластиковых самокле</w:t>
      </w:r>
      <w:r>
        <w:rPr>
          <w:color w:val="000000"/>
        </w:rPr>
        <w:t xml:space="preserve">ющихся пакетов для пересылки документов адресная часть оформляется либо на одной из Сторон пакета (при наличии специально отпечатанного на пакете трафарета), либо на отдельном листе бумаги, который вкладывается в прозрачный карман пакета (при его наличии).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rPr>
          <w:b/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 xml:space="preserve">1.2. Требования, предъявляемые к посылкам и упаковкам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Матерчатая оболочка посылок должна состоять из прочного непрозрачного куска материи или из нескольких одинаковых по цвету и качеству кусков, сшитых внутренним швом. Наружные швы допускают</w:t>
      </w:r>
      <w:r>
        <w:rPr>
          <w:color w:val="000000"/>
        </w:rPr>
        <w:t xml:space="preserve">ся только с одной Стороны и прошиваются однородными нитками, равномерным частым швом. Наружные швы оболочки опечатываются сургучной печатью отправителя на расстоянии не более 8 см между оттисками печатей. Перевязывать посылки бумажным шпагатом запрещается.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Посылки в матерчатой оболочке или в твердой таре, обшитые материей, перевязываются крестообразно цельным прочным шпагатом, который у посылок в матерчатой</w:t>
      </w:r>
      <w:r>
        <w:rPr>
          <w:color w:val="000000"/>
        </w:rPr>
        <w:t xml:space="preserve"> оболочке пропускается на 1,5 см под оболочку по всем боковым Сторонам, а у посылок в твердой таре, обшитой материей, – под обшивку на ребрах. Концы шпагата завязываются узлом и опечатываются сургучной печатью. Допускается опломбирование свинцовой пломбой.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Посылки в виде рулонов и трубок в обязательном порядке должны иметь внутреннюю осевую прокладку из твердого материала или должны быть уложены в тубусы для исключения возможности повреждения вложения.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Адресная бирка изготавливается из крепкой древесины или фанеры толщиной не менее 0,5 см и должна иметь углубление для сургуча.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При отправке посылок в необшитых материей деревянных ящиках последние должны изготовляться из цельных, плотно пригнанных одна к другой строганных досок толщиной не менее 1 см или из цельных кусков прочной однородной фанеры толщиной не менее 0,6 см.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Посылки в деревянных ящиках должны перевязываться крест-накр</w:t>
      </w:r>
      <w:r>
        <w:rPr>
          <w:color w:val="000000"/>
        </w:rPr>
        <w:t xml:space="preserve">ест прочным (крученым) шпагатом или цельной мягкой проволокой диаметром не менее 0,1 см. Концы перевязи пропускаются в отверстия на расстоянии 1,5-2 см от края каждого ребра ящика. В местах пересечения шпагата или проволоки делаются узлы. Концы проволоки п</w:t>
      </w:r>
      <w:r>
        <w:rPr>
          <w:color w:val="000000"/>
        </w:rPr>
        <w:t xml:space="preserve">ломбируются пломбой, а шпагата </w:t>
      </w:r>
      <w:r>
        <w:rPr>
          <w:color w:val="000000"/>
        </w:rPr>
        <w:t xml:space="preserve">опечатываются сургучной печатью. 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Металлические ящики с кинолентами пломбируются пломбами или опечатываются сургучными печатями указанным выше</w:t>
      </w:r>
      <w:r>
        <w:rPr>
          <w:color w:val="000000"/>
        </w:rPr>
        <w:t xml:space="preserve"> порядком и могут приниматься без перевязи. Адресная бирка к ящику крепится к запирающему устройству прочным шпагатом (проволокой), концы которого опечатываются (пломбируются). На ящиках с кинолентами со Стороны адресной бирки делается надпись «Киноленты».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Для опечатывания посылок наряду со свинцовыми пломбами могу</w:t>
      </w:r>
      <w:r>
        <w:rPr>
          <w:color w:val="000000"/>
        </w:rPr>
        <w:t xml:space="preserve">т быть использованы трубчатые, </w:t>
      </w:r>
      <w:r>
        <w:rPr>
          <w:color w:val="000000"/>
        </w:rPr>
        <w:t xml:space="preserve">пластмассовые пломбы, а также бумажные наклейки с оттиском мастичной печати отправителя или самоклеящаяся лента с логотипом отправителя, обеспечивающие контроль доступа к вложению.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Деревянные ящики для упаковок изготавливаются из цельных, без сквозных сучков, плотно пригнанных одна к другой досок. Упаковки (метизы) массой свыше 15 кг должны иметь прочные, удобные для их переноски руч</w:t>
      </w:r>
      <w:r>
        <w:rPr>
          <w:color w:val="000000"/>
        </w:rPr>
        <w:t xml:space="preserve">ки. Для обеспечения погрузки (выгрузки) с помощью электропогрузчика упаковок массой свыше 30 кг к их дну крепятся 2 бруска квадратного профиля со Стороной размером 7 см, каждый из которых должен быть расположен на расстоянии 5 - 10 см от края дна упаковки.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 На адресной Стороне упаковки могут проставляться предупредительные надписи: «Верх», «Осторожно», «Приборы», «Стекло», «Не бросать»; знаки: «Зонтик», «Рюмка», а для упаковок массой до 30 кг – «Не кантовать».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 Упаковки массой до </w:t>
      </w:r>
      <w:r>
        <w:rPr>
          <w:color w:val="000000"/>
        </w:rPr>
        <w:t xml:space="preserve">20 кг в деревянных ящиках или в твердой таре, обшитой материей, перевязываются крестообразно цельной мягкой стальной проволокой диаметром не менее 0,1 см или крученым шпагатом. Проволока или шпагат пропускается в отверстия по середине ребер или под оболочк</w:t>
      </w:r>
      <w:r>
        <w:rPr>
          <w:color w:val="000000"/>
        </w:rPr>
        <w:t xml:space="preserve">у материи на расстоянии 1,5-2 см от их края. В местах перекрещивания концы шпагата завязываются узлом, а проволока дважды перекручивается.  Концы шпагата или проволоки выводятся на торцевую Сторону упаковки и опечатываются сургучной печатью (пломбируются).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 Деревянные (фанерные) ящики массой свыше 20 кг по всему периметру боковых Сторон на расстоянии 2-3 см от краев окантовываются металлической лентой, которая прибивается гвоздями к каждой доске. Концы ленты, выведенные на крышку </w:t>
      </w:r>
      <w:r>
        <w:rPr>
          <w:color w:val="000000"/>
        </w:rPr>
        <w:t xml:space="preserve">ящика, а также участок ленты, проходящий по дну ящика, прошивается проволокой с захватом крышки, дна, боковой (торцевой) Стороны ящика и опечатываются (пломбируются). Таким же порядком опечатывается (пломбируется) противоположная Сторона упаковки (метиза).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 Деревянные (фанерные) ящики, Стороны которых связаны в шип, а крышка прибита гвоздями, а также ящики с крышк</w:t>
      </w:r>
      <w:r>
        <w:rPr>
          <w:color w:val="000000"/>
        </w:rPr>
        <w:t xml:space="preserve">ами, которые имеют наружные петли на шурупах, окантовываются цельной металлической лентой по всему периметру на середине ящика. На ребрах лента крепится гвоздями, а концы ее выводятся на верхний угол адресной Стороны и пломбируются с захватом крышки ящика.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Для повышения прочности деревянных ящиков с отправлениями они могут усиливаться металлической лентой с</w:t>
      </w:r>
      <w:r>
        <w:rPr>
          <w:color w:val="000000"/>
        </w:rPr>
        <w:t xml:space="preserve"> помощью устройств для обвязки грузов. Деревянные (фанерные), металлические ящики, имеющие цельную прочную крышку, внутренние или заклепанные петли, а по краям крышки и корпуса внутренние проушины для пломбирования, железной лентой могут не окантовываться.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Металлические ящики должны быть сварными, с крышками, запорными устройствами, а также с ушками для </w:t>
      </w:r>
      <w:r>
        <w:rPr>
          <w:color w:val="000000"/>
        </w:rPr>
        <w:t xml:space="preserve">их опломбирования или опечатывания. Опломбирование таких ящиков или их опечатывание осуществляется указанным выше порядком. Адресная бирка к ящику крепится к запирающему устройству прочным шпагатом (проволокой), концы которого пломбируются (опечатываются).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Упаковки (метизы) в деревянных (фанерных) ящиках долж</w:t>
      </w:r>
      <w:r>
        <w:rPr>
          <w:color w:val="000000"/>
        </w:rPr>
        <w:t xml:space="preserve">ны пломбироваться только свинцовыми пломбами или опечатываться сургучными печатями. Сургучный оттиск печати или пломба должны помещаться в углублениях доски ящика упаковки (метиза) или бирки, чтобы при транспортировке или перегрузке они не были повреждены.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В случаях, когда оттиск на пломбе или сургучной печати не соответствует наименованию отправителя, на адресной Стороне упаковки (метиза) (оборотной Стороне бирки) должна быть сделана оговорка об этом, заверенная подписью и печатью отправителя.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numPr>
          <w:ilvl w:val="2"/>
          <w:numId w:val="14"/>
        </w:numPr>
        <w:ind w:left="0" w:firstLine="567"/>
        <w:jc w:val="both"/>
        <w:spacing w:after="0"/>
        <w:rPr>
          <w:color w:val="000000"/>
        </w:rPr>
      </w:pPr>
      <w:r>
        <w:rPr>
          <w:color w:val="000000"/>
        </w:rPr>
        <w:t xml:space="preserve">Несекретные упаковки опечатываются как посылки.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tabs>
          <w:tab w:val="num" w:pos="1134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1"/>
          <w:numId w:val="14"/>
        </w:numPr>
        <w:ind w:left="0" w:firstLine="567"/>
        <w:jc w:val="both"/>
        <w:tabs>
          <w:tab w:val="num" w:pos="993" w:leader="none"/>
          <w:tab w:val="num" w:pos="1134" w:leader="none"/>
        </w:tabs>
        <w:rPr>
          <w:color w:val="000000"/>
        </w:rPr>
      </w:pPr>
      <w:r>
        <w:rPr>
          <w:b/>
          <w:bCs/>
          <w:color w:val="000000"/>
        </w:rPr>
        <w:t xml:space="preserve">Адресование отправлений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При адресовании отпра</w:t>
      </w:r>
      <w:r>
        <w:rPr>
          <w:color w:val="000000"/>
        </w:rPr>
        <w:t xml:space="preserve">влений указывается: название населенного пункта (пункт назначения); район; область, край, республика;  название улицы;  номер дома;  наименование получателя;  номер телефона (при наличии возможности)  для несекретных и ценных отправлений.</w:t>
        <w:tab/>
        <w:t xml:space="preserve">На отправлениях, </w:t>
      </w:r>
      <w:r>
        <w:rPr>
          <w:color w:val="000000"/>
        </w:rPr>
        <w:t xml:space="preserve">пересылаемых по межгосударственным маршрутам специальной связи, перед названием населенного пункта указывается государство. На отправлениях, адресуемых в областные и краевые центры вместо наименования области (края) допускаются обозначения: «обл.» («кр.»).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При адресовании указывается полное или утвержденное в установленном порядке сокращенное наименование получателя (предприятия, учреждения, организации).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 Отправлениях в правом верхнем углу проставляются пометки: «Для служебного пользования», «Коммерческая тайна», «Конфиденциально», «Служебное», «Правительственное», «Коммерческое» и «Ценное(ая) на ____руб.».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Адреса получателя и отправителя могут быть напечатаны типографским и компьютерным способом, написаны краской, несмываемыми чернилами или шариковой ручкой черного, синего или фиолетового цвета. Адреса должны быть написаны четко, точно и </w:t>
      </w:r>
      <w:r>
        <w:rPr>
          <w:color w:val="000000"/>
        </w:rPr>
        <w:t xml:space="preserve">без сокращений, кроме общепринятых. Исправления в адресной части запрещаются. В исключительных случаях допускается внесение отправителем изменений с проставлением даты, фамилии и подписи  лица, внесшего изменения, заверенных мастичной печатью  отправителя.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 На посылках, упакованных в мешки, адрес оформляется на бирке. На бирку допускается наклейка адресного ярлыка. При этом концы шпагата пропускаются в отверстия бирки через адресный ярлык, завязываются и опечатываются.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 посылках, упаковках в деревянных ящиках, обшитых и не обшитых материей, адреса получателя и отправителя пишутся на одной из боковых Сторон. На упаковках больших габаритов адрес должен быть написан на ограниченной площади размером не более 50х30 см.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На посылках, упаковках</w:t>
      </w:r>
      <w:r>
        <w:rPr>
          <w:color w:val="000000"/>
        </w:rPr>
        <w:t xml:space="preserve"> в металлических и деревянных ящиках, допускается написание адреса на фанерной или деревянной бирке, которая должна прочно прикрепляться на одной из боковых Сторон упаковки и опломбироваться таким способом, чтобы исключалось ее снятие без нарушения пломбы.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При приеме посылок, упаковок, ценных пакетов в право</w:t>
      </w:r>
      <w:r>
        <w:rPr>
          <w:color w:val="000000"/>
        </w:rPr>
        <w:t xml:space="preserve">м нижнем углу адресной бирки (адресного ярлыка) проставляется их масса брутто в килограммах. На адресной бирке (адресном ярлыке) ценных отправлений в верхнем правом углу должна быть проставлена оценочная стоимость отправления в рублях (цифрами и прописью).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При использовании для пересылки служебной пакетной корреспонденции одноразов</w:t>
      </w:r>
      <w:r>
        <w:rPr>
          <w:color w:val="000000"/>
        </w:rPr>
        <w:t xml:space="preserve">ых пластиковых пакетов типа «Секъюрпак» адресная часть оформляется либо на одной из Сторон пакета (при наличии специально отпечатанного на пакете трафарета), либо на отдельном листе бумаги, который вкладывается в прозрачный карман пакета (при его наличии).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1"/>
          <w:numId w:val="14"/>
        </w:numPr>
        <w:ind w:left="0" w:firstLine="567"/>
        <w:jc w:val="both"/>
        <w:tabs>
          <w:tab w:val="num" w:pos="993" w:leader="none"/>
          <w:tab w:val="num" w:pos="1134" w:leader="none"/>
        </w:tabs>
        <w:rPr>
          <w:b/>
          <w:color w:val="000000"/>
        </w:rPr>
      </w:pPr>
      <w:r>
        <w:rPr>
          <w:b/>
          <w:color w:val="000000"/>
        </w:rPr>
        <w:t xml:space="preserve">Требования, предъявляемые к отправлениям, пересылаемым в адрес воинских частей и учреждений Вооруженных Сил РФ (Министерство обороны РФ, Сухопутны</w:t>
      </w:r>
      <w:r>
        <w:rPr>
          <w:b/>
          <w:color w:val="000000"/>
        </w:rPr>
        <w:t xml:space="preserve">е войска, Военно-воздушные силы, Военно-морской флот, Тыл и др.) и правоохранительных структур (МВД РФ, ФСБ, МЧС, Служба внешней разведки РФ, Федеральная служба охраны РФ и др.) либо исходящим от указанных субъектов (далее по тексту – воинские отправления)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Упаковка, прошивка и опечатывание воинских отправлений осуществляется в порядке, предусмотренном п. 1.1., 1.2. и 2.1.,2.2 настоящего Положения.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Воинские отправления принимаются для доставки при соблюдении следующего порядка адресования: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3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по условному наименованию «Войск</w:t>
      </w:r>
      <w:r>
        <w:rPr>
          <w:color w:val="000000"/>
        </w:rPr>
        <w:t xml:space="preserve">овая часть» с добавлением пятизначного или четырехзначного номера и пункта приписки к месту постоянной дислокации (далее по тексту – пункт приписки). В адресе отправителя и получателя при отправке по условному наименованию адрес дислокации не указывается;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3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по условному наименованию «Федеральное бюджетное учреждение - войсковая часть» с добавлением пятизначного номера и указания пункта приписки;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3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по условному наименованию «Полевая почта» с добавлением пятизначного или четырехзначного номера без указания пункта приписки;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3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по действительному наимен</w:t>
      </w:r>
      <w:r>
        <w:rPr>
          <w:color w:val="000000"/>
        </w:rPr>
        <w:t xml:space="preserve">ованию учреждений и организаций Вооруженных Сил Российской Федерации и Правоохранительных структур, которым не присвоены условные наименования, с указанием пункта приписки. Указывать штатные должности и воинские звания отправителя и получателя запрещается;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3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по условному наименованию «Войсковая часть», «Полевая почта», «Войсковая часть – полевая почта», «Федеральное бюджетное учреждение – войсковая часть» с добав</w:t>
      </w:r>
      <w:r>
        <w:rPr>
          <w:color w:val="000000"/>
        </w:rPr>
        <w:t xml:space="preserve">лением пятизначного номера должностные лица во всех случаях именуются «Командир части». На отправлениях, адресованных воинским частям по их условным наименованиям с указанием четырехзначного номера, допускается именовать должностных лиц «Начальник части».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numPr>
          <w:ilvl w:val="2"/>
          <w:numId w:val="14"/>
        </w:numPr>
        <w:ind w:left="0" w:firstLine="567"/>
        <w:jc w:val="both"/>
        <w:rPr>
          <w:color w:val="000000"/>
        </w:rPr>
      </w:pPr>
      <w:r>
        <w:rPr>
          <w:color w:val="000000"/>
        </w:rPr>
        <w:t xml:space="preserve">В обратных адресах на отправлениях, исходящих от воинских частей и учреждений по их условным наименованиям, обязательно должны указываться пункты приписки.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21"/>
        <w:numPr>
          <w:ilvl w:val="0"/>
          <w:numId w:val="12"/>
        </w:numPr>
        <w:ind w:left="0" w:firstLine="567"/>
        <w:jc w:val="center"/>
        <w:spacing w:after="0"/>
        <w:rPr>
          <w:b/>
          <w:color w:val="000000"/>
        </w:rPr>
      </w:pPr>
      <w:r>
        <w:rPr>
          <w:b/>
          <w:color w:val="000000"/>
        </w:rPr>
        <w:t xml:space="preserve">ТРЕБОВАНИЯ К ОФОРМЛЕНИЮ ОТПРАВЛЕНИЙ, СОДЕРЖАЩИХ СВЕДЕНИЯ, СОСТАВЛЯЮЩИЕ  ГОСУДАРСТВЕННУЮ ТАЙНУ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21"/>
        <w:ind w:firstLine="567"/>
        <w:spacing w:after="0"/>
        <w:rPr>
          <w:color w:val="000000"/>
        </w:rPr>
      </w:pPr>
      <w:r>
        <w:rPr>
          <w:color w:val="000000"/>
        </w:rPr>
        <w:t xml:space="preserve">2.1 Отправления с грифами секретности «особой важности», «совершенно секретно» и «секретно»  оформляются согласно Инстр</w:t>
      </w:r>
      <w:r>
        <w:rPr>
          <w:color w:val="000000"/>
        </w:rPr>
        <w:t xml:space="preserve">укции по  обеспечению режима секретности в Российской Федерации, утвержденной Постановлением Правительства РФ от 05.01.2004 г. № 3-1, а в случае утраты ей юридической силы – согласно иным нормативным правовым актам, регулирующим отношения в данной области.</w:t>
      </w:r>
      <w:r>
        <w:rPr>
          <w:color w:val="000000"/>
        </w:rPr>
      </w:r>
      <w:r>
        <w:rPr>
          <w:color w:val="000000"/>
        </w:rPr>
      </w:r>
    </w:p>
    <w:p>
      <w:pPr>
        <w:pStyle w:val="948"/>
        <w:ind w:firstLine="851"/>
        <w:jc w:val="both"/>
        <w:rPr>
          <w:color w:val="000000"/>
        </w:rPr>
      </w:pPr>
      <w:r>
        <w:rPr>
          <w:color w:val="000000"/>
        </w:rPr>
        <w:t xml:space="preserve">2.2. Секретные пакеты массой более 1 кг для прочно</w:t>
      </w:r>
      <w:r>
        <w:rPr>
          <w:color w:val="000000"/>
        </w:rPr>
        <w:t xml:space="preserve">сти перевязываются дополнительно крест-накрест цельным прочным шпагатом, концы которого опечатываются бумажной наклейкой с оттиском мастичной печати с расчетом, чтобы исключить снятие шпагата и доступ к вложению без повреждения оттисков печатей и оболочки.</w:t>
      </w:r>
      <w:r>
        <w:rPr>
          <w:color w:val="000000"/>
        </w:rPr>
      </w:r>
      <w:r>
        <w:rPr>
          <w:color w:val="000000"/>
        </w:rPr>
      </w:r>
    </w:p>
    <w:tbl>
      <w:tblPr>
        <w:tblW w:w="9973" w:type="dxa"/>
        <w:jc w:val="right"/>
        <w:tblInd w:w="7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501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ИСПОЛНИТЕЛЬ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Федеральное государственное унитарное предприятие «Главный центр специальной связи»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филиал - </w:t>
            </w:r>
            <w:r>
              <w:rPr>
                <w:b/>
                <w:bCs/>
                <w:color w:val="000000"/>
              </w:rPr>
              <w:t xml:space="preserve">Региональное управление специальной связи по Южному региону - Управление специальной связи по Ростовской области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Федеральное казенное учреждение «Управление федеральных автомобильных дорог «Новороссия» Федерального дорожного агентства»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rPr>
          <w:trHeight w:val="87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Заместитель начальника Управления по развитию  </w:t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______________________О.М. Вербило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/>
            <w:permStart w:edGrp="everyone" w:id="28"/>
            <w:r>
              <w:rPr>
                <w:b/>
                <w:bCs/>
                <w:color w:val="000000"/>
                <w:sz w:val="22"/>
                <w:szCs w:val="22"/>
              </w:rPr>
              <w:t xml:space="preserve">Зам. начальника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____________________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О.Н. Гулый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1029"/>
        <w:jc w:val="right"/>
        <w:widowControl w:val="off"/>
        <w:rPr>
          <w:sz w:val="20"/>
          <w:szCs w:val="20"/>
          <w:lang w:val="ru-RU"/>
        </w:rPr>
      </w:pPr>
      <w:r>
        <w:rPr>
          <w:sz w:val="20"/>
          <w:highlight w:val="none"/>
          <w:lang w:val="ru-RU"/>
        </w:rPr>
      </w: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pStyle w:val="1029"/>
        <w:jc w:val="right"/>
        <w:widowControl w:val="off"/>
        <w:rPr>
          <w:sz w:val="20"/>
          <w:szCs w:val="20"/>
          <w:highlight w:val="none"/>
          <w:lang w:val="ru-RU"/>
        </w:rPr>
      </w:pPr>
      <w:r>
        <w:rPr>
          <w:sz w:val="20"/>
        </w:rPr>
        <w:t xml:space="preserve">Приложение №</w:t>
      </w:r>
      <w:r>
        <w:rPr>
          <w:sz w:val="20"/>
          <w:lang w:val="ru-RU"/>
        </w:rPr>
        <w:t xml:space="preserve"> </w:t>
      </w:r>
      <w:r>
        <w:rPr>
          <w:sz w:val="20"/>
          <w:lang w:val="ru-RU"/>
        </w:rPr>
        <w:t xml:space="preserve">5</w:t>
      </w:r>
      <w:r>
        <w:rPr>
          <w:sz w:val="20"/>
          <w:szCs w:val="20"/>
          <w:highlight w:val="none"/>
          <w:lang w:val="ru-RU"/>
        </w:rPr>
      </w:r>
      <w:r>
        <w:rPr>
          <w:sz w:val="20"/>
          <w:szCs w:val="20"/>
          <w:highlight w:val="none"/>
          <w:lang w:val="ru-RU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  <w:lang w:val="ru-RU"/>
        </w:rPr>
        <w:t xml:space="preserve">   </w:t>
      </w:r>
      <w:r>
        <w:rPr>
          <w:sz w:val="20"/>
        </w:rPr>
        <w:t xml:space="preserve">к </w:t>
      </w:r>
      <w:r>
        <w:rPr>
          <w:sz w:val="20"/>
          <w:lang w:val="ru-RU"/>
        </w:rPr>
        <w:t xml:space="preserve">Контракту</w:t>
      </w:r>
      <w:r>
        <w:rPr>
          <w:sz w:val="20"/>
        </w:rPr>
        <w:t xml:space="preserve"> № </w:t>
      </w:r>
      <w:r>
        <w:rPr>
          <w:sz w:val="20"/>
          <w:lang w:val="ru-RU"/>
        </w:rPr>
        <w:t xml:space="preserve">___________ </w:t>
      </w:r>
      <w:r>
        <w:rPr>
          <w:sz w:val="20"/>
        </w:rPr>
        <w:t xml:space="preserve">на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оказание</w:t>
      </w:r>
      <w:r>
        <w:rPr>
          <w:sz w:val="20"/>
        </w:rPr>
        <w:br w:type="textWrapping" w:clear="all"/>
      </w:r>
      <w:r>
        <w:rPr>
          <w:sz w:val="20"/>
        </w:rPr>
        <w:t xml:space="preserve"> услуг специальной почтовой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связи </w:t>
      </w:r>
      <w:r>
        <w:rPr>
          <w:sz w:val="20"/>
        </w:rPr>
        <w:br w:type="textWrapping" w:clear="all"/>
      </w:r>
      <w:r>
        <w:rPr>
          <w:sz w:val="20"/>
          <w:lang w:val="ru-RU"/>
        </w:rPr>
        <w:t xml:space="preserve">п</w:t>
      </w:r>
      <w:r>
        <w:rPr>
          <w:sz w:val="20"/>
        </w:rPr>
        <w:t xml:space="preserve">о доставке отправлений </w:t>
      </w:r>
      <w:r>
        <w:rPr>
          <w:sz w:val="20"/>
        </w:rPr>
        <w:br w:type="textWrapping" w:clear="all"/>
      </w:r>
      <w:permStart w:edGrp="everyone" w:id="29"/>
      <w:r>
        <w:rPr>
          <w:sz w:val="20"/>
        </w:rPr>
        <w:t xml:space="preserve">от «____» </w:t>
      </w:r>
      <w:r>
        <w:rPr>
          <w:sz w:val="20"/>
        </w:rPr>
        <w:t xml:space="preserve">августа </w:t>
      </w:r>
      <w:r>
        <w:rPr>
          <w:sz w:val="20"/>
        </w:rPr>
        <w:t xml:space="preserve">2026</w:t>
      </w:r>
      <w:r>
        <w:rPr>
          <w:sz w:val="20"/>
        </w:rPr>
        <w:t xml:space="preserve"> года </w:t>
      </w:r>
      <w:permEnd w:id="29"/>
      <w:r>
        <w:rPr>
          <w:sz w:val="20"/>
        </w:rPr>
      </w:r>
      <w:r>
        <w:rPr>
          <w:sz w:val="20"/>
        </w:rPr>
      </w:r>
    </w:p>
    <w:p>
      <w:pPr>
        <w:pStyle w:val="909"/>
        <w:ind w:firstLine="567"/>
        <w:jc w:val="center"/>
        <w:widowControl w:val="off"/>
        <w:rPr>
          <w:b/>
          <w:color w:val="000000"/>
          <w:sz w:val="21"/>
          <w:szCs w:val="21"/>
          <w:lang w:val="en-US"/>
        </w:rPr>
      </w:pPr>
      <w:r>
        <w:rPr>
          <w:b/>
          <w:color w:val="000000"/>
          <w:sz w:val="21"/>
          <w:szCs w:val="21"/>
          <w:lang w:val="en-US"/>
        </w:rPr>
      </w:r>
      <w:r>
        <w:rPr>
          <w:b/>
          <w:color w:val="000000"/>
          <w:sz w:val="21"/>
          <w:szCs w:val="21"/>
          <w:lang w:val="en-US"/>
        </w:rPr>
      </w:r>
      <w:r>
        <w:rPr>
          <w:b/>
          <w:color w:val="000000"/>
          <w:sz w:val="21"/>
          <w:szCs w:val="21"/>
          <w:lang w:val="en-US"/>
        </w:rPr>
      </w:r>
    </w:p>
    <w:p>
      <w:pPr>
        <w:pStyle w:val="909"/>
        <w:ind w:firstLine="567"/>
        <w:jc w:val="center"/>
        <w:widowControl w:val="off"/>
        <w:rPr>
          <w:b/>
          <w:color w:val="000000"/>
        </w:rPr>
      </w:pPr>
      <w:r>
        <w:rPr>
          <w:b/>
          <w:color w:val="000000"/>
          <w:sz w:val="21"/>
          <w:szCs w:val="21"/>
        </w:rPr>
        <w:t xml:space="preserve">Формы реестров на отправку Отправлений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ind w:firstLine="567"/>
        <w:jc w:val="both"/>
        <w:widowControl w:val="off"/>
        <w:rPr>
          <w:color w:val="000000"/>
          <w:sz w:val="10"/>
          <w:szCs w:val="16"/>
        </w:rPr>
      </w:pPr>
      <w:r>
        <w:rPr>
          <w:color w:val="000000"/>
          <w:sz w:val="10"/>
          <w:szCs w:val="16"/>
        </w:rPr>
      </w:r>
      <w:r>
        <w:rPr>
          <w:color w:val="000000"/>
          <w:sz w:val="10"/>
          <w:szCs w:val="16"/>
        </w:rPr>
      </w:r>
      <w:r>
        <w:rPr>
          <w:color w:val="000000"/>
          <w:sz w:val="10"/>
          <w:szCs w:val="16"/>
        </w:rPr>
      </w:r>
    </w:p>
    <w:p>
      <w:pPr>
        <w:pStyle w:val="909"/>
        <w:ind w:firstLine="567"/>
        <w:jc w:val="both"/>
        <w:widowControl w:val="off"/>
        <w:rPr>
          <w:color w:val="000000"/>
        </w:rPr>
      </w:pPr>
      <w:r>
        <w:rPr>
          <w:color w:val="000000"/>
        </w:rPr>
        <w:t xml:space="preserve">Все Отправления, передаваемые Исполнителю для доставки, приписываются к реестрам Ф.1 и Ф.1а. Образцы оформления реестров приведены ниже. В реестрах необходимо указывать индексы вложения</w:t>
      </w:r>
      <w:r>
        <w:rPr>
          <w:color w:val="000000"/>
        </w:rPr>
        <w:t xml:space="preserve">. При этом если все Отправления, указанные в одном реестре, имеют одинаковый характер вложения, то последний указывается в строке «Индекс вложения», расположенной в верхней части реестра, проставлением цифры, обозначающей группу, к которой относится вложен</w:t>
      </w:r>
      <w:r>
        <w:rPr>
          <w:color w:val="000000"/>
        </w:rPr>
        <w:t xml:space="preserve">ие. В том случае, когда приписанные к реестру Отправления имеют различные вложения, индексы указываются в столбце 4 в скобках после исходящего номера Отправления. Отправления, которым не был присвоен индекс вложения, Исполнителем к доставке не принимаются.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keepNext/>
        <w:rPr>
          <w:color w:val="000000"/>
        </w:rPr>
        <w:outlineLvl w:val="1"/>
      </w:pPr>
      <w:r>
        <w:rPr>
          <w:color w:val="000000"/>
        </w:rPr>
        <w:t xml:space="preserve">Порядок заполнения реестров ф.1 для воинских отправлений имеет следующие особенности: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jc w:val="both"/>
        <w:rPr>
          <w:color w:val="000000"/>
        </w:rPr>
      </w:pPr>
      <w:r>
        <w:rPr>
          <w:color w:val="000000"/>
        </w:rPr>
        <w:tab/>
        <w:t xml:space="preserve">- при адрес</w:t>
      </w:r>
      <w:r>
        <w:rPr>
          <w:color w:val="000000"/>
        </w:rPr>
        <w:t xml:space="preserve">овании воинских отправлений по условному наименованию «Войсковая часть» с добавлением пятизначного или четырехзначного числа и указанием пункта приписки, в графе «Куда» отправителем должен указываться пункт приписки, в графе «Кому» – номер войсковой части;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jc w:val="both"/>
        <w:rPr>
          <w:color w:val="000000"/>
        </w:rPr>
      </w:pPr>
      <w:r>
        <w:rPr>
          <w:color w:val="000000"/>
        </w:rPr>
        <w:tab/>
        <w:t xml:space="preserve">- при адресовании воинских отправлений по условному наименованию «Полевая почта», «Войс</w:t>
      </w:r>
      <w:r>
        <w:rPr>
          <w:color w:val="000000"/>
        </w:rPr>
        <w:t xml:space="preserve">ковая часть – полевая почта» или «Москва 300, войсковая часть», «Москва 400, войсковая часть» с добавлением пятизначного числа и без указания пункта приписки в графе «Куда» делается прочерк, в графе «Кому» указывается номер войсковой части (полевой почты).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right"/>
        <w:widowControl w:val="off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ОБРАЗЦЫ</w:t>
      </w:r>
      <w:r>
        <w:rPr>
          <w:b/>
          <w:i/>
          <w:color w:val="000000"/>
          <w:sz w:val="24"/>
          <w:szCs w:val="24"/>
        </w:rPr>
        <w:tab/>
        <w:tab/>
        <w:tab/>
        <w:tab/>
        <w:tab/>
        <w:tab/>
      </w:r>
      <w:r>
        <w:rPr>
          <w:color w:val="000000"/>
        </w:rPr>
        <w:t xml:space="preserve"> </w:t>
      </w:r>
      <w:r>
        <w:rPr>
          <w:color w:val="00000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5831" cy="386906"/>
                <wp:effectExtent l="0" t="0" r="0" b="0"/>
                <wp:docPr id="1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65831" cy="3869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.55pt;height:30.47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b/>
          <w:i/>
          <w:color w:val="000000"/>
          <w:sz w:val="24"/>
          <w:szCs w:val="24"/>
        </w:rPr>
      </w:r>
      <w:r>
        <w:rPr>
          <w:b/>
          <w:i/>
          <w:color w:val="000000"/>
          <w:sz w:val="24"/>
          <w:szCs w:val="24"/>
        </w:rPr>
      </w:r>
    </w:p>
    <w:p>
      <w:pPr>
        <w:pStyle w:val="909"/>
        <w:ind w:firstLine="567"/>
        <w:jc w:val="right"/>
        <w:widowControl w:val="off"/>
        <w:rPr>
          <w:b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 xml:space="preserve">                                       </w:t>
      </w:r>
      <w:r>
        <w:rPr>
          <w:b/>
          <w:color w:val="000000"/>
          <w:sz w:val="24"/>
          <w:szCs w:val="24"/>
        </w:rPr>
        <w:t xml:space="preserve">Ф. 1 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909"/>
        <w:jc w:val="center"/>
        <w:widowControl w:val="off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</w:r>
      <w:r>
        <w:rPr>
          <w:b/>
          <w:i/>
          <w:color w:val="000000"/>
          <w:sz w:val="24"/>
          <w:szCs w:val="24"/>
        </w:rPr>
      </w:r>
      <w:r>
        <w:rPr>
          <w:b/>
          <w:i/>
          <w:color w:val="000000"/>
          <w:sz w:val="24"/>
          <w:szCs w:val="24"/>
        </w:rPr>
      </w:r>
    </w:p>
    <w:p>
      <w:pPr>
        <w:pStyle w:val="909"/>
        <w:jc w:val="center"/>
        <w:widowControl w:val="off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РЕЕСТР № ___________</w:t>
      </w:r>
      <w:r>
        <w:rPr>
          <w:b/>
          <w:i/>
          <w:color w:val="000000"/>
          <w:sz w:val="24"/>
          <w:szCs w:val="24"/>
        </w:rPr>
      </w:r>
      <w:r>
        <w:rPr>
          <w:b/>
          <w:i/>
          <w:color w:val="000000"/>
          <w:sz w:val="24"/>
          <w:szCs w:val="24"/>
        </w:rPr>
      </w:r>
    </w:p>
    <w:p>
      <w:pPr>
        <w:pStyle w:val="909"/>
        <w:ind w:firstLine="567"/>
        <w:jc w:val="center"/>
        <w:spacing w:before="120"/>
        <w:widowControl w:val="o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на  отправления, сданные в Управление специальной связи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09"/>
        <w:ind w:firstLine="567"/>
        <w:jc w:val="center"/>
        <w:spacing w:before="120"/>
        <w:widowControl w:val="off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по  ___________________________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09"/>
        <w:ind w:left="360"/>
        <w:widowControl w:val="off"/>
        <w:rPr>
          <w:color w:val="000000"/>
          <w:sz w:val="24"/>
        </w:rPr>
        <w:outlineLvl w:val="0"/>
      </w:pPr>
      <w:r>
        <w:rPr>
          <w:color w:val="000000"/>
          <w:sz w:val="24"/>
        </w:rPr>
        <w:t xml:space="preserve">Заказчик _________________________________________________________________________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pStyle w:val="909"/>
        <w:jc w:val="center"/>
        <w:widowControl w:val="off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(наименование предприятия, организации)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pStyle w:val="909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widowControl w:val="off"/>
        <w:rPr>
          <w:color w:val="000000"/>
        </w:rPr>
      </w:pPr>
      <w:r>
        <w:rPr>
          <w:color w:val="000000"/>
        </w:rPr>
        <w:t xml:space="preserve">«___»______________200__ года                                                                                     Контракт  </w:t>
      </w:r>
      <w:r>
        <w:rPr>
          <w:b/>
          <w:color w:val="000000"/>
        </w:rPr>
        <w:t xml:space="preserve">№</w:t>
      </w:r>
      <w:r>
        <w:rPr>
          <w:color w:val="000000"/>
        </w:rPr>
        <w:t xml:space="preserve"> ___________________  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jc w:val="right"/>
        <w:widowControl w:val="off"/>
        <w:rPr>
          <w:color w:val="000000"/>
        </w:rPr>
      </w:pPr>
      <w:r>
        <w:rPr>
          <w:color w:val="000000"/>
        </w:rPr>
        <w:t xml:space="preserve">        «Индекс вложения»__________________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center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center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W w:w="10345" w:type="dxa"/>
        <w:jc w:val="center"/>
        <w:tblInd w:w="-1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55"/>
        <w:gridCol w:w="2196"/>
        <w:gridCol w:w="2336"/>
        <w:gridCol w:w="1415"/>
        <w:gridCol w:w="1423"/>
        <w:gridCol w:w="924"/>
        <w:gridCol w:w="1696"/>
      </w:tblGrid>
      <w:tr>
        <w:trPr>
          <w:trHeight w:val="352"/>
        </w:trPr>
        <w:tc>
          <w:tcPr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7725" w:type="dxa"/>
            <w:vAlign w:val="center"/>
            <w:textDirection w:val="lrTb"/>
            <w:noWrap w:val="false"/>
          </w:tcPr>
          <w:p>
            <w:pPr>
              <w:pStyle w:val="909"/>
              <w:ind w:firstLine="567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Заполняет ЗАКАЗЧИК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620" w:type="dxa"/>
            <w:vAlign w:val="center"/>
            <w:textDirection w:val="lrTb"/>
            <w:noWrap w:val="false"/>
          </w:tcPr>
          <w:p>
            <w:pPr>
              <w:pStyle w:val="909"/>
              <w:ind w:firstLine="567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Заполняет приемщик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55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№№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п/п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196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КУДА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(пункт назначения,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район, область)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336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КОМУ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(подробное наименование адресата)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tcW w:w="1415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Исходящий номер 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(Индекс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вложения)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tcW w:w="1423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Важность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24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ВЕС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(кг)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96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Приемный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Номер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5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19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г. Владивосток,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Приморский край.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336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ООО «Балтика»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ул. Пушкина, д. 25.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tcW w:w="141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23/3-1448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(1)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tcW w:w="142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Сл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24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9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5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19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г. Новосибирск,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Новосибирская область.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336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ОАО «Сибирь»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проспект Ленина, д. 4.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tcW w:w="1415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27/6/370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(1)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tcW w:w="142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24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9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345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ИТОГО:  Два отправления.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ind w:firstLine="567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909"/>
        <w:ind w:firstLine="567"/>
        <w:spacing w:before="240" w:after="60"/>
        <w:widowControl w:val="off"/>
        <w:rPr>
          <w:b/>
          <w:bCs/>
          <w:color w:val="000000"/>
          <w:szCs w:val="28"/>
        </w:rPr>
        <w:outlineLvl w:val="3"/>
      </w:pPr>
      <w:r>
        <w:rPr>
          <w:b/>
          <w:bCs/>
          <w:color w:val="000000"/>
          <w:szCs w:val="28"/>
        </w:rPr>
        <w:t xml:space="preserve">СДАЛ ____________________________________/Иванов И.И./</w:t>
      </w:r>
      <w:r>
        <w:rPr>
          <w:b/>
          <w:bCs/>
          <w:color w:val="000000"/>
          <w:szCs w:val="28"/>
        </w:rPr>
      </w:r>
      <w:r>
        <w:rPr>
          <w:b/>
          <w:bCs/>
          <w:color w:val="000000"/>
          <w:szCs w:val="28"/>
        </w:rPr>
      </w:r>
    </w:p>
    <w:p>
      <w:pPr>
        <w:pStyle w:val="909"/>
        <w:ind w:firstLine="567"/>
        <w:jc w:val="both"/>
        <w:widowControl w:val="off"/>
        <w:rPr>
          <w:color w:val="000000"/>
        </w:rPr>
      </w:pPr>
      <w:r>
        <w:rPr>
          <w:color w:val="000000"/>
        </w:rPr>
        <w:t xml:space="preserve">                           (подпись, Ф.И.О.)   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widowControl w:val="off"/>
        <w:rPr>
          <w:b/>
          <w:color w:val="000000"/>
        </w:rPr>
      </w:pPr>
      <w:r>
        <w:rPr>
          <w:b/>
          <w:color w:val="000000"/>
        </w:rPr>
        <w:t xml:space="preserve">М.П.                                         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ind w:firstLine="567"/>
        <w:spacing w:before="240" w:after="60"/>
        <w:widowControl w:val="off"/>
        <w:rPr>
          <w:b/>
          <w:bCs/>
          <w:color w:val="000000"/>
          <w:szCs w:val="28"/>
        </w:rPr>
        <w:outlineLvl w:val="3"/>
      </w:pPr>
      <w:r>
        <w:rPr>
          <w:b/>
          <w:bCs/>
          <w:color w:val="000000"/>
          <w:szCs w:val="28"/>
        </w:rPr>
        <w:t xml:space="preserve">ПРИНЯЛ: ________________________________/Петров П.П./</w:t>
      </w:r>
      <w:r>
        <w:rPr>
          <w:b/>
          <w:bCs/>
          <w:color w:val="000000"/>
          <w:szCs w:val="28"/>
        </w:rPr>
      </w:r>
      <w:r>
        <w:rPr>
          <w:b/>
          <w:bCs/>
          <w:color w:val="000000"/>
          <w:szCs w:val="28"/>
        </w:rPr>
      </w:r>
    </w:p>
    <w:p>
      <w:pPr>
        <w:pStyle w:val="909"/>
        <w:ind w:firstLine="567"/>
        <w:jc w:val="both"/>
        <w:widowControl w:val="off"/>
        <w:rPr>
          <w:color w:val="000000"/>
        </w:rPr>
      </w:pPr>
      <w:r>
        <w:rPr>
          <w:color w:val="000000"/>
        </w:rPr>
        <w:t xml:space="preserve">                         (подпись, Ф.И.О.) 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widowControl w:val="off"/>
        <w:rPr>
          <w:b/>
          <w:color w:val="000000"/>
        </w:rPr>
      </w:pPr>
      <w:r>
        <w:rPr>
          <w:b/>
          <w:color w:val="000000"/>
        </w:rPr>
        <w:t xml:space="preserve">М.П.        </w:t>
      </w:r>
      <w:r>
        <w:rPr>
          <w:b/>
          <w:color w:val="000000"/>
        </w:rPr>
        <w:t xml:space="preserve">                              </w:t>
      </w:r>
      <w:r>
        <w:rPr>
          <w:b/>
          <w:color w:val="000000"/>
          <w:sz w:val="24"/>
          <w:szCs w:val="24"/>
        </w:rPr>
        <w:t xml:space="preserve">                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ind w:firstLine="567"/>
        <w:jc w:val="right"/>
        <w:widowControl w:val="o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Ф. 1а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909"/>
        <w:ind w:firstLine="567"/>
        <w:jc w:val="center"/>
        <w:widowControl w:val="off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</w:r>
      <w:r>
        <w:rPr>
          <w:b/>
          <w:i/>
          <w:color w:val="000000"/>
          <w:sz w:val="24"/>
          <w:szCs w:val="24"/>
        </w:rPr>
      </w:r>
      <w:r>
        <w:rPr>
          <w:b/>
          <w:i/>
          <w:color w:val="000000"/>
          <w:sz w:val="24"/>
          <w:szCs w:val="24"/>
        </w:rPr>
      </w:r>
    </w:p>
    <w:p>
      <w:pPr>
        <w:pStyle w:val="909"/>
        <w:jc w:val="center"/>
        <w:widowControl w:val="off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РЕЕСТР № ___________</w:t>
      </w:r>
      <w:r>
        <w:rPr>
          <w:b/>
          <w:i/>
          <w:color w:val="000000"/>
          <w:sz w:val="24"/>
          <w:szCs w:val="24"/>
        </w:rPr>
      </w:r>
      <w:r>
        <w:rPr>
          <w:b/>
          <w:i/>
          <w:color w:val="000000"/>
          <w:sz w:val="24"/>
          <w:szCs w:val="24"/>
        </w:rPr>
      </w:r>
    </w:p>
    <w:p>
      <w:pPr>
        <w:pStyle w:val="909"/>
        <w:jc w:val="center"/>
        <w:widowControl w:val="off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</w:r>
      <w:r>
        <w:rPr>
          <w:b/>
          <w:i/>
          <w:color w:val="000000"/>
          <w:sz w:val="24"/>
          <w:szCs w:val="24"/>
        </w:rPr>
      </w:r>
      <w:r>
        <w:rPr>
          <w:b/>
          <w:i/>
          <w:color w:val="000000"/>
          <w:sz w:val="24"/>
          <w:szCs w:val="24"/>
        </w:rPr>
      </w:r>
    </w:p>
    <w:p>
      <w:pPr>
        <w:pStyle w:val="909"/>
        <w:ind w:firstLine="567"/>
        <w:jc w:val="center"/>
        <w:spacing w:before="120"/>
        <w:widowControl w:val="o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на  ценные отправления, сданные в Управление специальной связи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09"/>
        <w:ind w:firstLine="567"/>
        <w:jc w:val="center"/>
        <w:spacing w:before="120"/>
        <w:widowControl w:val="off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по  _________________________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09"/>
        <w:ind w:firstLine="567"/>
        <w:jc w:val="center"/>
        <w:spacing w:before="120"/>
        <w:widowControl w:val="off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09"/>
        <w:ind w:left="360"/>
        <w:widowControl w:val="off"/>
        <w:rPr>
          <w:color w:val="000000"/>
          <w:sz w:val="24"/>
        </w:rPr>
        <w:outlineLvl w:val="0"/>
      </w:pPr>
      <w:r>
        <w:rPr>
          <w:color w:val="000000"/>
          <w:sz w:val="24"/>
        </w:rPr>
        <w:t xml:space="preserve">Заказчик _________________________________________________________________________</w:t>
      </w:r>
      <w:r>
        <w:rPr>
          <w:color w:val="000000"/>
          <w:sz w:val="24"/>
        </w:rPr>
      </w:r>
      <w:r>
        <w:rPr>
          <w:color w:val="000000"/>
          <w:sz w:val="24"/>
        </w:rPr>
      </w:r>
    </w:p>
    <w:p>
      <w:pPr>
        <w:pStyle w:val="909"/>
        <w:jc w:val="center"/>
        <w:widowControl w:val="off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(наименование предприятия, организации)</w:t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pStyle w:val="909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widowControl w:val="off"/>
        <w:rPr>
          <w:color w:val="000000"/>
        </w:rPr>
      </w:pPr>
      <w:r>
        <w:rPr>
          <w:color w:val="000000"/>
        </w:rPr>
        <w:t xml:space="preserve">«___»______________200__ года                                                                                      Контракт № ___________________  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jc w:val="right"/>
        <w:widowControl w:val="off"/>
        <w:rPr>
          <w:color w:val="000000"/>
        </w:rPr>
      </w:pPr>
      <w:r>
        <w:rPr>
          <w:color w:val="000000"/>
        </w:rPr>
        <w:t xml:space="preserve">        «Индекс вложения»_________________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center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tbl>
      <w:tblPr>
        <w:tblW w:w="10345" w:type="dxa"/>
        <w:jc w:val="center"/>
        <w:tblInd w:w="-1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353"/>
        <w:gridCol w:w="2196"/>
        <w:gridCol w:w="2336"/>
        <w:gridCol w:w="1564"/>
        <w:gridCol w:w="1632"/>
        <w:gridCol w:w="567"/>
        <w:gridCol w:w="1697"/>
      </w:tblGrid>
      <w:tr>
        <w:trPr>
          <w:trHeight w:val="352"/>
        </w:trPr>
        <w:tc>
          <w:tcPr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081" w:type="dxa"/>
            <w:vAlign w:val="center"/>
            <w:textDirection w:val="lrTb"/>
            <w:noWrap w:val="false"/>
          </w:tcPr>
          <w:p>
            <w:pPr>
              <w:pStyle w:val="909"/>
              <w:ind w:firstLine="567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Заполняет ЗАКАЗЧИК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264" w:type="dxa"/>
            <w:vAlign w:val="center"/>
            <w:textDirection w:val="lrTb"/>
            <w:noWrap w:val="false"/>
          </w:tcPr>
          <w:p>
            <w:pPr>
              <w:pStyle w:val="909"/>
              <w:ind w:firstLine="567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Заполняет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ind w:firstLine="567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Приемщик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53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№№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п/п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196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КУДА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(пункт назначения,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район, область)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336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КОМУ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(подробное наименование адресата)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tcW w:w="1564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Исходящий номер 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(Индекс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вложения)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tcW w:w="1632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color w:val="000000"/>
              </w:rPr>
              <w:outlineLvl w:val="1"/>
            </w:pPr>
            <w:r>
              <w:rPr>
                <w:b/>
                <w:color w:val="000000"/>
              </w:rPr>
              <w:t xml:space="preserve">Оценочная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стоимость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ВЕС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(кг)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e0e0e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97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Приемный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Номер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5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19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г. Владивосток,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Приморский край.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336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ООО «Балтика»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ул. Пушкина, д. 25.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6-01-09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(19)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tcW w:w="163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213 000 000 руб.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97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5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196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г. Новосибирск,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Новосибирская область.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336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ОАО «Сибирь»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проспект Ленина, д. 4.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4" w:space="0"/>
            </w:tcBorders>
            <w:tcW w:w="1564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11-09-09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 (21)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2" w:space="0"/>
            </w:tcBorders>
            <w:tcW w:w="163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widowControl w:val="off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21</w:t>
            </w:r>
            <w:r>
              <w:rPr>
                <w:color w:val="000000"/>
              </w:rPr>
              <w:t xml:space="preserve">2 000 000 руб.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697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rPr/>
        <w:tc>
          <w:tcPr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0345" w:type="dxa"/>
            <w:vAlign w:val="top"/>
            <w:textDirection w:val="lrTb"/>
            <w:noWrap w:val="false"/>
          </w:tcPr>
          <w:p>
            <w:pPr>
              <w:pStyle w:val="909"/>
              <w:widowControl w:val="off"/>
              <w:rPr>
                <w:color w:val="000000"/>
              </w:rPr>
            </w:pPr>
            <w:r>
              <w:rPr>
                <w:color w:val="000000"/>
              </w:rPr>
              <w:t xml:space="preserve">ИТОГО: Две ценные посылки общей оценочной стоимостью 425 000 000 рублей (Четыреста двадцать пять миллионов рублей). Опломбировано пломбой №______.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ind w:firstLine="567"/>
              <w:widowControl w:val="off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909"/>
        <w:ind w:firstLine="567"/>
        <w:jc w:val="both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spacing w:before="240" w:after="60"/>
        <w:widowControl w:val="off"/>
        <w:rPr>
          <w:b/>
          <w:bCs/>
          <w:color w:val="000000"/>
          <w:szCs w:val="28"/>
        </w:rPr>
        <w:outlineLvl w:val="3"/>
      </w:pPr>
      <w:r>
        <w:rPr>
          <w:b/>
          <w:bCs/>
          <w:color w:val="000000"/>
          <w:szCs w:val="28"/>
        </w:rPr>
        <w:t xml:space="preserve">СДАЛ ____________________________________/Иванов И.И./</w:t>
      </w:r>
      <w:r>
        <w:rPr>
          <w:b/>
          <w:bCs/>
          <w:color w:val="000000"/>
          <w:szCs w:val="28"/>
        </w:rPr>
      </w:r>
      <w:r>
        <w:rPr>
          <w:b/>
          <w:bCs/>
          <w:color w:val="000000"/>
          <w:szCs w:val="28"/>
        </w:rPr>
      </w:r>
    </w:p>
    <w:p>
      <w:pPr>
        <w:pStyle w:val="909"/>
        <w:ind w:firstLine="567"/>
        <w:jc w:val="both"/>
        <w:widowControl w:val="off"/>
        <w:rPr>
          <w:color w:val="000000"/>
        </w:rPr>
      </w:pPr>
      <w:r>
        <w:rPr>
          <w:color w:val="000000"/>
        </w:rPr>
        <w:t xml:space="preserve">                           (подпись, Ф.И.О.)   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widowControl w:val="off"/>
        <w:rPr>
          <w:b/>
          <w:color w:val="000000"/>
        </w:rPr>
      </w:pPr>
      <w:r>
        <w:rPr>
          <w:b/>
          <w:color w:val="000000"/>
        </w:rPr>
        <w:t xml:space="preserve">М.П.                                         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ind w:firstLine="567"/>
        <w:spacing w:before="240" w:after="60"/>
        <w:widowControl w:val="off"/>
        <w:rPr>
          <w:b/>
          <w:bCs/>
          <w:color w:val="000000"/>
          <w:szCs w:val="28"/>
        </w:rPr>
        <w:outlineLvl w:val="3"/>
      </w:pPr>
      <w:r>
        <w:rPr>
          <w:b/>
          <w:bCs/>
          <w:color w:val="000000"/>
          <w:szCs w:val="28"/>
        </w:rPr>
        <w:t xml:space="preserve">ПРИНЯЛ: ________________________________/Петров П.П./</w:t>
      </w:r>
      <w:r>
        <w:rPr>
          <w:b/>
          <w:bCs/>
          <w:color w:val="000000"/>
          <w:szCs w:val="28"/>
        </w:rPr>
      </w:r>
      <w:r>
        <w:rPr>
          <w:b/>
          <w:bCs/>
          <w:color w:val="000000"/>
          <w:szCs w:val="28"/>
        </w:rPr>
      </w:r>
    </w:p>
    <w:p>
      <w:pPr>
        <w:pStyle w:val="909"/>
        <w:ind w:firstLine="567"/>
        <w:jc w:val="both"/>
        <w:widowControl w:val="off"/>
        <w:rPr>
          <w:color w:val="000000"/>
        </w:rPr>
      </w:pPr>
      <w:r>
        <w:rPr>
          <w:color w:val="000000"/>
        </w:rPr>
        <w:t xml:space="preserve">                         (подпись, Ф.И.О.)  </w:t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widowControl w:val="off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ind w:firstLine="567"/>
        <w:jc w:val="both"/>
        <w:widowControl w:val="off"/>
        <w:rPr>
          <w:b/>
          <w:color w:val="000000"/>
        </w:rPr>
      </w:pPr>
      <w:r>
        <w:rPr>
          <w:b/>
          <w:color w:val="000000"/>
        </w:rPr>
        <w:t xml:space="preserve">М.П.                                         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center"/>
        <w:widowControl w:val="off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</w:r>
      <w:r>
        <w:rPr>
          <w:b/>
          <w:i/>
          <w:color w:val="000000"/>
          <w:sz w:val="24"/>
          <w:szCs w:val="24"/>
        </w:rPr>
      </w:r>
      <w:r>
        <w:rPr>
          <w:b/>
          <w:i/>
          <w:color w:val="000000"/>
          <w:sz w:val="24"/>
          <w:szCs w:val="24"/>
        </w:rPr>
      </w:r>
    </w:p>
    <w:tbl>
      <w:tblPr>
        <w:tblW w:w="9973" w:type="dxa"/>
        <w:jc w:val="right"/>
        <w:tblInd w:w="7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501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ИСПОЛНИТЕЛЬ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Федеральное государственное унитарное предприятие «Главный центр специальной связи»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филиал - </w:t>
            </w:r>
            <w:r>
              <w:rPr>
                <w:b/>
                <w:bCs/>
                <w:color w:val="000000"/>
              </w:rPr>
              <w:t xml:space="preserve">Региональное управление специальной связи по Южному региону - Управление специальной связи по Ростовской области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Федеральное казенное учреждение «Управление федеральных автомобильных дорог «Новороссия» Федерального дорожного агентства»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Заместитель начальника Управления по развитию  </w:t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______________________О.М. Вербило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/>
            <w:permStart w:colFirst="0" w:colLast="0" w:displacedbyCustomXml="next" w:edGrp="everyone" w:id="undefined"/>
            <w:r>
              <w:rPr>
                <w:b/>
                <w:bCs/>
                <w:color w:val="000000"/>
                <w:sz w:val="22"/>
                <w:szCs w:val="22"/>
              </w:rPr>
              <w:t xml:space="preserve">Зам. начальника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____________________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О.Н. Гулый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11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  <w:r>
        <w:rPr>
          <w:color w:val="000000"/>
          <w:sz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szCs w:val="20"/>
          <w:lang w:val="ru-RU"/>
        </w:rPr>
      </w:r>
      <w:r>
        <w:rPr>
          <w:color w:val="000000"/>
          <w:sz w:val="20"/>
          <w:szCs w:val="20"/>
          <w:lang w:val="ru-RU"/>
        </w:rPr>
      </w:r>
    </w:p>
    <w:p>
      <w:pPr>
        <w:pStyle w:val="1029"/>
        <w:jc w:val="right"/>
        <w:widowControl w:val="off"/>
        <w:rPr>
          <w:color w:val="000000"/>
          <w:sz w:val="20"/>
          <w:szCs w:val="20"/>
          <w:lang w:val="ru-RU"/>
        </w:rPr>
      </w:pPr>
      <w:r>
        <w:rPr>
          <w:color w:val="000000"/>
          <w:sz w:val="20"/>
          <w:lang w:val="ru-RU"/>
        </w:rPr>
      </w:r>
      <w:r>
        <w:rPr>
          <w:color w:val="000000"/>
          <w:sz w:val="20"/>
          <w:szCs w:val="20"/>
          <w:lang w:val="ru-RU"/>
        </w:rPr>
      </w:r>
      <w:r>
        <w:rPr>
          <w:color w:val="000000"/>
          <w:sz w:val="20"/>
          <w:szCs w:val="20"/>
          <w:lang w:val="ru-RU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</w:rPr>
        <w:t xml:space="preserve">Приложение №</w:t>
      </w:r>
      <w:r>
        <w:rPr>
          <w:sz w:val="20"/>
          <w:lang w:val="ru-RU"/>
        </w:rPr>
        <w:t xml:space="preserve"> </w:t>
      </w:r>
      <w:r>
        <w:rPr>
          <w:sz w:val="20"/>
          <w:lang w:val="ru-RU"/>
        </w:rPr>
        <w:t xml:space="preserve">6</w:t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  <w:lang w:val="ru-RU"/>
        </w:rPr>
        <w:t xml:space="preserve">   </w:t>
      </w:r>
      <w:r>
        <w:rPr>
          <w:sz w:val="20"/>
        </w:rPr>
        <w:t xml:space="preserve">к </w:t>
      </w:r>
      <w:r>
        <w:rPr>
          <w:sz w:val="20"/>
          <w:lang w:val="ru-RU"/>
        </w:rPr>
        <w:t xml:space="preserve">Контракту</w:t>
      </w:r>
      <w:r>
        <w:rPr>
          <w:sz w:val="20"/>
        </w:rPr>
        <w:t xml:space="preserve"> № </w:t>
      </w:r>
      <w:r>
        <w:rPr>
          <w:sz w:val="20"/>
          <w:lang w:val="ru-RU"/>
        </w:rPr>
        <w:t xml:space="preserve">___________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на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оказание</w:t>
      </w:r>
      <w:r>
        <w:rPr>
          <w:sz w:val="20"/>
        </w:rPr>
        <w:br w:type="textWrapping" w:clear="all"/>
      </w:r>
      <w:r>
        <w:rPr>
          <w:sz w:val="20"/>
        </w:rPr>
        <w:t xml:space="preserve"> услуг специальной почтовой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связи </w:t>
      </w:r>
      <w:r>
        <w:rPr>
          <w:sz w:val="20"/>
        </w:rPr>
        <w:br w:type="textWrapping" w:clear="all"/>
      </w:r>
      <w:r>
        <w:rPr>
          <w:sz w:val="20"/>
          <w:lang w:val="ru-RU"/>
        </w:rPr>
        <w:t xml:space="preserve">п</w:t>
      </w:r>
      <w:r>
        <w:rPr>
          <w:sz w:val="20"/>
        </w:rPr>
        <w:t xml:space="preserve">о доставке отправлений </w:t>
      </w:r>
      <w:r>
        <w:rPr>
          <w:sz w:val="20"/>
        </w:rPr>
        <w:br w:type="textWrapping" w:clear="all"/>
      </w:r>
      <w:permStart w:edGrp="everyone" w:id="32"/>
      <w:r>
        <w:rPr>
          <w:sz w:val="20"/>
        </w:rPr>
        <w:t xml:space="preserve">от «____» </w:t>
      </w:r>
      <w:r>
        <w:rPr>
          <w:sz w:val="20"/>
        </w:rPr>
        <w:t xml:space="preserve">августа 2026</w:t>
      </w:r>
      <w:r>
        <w:rPr>
          <w:sz w:val="20"/>
        </w:rPr>
        <w:t xml:space="preserve"> года </w:t>
      </w:r>
      <w:permEnd w:id="32"/>
      <w:r>
        <w:rPr>
          <w:sz w:val="20"/>
        </w:rPr>
      </w:r>
      <w:r>
        <w:rPr>
          <w:sz w:val="20"/>
        </w:rPr>
      </w:r>
    </w:p>
    <w:p>
      <w:pPr>
        <w:pStyle w:val="9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СРОКИ ДОСТАВКИ ОТПРАВЛЕНИЙ  из/в г. Москва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909"/>
        <w:jc w:val="center"/>
        <w:rPr>
          <w:i/>
          <w:color w:val="000000"/>
          <w:sz w:val="10"/>
          <w:szCs w:val="10"/>
        </w:rPr>
      </w:pPr>
      <w:r>
        <w:rPr>
          <w:i/>
          <w:color w:val="000000"/>
          <w:sz w:val="10"/>
          <w:szCs w:val="10"/>
        </w:rPr>
      </w:r>
      <w:r>
        <w:rPr>
          <w:i/>
          <w:color w:val="000000"/>
          <w:sz w:val="10"/>
          <w:szCs w:val="10"/>
        </w:rPr>
      </w:r>
      <w:r>
        <w:rPr>
          <w:i/>
          <w:color w:val="000000"/>
          <w:sz w:val="10"/>
          <w:szCs w:val="10"/>
        </w:rPr>
      </w:r>
    </w:p>
    <w:tbl>
      <w:tblPr>
        <w:tblW w:w="0" w:type="auto"/>
        <w:jc w:val="center"/>
        <w:tblInd w:w="-27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012"/>
        <w:gridCol w:w="2213"/>
        <w:gridCol w:w="2173"/>
        <w:gridCol w:w="1937"/>
        <w:gridCol w:w="2791"/>
      </w:tblGrid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center"/>
            <w:textDirection w:val="lrTb"/>
            <w:noWrap w:val="false"/>
          </w:tcPr>
          <w:p>
            <w:pPr>
              <w:pStyle w:val="909"/>
              <w:ind w:left="-1567" w:firstLine="1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№ п/п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center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населенного пункта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pStyle w:val="90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Сроки доставки отправлений, 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раб. дни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Сроки доставки отправлений с пометкой «срочное», 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раб. дни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Сроки доставки отправлений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отнесенные к государственной тайне (с пометками «ОВ», «СС», «С») </w:t>
            </w:r>
            <w:r>
              <w:rPr>
                <w:color w:val="000000"/>
                <w:sz w:val="18"/>
                <w:szCs w:val="18"/>
              </w:rPr>
              <w:t xml:space="preserve">с пометкой «срочное»,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раб. дни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Абакан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Анадырь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Архангельск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Астрахань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Барнаул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Белгород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Биробиджан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7-12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Благовещенск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7-13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Брянск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Вел. Новгород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Владивосток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13-17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Владикавказ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Владимир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1-2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1-2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Волгоград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4-7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Вологда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Воронеж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1-2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1-2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Горно-Алтайск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5-7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Екатеринбург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5-6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Иваново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Ижевск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Иркутск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Йошкар-Ола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Казань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Калининград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Калуга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Кемерово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Керчь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3-4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Киров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Кострома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Краснодар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6-9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Красноярск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Курган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3-4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Курск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Кызыл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Липецк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1-2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1-2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Магадан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Майкоп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6-7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Махачкала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Мурманск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10-21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Москва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Нальчик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Нижний Новгород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Новосибирск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Омск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Орел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Оренбург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Пенза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Пермь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Петрозаводск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П.-Камчатский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Псков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Ростов-на-Дону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Рязань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Салехард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Самара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С.-Петербург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Саранск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Саратов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Севастополь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3-4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3-4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Симферополь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3-4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Смоленск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Ставрополь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Сыктывкар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Тамбов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Тверь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Томск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Тула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1-2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1-2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Тюмень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Улан-Удэ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9-12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6-11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Ульяновск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Уфа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3-4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Хабаровск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12-16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Х.-Мансийск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Чебоксары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Челябинск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2-3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Черкесск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Чита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10-13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7-12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Элиста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6-8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4-5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5-6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Ю.-Сахалинск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Якутск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81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Ялта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3-4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3-4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vAlign w:val="top"/>
            <w:textDirection w:val="lrTb"/>
            <w:noWrap w:val="false"/>
          </w:tcPr>
          <w:p>
            <w:pPr>
              <w:pStyle w:val="90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Ярославль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73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7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9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</w:tbl>
    <w:p>
      <w:pPr>
        <w:pStyle w:val="909"/>
        <w:ind w:firstLine="567"/>
        <w:jc w:val="both"/>
        <w:rPr>
          <w:b/>
          <w:color w:val="000000"/>
          <w:sz w:val="18"/>
          <w:szCs w:val="18"/>
          <w:u w:val="single"/>
        </w:rPr>
      </w:pPr>
      <w:r>
        <w:rPr>
          <w:b/>
          <w:color w:val="000000"/>
          <w:sz w:val="18"/>
          <w:szCs w:val="18"/>
          <w:u w:val="single"/>
        </w:rPr>
      </w:r>
      <w:r>
        <w:rPr>
          <w:b/>
          <w:color w:val="000000"/>
          <w:sz w:val="18"/>
          <w:szCs w:val="18"/>
          <w:u w:val="single"/>
        </w:rPr>
      </w:r>
      <w:r>
        <w:rPr>
          <w:b/>
          <w:color w:val="000000"/>
          <w:sz w:val="18"/>
          <w:szCs w:val="18"/>
          <w:u w:val="single"/>
        </w:rPr>
      </w:r>
    </w:p>
    <w:p>
      <w:pPr>
        <w:pStyle w:val="909"/>
        <w:ind w:firstLine="567"/>
        <w:jc w:val="both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  <w:u w:val="single"/>
        </w:rPr>
        <w:t xml:space="preserve">Примечание.</w:t>
      </w:r>
      <w:r>
        <w:rPr>
          <w:color w:val="000000"/>
          <w:sz w:val="18"/>
          <w:szCs w:val="18"/>
        </w:rPr>
        <w:t xml:space="preserve"> Сроки доставки Отправлений указаны без учета дня приема отправлений, а также выходных и праздничных дней.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  <w:p>
      <w:pPr>
        <w:pStyle w:val="90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* Сроки доставки для стандартных и срочных Отправлений в населенные пункты, расположенных ниже районных центров, обращаться к менеджеру курирующих </w:t>
      </w:r>
      <w:r>
        <w:rPr>
          <w:color w:val="000000"/>
          <w:sz w:val="18"/>
          <w:szCs w:val="18"/>
        </w:rPr>
        <w:t xml:space="preserve">Контракт</w:t>
      </w:r>
      <w:r>
        <w:rPr>
          <w:color w:val="000000"/>
          <w:sz w:val="18"/>
          <w:szCs w:val="18"/>
        </w:rPr>
        <w:t xml:space="preserve">.</w:t>
      </w:r>
      <w:r>
        <w:rPr>
          <w:color w:val="000000"/>
          <w:sz w:val="18"/>
          <w:szCs w:val="18"/>
        </w:rPr>
      </w:r>
      <w:r>
        <w:rPr>
          <w:color w:val="000000"/>
          <w:sz w:val="18"/>
          <w:szCs w:val="18"/>
        </w:rPr>
      </w:r>
    </w:p>
    <w:p>
      <w:pPr>
        <w:pStyle w:val="90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909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tbl>
      <w:tblPr>
        <w:tblW w:w="9973" w:type="dxa"/>
        <w:jc w:val="right"/>
        <w:tblInd w:w="7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501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ИСПОЛНИТЕЛЬ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Федеральное государственное унитарное предприятие «Главный центр специальной связи»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 xml:space="preserve">филиал - </w:t>
            </w:r>
            <w:r>
              <w:rPr>
                <w:b/>
                <w:bCs/>
                <w:color w:val="000000"/>
              </w:rPr>
              <w:t xml:space="preserve">Региональное управление специальной связи по Южному региону - Управление специальной связи по Ростовской области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 xml:space="preserve">Федеральное казенное учреждение «Управление федеральных автомобильных дорог «Новороссия» Федерального дорожного агентства»</w:t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pPr>
              <w:pStyle w:val="909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Заместитель начальника Управления по развитию  </w:t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3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  <w:r>
              <w:rPr>
                <w:b/>
                <w:bCs/>
                <w:color w:val="000000"/>
                <w:sz w:val="22"/>
                <w:szCs w:val="23"/>
              </w:rPr>
            </w:r>
          </w:p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3"/>
              </w:rPr>
              <w:t xml:space="preserve">______________________О.М. Вербило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Зам. начальника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909"/>
              <w:ind w:left="35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____________________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О.Н. Гулый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11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11" w:type="dxa"/>
            <w:vAlign w:val="top"/>
            <w:textDirection w:val="lrTb"/>
            <w:noWrap w:val="false"/>
          </w:tcPr>
          <w:p>
            <w:pPr>
              <w:pStyle w:val="909"/>
              <w:ind w:left="33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М.П.</w:t>
            </w:r>
            <w:r>
              <w:rPr>
                <w:b/>
                <w:bCs/>
                <w:color w:val="000000"/>
                <w:sz w:val="22"/>
                <w:szCs w:val="22"/>
              </w:rPr>
            </w:r>
            <w:r>
              <w:rPr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909"/>
        <w:jc w:val="right"/>
        <w:widowControl w:val="off"/>
        <w:rPr>
          <w:b/>
          <w:color w:val="000000"/>
        </w:rPr>
      </w:pPr>
      <w:r>
        <w:rPr>
          <w:b/>
          <w:color w:val="000000"/>
        </w:rPr>
        <w:t xml:space="preserve">-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1029"/>
        <w:jc w:val="right"/>
        <w:widowControl w:val="off"/>
        <w:rPr>
          <w:sz w:val="20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5" w:right="567" w:bottom="1276" w:left="1134" w:header="567" w:footer="709" w:gutter="0"/>
          <w:cols w:num="1" w:sep="0" w:space="708" w:equalWidth="1"/>
          <w:docGrid w:linePitch="360"/>
          <w:titlePg/>
        </w:sect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029"/>
        <w:jc w:val="right"/>
        <w:widowControl w:val="off"/>
        <w:rPr>
          <w:sz w:val="20"/>
          <w:lang w:val="ru-RU"/>
        </w:rPr>
      </w:pPr>
      <w:r>
        <w:rPr>
          <w:sz w:val="20"/>
        </w:rPr>
        <w:t xml:space="preserve">Приложение №</w:t>
      </w:r>
      <w:r>
        <w:rPr>
          <w:sz w:val="20"/>
          <w:lang w:val="ru-RU"/>
        </w:rPr>
        <w:t xml:space="preserve">7</w:t>
      </w:r>
      <w:r>
        <w:rPr>
          <w:sz w:val="20"/>
          <w:lang w:val="ru-RU"/>
        </w:rPr>
      </w:r>
      <w:r>
        <w:rPr>
          <w:sz w:val="20"/>
          <w:lang w:val="ru-RU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</w:rPr>
        <w:t xml:space="preserve">к </w:t>
      </w:r>
      <w:r>
        <w:rPr>
          <w:sz w:val="20"/>
          <w:lang w:val="ru-RU"/>
        </w:rPr>
        <w:t xml:space="preserve">Контракту</w:t>
      </w:r>
      <w:r>
        <w:rPr>
          <w:sz w:val="20"/>
        </w:rPr>
        <w:t xml:space="preserve"> № </w:t>
      </w:r>
      <w:r>
        <w:rPr>
          <w:sz w:val="20"/>
          <w:lang w:val="ru-RU"/>
        </w:rPr>
        <w:t xml:space="preserve">__________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на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оказание</w:t>
      </w:r>
      <w:r>
        <w:rPr>
          <w:sz w:val="20"/>
        </w:rPr>
        <w:br w:type="textWrapping" w:clear="all"/>
      </w:r>
      <w:r>
        <w:rPr>
          <w:sz w:val="20"/>
        </w:rPr>
        <w:t xml:space="preserve"> услуг специальной почтовой</w:t>
      </w:r>
      <w:r>
        <w:rPr>
          <w:sz w:val="20"/>
          <w:lang w:val="ru-RU"/>
        </w:rPr>
        <w:t xml:space="preserve"> </w:t>
      </w:r>
      <w:r>
        <w:rPr>
          <w:sz w:val="20"/>
        </w:rPr>
        <w:t xml:space="preserve">связи </w:t>
      </w:r>
      <w:r>
        <w:rPr>
          <w:sz w:val="20"/>
        </w:rPr>
        <w:br w:type="textWrapping" w:clear="all"/>
      </w:r>
      <w:r>
        <w:rPr>
          <w:sz w:val="20"/>
          <w:lang w:val="ru-RU"/>
        </w:rPr>
        <w:t xml:space="preserve">п</w:t>
      </w:r>
      <w:r>
        <w:rPr>
          <w:sz w:val="20"/>
        </w:rPr>
        <w:t xml:space="preserve">о доставке отправлений</w:t>
      </w:r>
      <w:r>
        <w:rPr>
          <w:sz w:val="20"/>
          <w:lang w:val="ru-RU"/>
        </w:rPr>
        <w:t xml:space="preserve"> </w:t>
      </w:r>
      <w:r>
        <w:rPr>
          <w:sz w:val="20"/>
        </w:rPr>
        <w:br w:type="textWrapping" w:clear="all"/>
      </w:r>
      <w:r>
        <w:rPr>
          <w:sz w:val="20"/>
        </w:rPr>
        <w:t xml:space="preserve"> </w:t>
      </w:r>
      <w:permStart w:edGrp="everyone" w:id="35"/>
      <w:r>
        <w:rPr>
          <w:sz w:val="20"/>
        </w:rPr>
        <w:t xml:space="preserve">от «____» </w:t>
      </w:r>
      <w:r>
        <w:rPr>
          <w:sz w:val="20"/>
        </w:rPr>
        <w:t xml:space="preserve">августа </w:t>
      </w:r>
      <w:r>
        <w:rPr>
          <w:sz w:val="20"/>
        </w:rPr>
        <w:t xml:space="preserve">2026</w:t>
      </w:r>
      <w:r>
        <w:rPr>
          <w:sz w:val="20"/>
        </w:rPr>
        <w:t xml:space="preserve"> года </w:t>
      </w:r>
      <w:permEnd w:id="35"/>
      <w:r>
        <w:rPr>
          <w:sz w:val="20"/>
        </w:rPr>
      </w:r>
      <w:r>
        <w:rPr>
          <w:sz w:val="20"/>
        </w:rPr>
      </w:r>
    </w:p>
    <w:p>
      <w:pPr>
        <w:pStyle w:val="909"/>
        <w:widowControl w:val="off"/>
        <w:rPr>
          <w:sz w:val="19"/>
          <w:szCs w:val="19"/>
        </w:rPr>
      </w:pPr>
      <w:r>
        <w:rPr>
          <w:sz w:val="19"/>
          <w:szCs w:val="19"/>
        </w:rPr>
      </w:r>
      <w:r>
        <w:rPr>
          <w:sz w:val="19"/>
          <w:szCs w:val="19"/>
        </w:rPr>
      </w:r>
      <w:r>
        <w:rPr>
          <w:sz w:val="19"/>
          <w:szCs w:val="19"/>
        </w:rPr>
      </w:r>
    </w:p>
    <w:p>
      <w:pPr>
        <w:pStyle w:val="909"/>
        <w:widowControl w:val="off"/>
        <w:rPr>
          <w:sz w:val="19"/>
          <w:szCs w:val="19"/>
        </w:rPr>
      </w:pPr>
      <w:r>
        <w:rPr>
          <w:sz w:val="19"/>
          <w:szCs w:val="19"/>
        </w:rPr>
      </w:r>
      <w:r>
        <w:rPr>
          <w:sz w:val="19"/>
          <w:szCs w:val="19"/>
        </w:rPr>
      </w:r>
      <w:r>
        <w:rPr>
          <w:sz w:val="19"/>
          <w:szCs w:val="19"/>
        </w:rPr>
      </w:r>
    </w:p>
    <w:p>
      <w:pPr>
        <w:pStyle w:val="909"/>
        <w:jc w:val="center"/>
      </w:pPr>
      <w:r>
        <w:rPr>
          <w:rFonts w:eastAsia="Calibri"/>
          <w:b/>
          <w:lang w:eastAsia="en-US"/>
        </w:rPr>
        <w:t xml:space="preserve">Зональное распределение городов</w:t>
      </w:r>
      <w:r/>
    </w:p>
    <w:p>
      <w:pPr>
        <w:pStyle w:val="910"/>
        <w:ind w:left="0"/>
        <w:rPr>
          <w:sz w:val="20"/>
        </w:rPr>
      </w:pPr>
      <w:r>
        <w:rPr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004732" cy="4452214"/>
                <wp:effectExtent l="0" t="0" r="0" b="0"/>
                <wp:docPr id="2" name="_x0000_i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9004732" cy="44522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09.03pt;height:350.57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pStyle w:val="909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1894840</wp:posOffset>
                </wp:positionV>
                <wp:extent cx="45720" cy="45720"/>
                <wp:effectExtent l="0" t="0" r="0" b="0"/>
                <wp:wrapNone/>
                <wp:docPr id="3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5720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524288;o:allowoverlap:true;o:allowincell:true;mso-position-horizontal-relative:text;margin-left:27.85pt;mso-position-horizontal:absolute;mso-position-vertical-relative:text;margin-top:149.20pt;mso-position-vertical:absolute;width:3.60pt;height:3.60pt;mso-wrap-distance-left:9.00pt;mso-wrap-distance-top:0.00pt;mso-wrap-distance-right:9.00pt;mso-wrap-distance-bottom:0.00pt;visibility:visible;" fillcolor="#FFFFFF" stroked="f" strokeweight="2.00pt"/>
            </w:pict>
          </mc:Fallback>
        </mc:AlternateContent>
      </w:r>
      <w:r/>
    </w:p>
    <w:p>
      <w:pPr>
        <w:pStyle w:val="909"/>
      </w:pPr>
      <w:r/>
      <w:r/>
    </w:p>
    <w:p>
      <w:pPr>
        <w:pStyle w:val="909"/>
      </w:pPr>
      <w:r/>
      <w:r/>
    </w:p>
    <w:p>
      <w:pPr>
        <w:pStyle w:val="909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419577" cy="4554106"/>
                <wp:effectExtent l="0" t="0" r="0" b="0"/>
                <wp:docPr id="4" name="_x0000_i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419577" cy="4554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41.70pt;height:358.59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/>
    </w:p>
    <w:tbl>
      <w:tblPr>
        <w:tblpPr w:horzAnchor="page" w:tblpX="2899" w:vertAnchor="text" w:tblpY="172" w:leftFromText="180" w:topFromText="0" w:rightFromText="180" w:bottomFromText="0"/>
        <w:tblW w:w="12119" w:type="dxa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7157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b/>
                <w:color w:val="000000"/>
                <w:sz w:val="18"/>
                <w:szCs w:val="16"/>
              </w:rPr>
              <w:framePr w:hSpace="180" w:wrap="around" w:vAnchor="text" w:hAnchor="page" w:x="2899" w:y="172"/>
            </w:pPr>
            <w:r>
              <w:rPr>
                <w:b/>
                <w:color w:val="000000"/>
                <w:sz w:val="18"/>
                <w:szCs w:val="16"/>
              </w:rPr>
              <w:t xml:space="preserve">ИСПОЛНИТЕЛЬ</w:t>
            </w:r>
            <w:r>
              <w:rPr>
                <w:b/>
                <w:color w:val="000000"/>
                <w:sz w:val="18"/>
                <w:szCs w:val="16"/>
              </w:rPr>
            </w:r>
            <w:r>
              <w:rPr>
                <w:b/>
                <w:color w:val="000000"/>
                <w:sz w:val="18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57" w:type="dxa"/>
            <w:vAlign w:val="top"/>
            <w:textDirection w:val="lrTb"/>
            <w:noWrap w:val="false"/>
          </w:tcPr>
          <w:p>
            <w:pPr>
              <w:pStyle w:val="909"/>
              <w:ind w:left="1704"/>
              <w:jc w:val="center"/>
              <w:rPr>
                <w:b/>
                <w:color w:val="000000"/>
                <w:sz w:val="18"/>
                <w:szCs w:val="16"/>
              </w:rPr>
              <w:framePr w:hSpace="180" w:wrap="around" w:vAnchor="text" w:hAnchor="page" w:x="2899" w:y="172"/>
            </w:pPr>
            <w:r>
              <w:rPr>
                <w:b/>
                <w:color w:val="000000"/>
                <w:sz w:val="18"/>
                <w:szCs w:val="16"/>
              </w:rPr>
              <w:t xml:space="preserve">ЗАКАЗЧИК</w:t>
            </w:r>
            <w:r>
              <w:rPr>
                <w:b/>
                <w:color w:val="000000"/>
                <w:sz w:val="18"/>
                <w:szCs w:val="16"/>
              </w:rPr>
            </w:r>
            <w:r>
              <w:rPr>
                <w:b/>
                <w:color w:val="000000"/>
                <w:sz w:val="18"/>
                <w:szCs w:val="16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  <w:sz w:val="18"/>
                <w:szCs w:val="16"/>
              </w:rPr>
              <w:framePr w:hSpace="180" w:wrap="around" w:vAnchor="text" w:hAnchor="page" w:x="2899" w:y="172"/>
            </w:pPr>
            <w:r>
              <w:rPr>
                <w:b/>
                <w:bCs/>
                <w:color w:val="000000"/>
                <w:sz w:val="18"/>
                <w:szCs w:val="16"/>
              </w:rPr>
              <w:t xml:space="preserve">Федеральное государственное унитарное предприятие «Главный центр специальной связи»</w:t>
            </w:r>
            <w:r>
              <w:rPr>
                <w:b/>
                <w:bCs/>
                <w:color w:val="000000"/>
                <w:sz w:val="18"/>
                <w:szCs w:val="16"/>
              </w:rPr>
            </w:r>
            <w:r>
              <w:rPr>
                <w:b/>
                <w:bCs/>
                <w:color w:val="000000"/>
                <w:sz w:val="18"/>
                <w:szCs w:val="16"/>
              </w:rPr>
            </w:r>
          </w:p>
          <w:p>
            <w:pPr>
              <w:pStyle w:val="926"/>
              <w:jc w:val="center"/>
              <w:widowControl w:val="off"/>
              <w:rPr>
                <w:b/>
                <w:bCs/>
                <w:color w:val="000000"/>
                <w:sz w:val="18"/>
                <w:szCs w:val="16"/>
              </w:rPr>
              <w:framePr w:hSpace="180" w:wrap="around" w:vAnchor="text" w:hAnchor="page" w:x="2899" w:y="172"/>
            </w:pPr>
            <w:r>
              <w:rPr>
                <w:b/>
                <w:color w:val="000000"/>
                <w:sz w:val="18"/>
                <w:szCs w:val="16"/>
              </w:rPr>
              <w:t xml:space="preserve">филиал - </w:t>
            </w:r>
            <w:r>
              <w:rPr>
                <w:b/>
                <w:bCs/>
                <w:color w:val="000000"/>
                <w:sz w:val="18"/>
                <w:szCs w:val="16"/>
              </w:rPr>
              <w:t xml:space="preserve">Региональное управление специальной связи по Южному региону - Управление специальной связи по Ростовской области</w:t>
            </w:r>
            <w:r>
              <w:rPr>
                <w:b/>
                <w:bCs/>
                <w:color w:val="000000"/>
                <w:sz w:val="18"/>
                <w:szCs w:val="16"/>
              </w:rPr>
            </w:r>
            <w:r>
              <w:rPr>
                <w:b/>
                <w:bCs/>
                <w:color w:val="000000"/>
                <w:sz w:val="18"/>
                <w:szCs w:val="16"/>
              </w:rPr>
            </w:r>
          </w:p>
          <w:p>
            <w:pPr>
              <w:pStyle w:val="909"/>
              <w:jc w:val="center"/>
              <w:widowControl w:val="off"/>
              <w:rPr>
                <w:b/>
                <w:bCs/>
                <w:color w:val="000000"/>
                <w:sz w:val="18"/>
                <w:szCs w:val="16"/>
              </w:rPr>
              <w:framePr w:hSpace="180" w:wrap="around" w:vAnchor="text" w:hAnchor="page" w:x="2899" w:y="172"/>
            </w:pPr>
            <w:r>
              <w:rPr>
                <w:b/>
                <w:bCs/>
                <w:color w:val="000000"/>
                <w:sz w:val="18"/>
                <w:szCs w:val="16"/>
              </w:rPr>
            </w:r>
            <w:r>
              <w:rPr>
                <w:b/>
                <w:bCs/>
                <w:color w:val="000000"/>
                <w:sz w:val="18"/>
                <w:szCs w:val="16"/>
              </w:rPr>
            </w:r>
            <w:r>
              <w:rPr>
                <w:b/>
                <w:bCs/>
                <w:color w:val="000000"/>
                <w:sz w:val="18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57" w:type="dxa"/>
            <w:vAlign w:val="top"/>
            <w:textDirection w:val="lrTb"/>
            <w:noWrap w:val="false"/>
          </w:tcPr>
          <w:p>
            <w:pPr>
              <w:pStyle w:val="909"/>
              <w:ind w:left="1704"/>
              <w:jc w:val="center"/>
              <w:rPr>
                <w:b/>
                <w:bCs/>
                <w:color w:val="000000"/>
                <w:sz w:val="18"/>
                <w:szCs w:val="18"/>
              </w:rPr>
              <w:framePr w:hSpace="180" w:wrap="around" w:vAnchor="text" w:hAnchor="page" w:x="2899" w:y="172"/>
            </w:pPr>
            <w:r>
              <w:rPr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t xml:space="preserve">Федеральное казенное учреждение «Управление федеральных автомобильных дорог «Новороссия» Федерального дорожного агентства»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18"/>
                <w:szCs w:val="16"/>
              </w:rPr>
              <w:framePr w:hSpace="180" w:wrap="around" w:vAnchor="text" w:hAnchor="page" w:x="2899" w:y="172"/>
            </w:pPr>
            <w:r>
              <w:rPr>
                <w:b/>
                <w:bCs/>
                <w:color w:val="000000"/>
                <w:sz w:val="18"/>
                <w:szCs w:val="16"/>
              </w:rPr>
              <w:t xml:space="preserve">Заместитель начальника Управления по развитию  </w:t>
            </w:r>
            <w:r>
              <w:rPr>
                <w:b/>
                <w:bCs/>
                <w:color w:val="000000"/>
                <w:sz w:val="18"/>
                <w:szCs w:val="16"/>
              </w:rPr>
            </w:r>
            <w:r>
              <w:rPr>
                <w:b/>
                <w:bCs/>
                <w:color w:val="000000"/>
                <w:sz w:val="18"/>
                <w:szCs w:val="16"/>
              </w:rPr>
            </w:r>
          </w:p>
          <w:p>
            <w:pPr>
              <w:pStyle w:val="909"/>
              <w:rPr>
                <w:b/>
                <w:bCs/>
                <w:color w:val="000000"/>
                <w:sz w:val="18"/>
                <w:szCs w:val="16"/>
              </w:rPr>
              <w:framePr w:hSpace="180" w:wrap="around" w:vAnchor="text" w:hAnchor="page" w:x="2899" w:y="172"/>
            </w:pPr>
            <w:r>
              <w:rPr>
                <w:b/>
                <w:bCs/>
                <w:color w:val="000000"/>
                <w:sz w:val="18"/>
                <w:szCs w:val="16"/>
              </w:rPr>
              <w:t xml:space="preserve">______________________О.М. Вербило</w:t>
            </w:r>
            <w:r>
              <w:rPr>
                <w:b/>
                <w:bCs/>
                <w:color w:val="000000"/>
                <w:sz w:val="18"/>
                <w:szCs w:val="16"/>
              </w:rPr>
            </w:r>
            <w:r>
              <w:rPr>
                <w:b/>
                <w:bCs/>
                <w:color w:val="000000"/>
                <w:sz w:val="18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57" w:type="dxa"/>
            <w:vAlign w:val="top"/>
            <w:textDirection w:val="lrTb"/>
            <w:noWrap w:val="false"/>
          </w:tcPr>
          <w:p>
            <w:pPr>
              <w:pStyle w:val="909"/>
              <w:ind w:left="1704"/>
              <w:rPr>
                <w:b/>
                <w:bCs/>
                <w:color w:val="000000"/>
                <w:sz w:val="18"/>
                <w:szCs w:val="18"/>
              </w:rPr>
              <w:framePr w:hSpace="180" w:wrap="around" w:vAnchor="text" w:hAnchor="page" w:x="2899" w:y="172"/>
            </w:pPr>
            <w:r>
              <w:rPr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Зам. начальника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  <w:p>
            <w:pPr>
              <w:pStyle w:val="909"/>
              <w:ind w:left="1704"/>
              <w:rPr>
                <w:b/>
                <w:bCs/>
                <w:color w:val="000000"/>
                <w:sz w:val="18"/>
                <w:szCs w:val="18"/>
              </w:rPr>
              <w:framePr w:hSpace="180" w:wrap="around" w:vAnchor="text" w:hAnchor="page" w:x="2899" w:y="172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____________________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О.Н. Гулый</w:t>
            </w:r>
            <w:r>
              <w:rPr>
                <w:b/>
                <w:bCs/>
                <w:color w:val="000000"/>
                <w:sz w:val="18"/>
                <w:szCs w:val="18"/>
              </w:rPr>
            </w:r>
            <w:r>
              <w:rPr>
                <w:b/>
                <w:bCs/>
                <w:color w:val="000000"/>
                <w:sz w:val="18"/>
                <w:szCs w:val="18"/>
              </w:rPr>
            </w:r>
          </w:p>
        </w:tc>
      </w:tr>
      <w:tr>
        <w:trPr>
          <w:trHeight w:val="11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909"/>
              <w:rPr>
                <w:b/>
                <w:bCs/>
                <w:color w:val="000000"/>
                <w:sz w:val="18"/>
                <w:szCs w:val="16"/>
              </w:rPr>
              <w:framePr w:hSpace="180" w:wrap="around" w:vAnchor="text" w:hAnchor="page" w:x="2899" w:y="172"/>
            </w:pPr>
            <w:r>
              <w:rPr>
                <w:b/>
                <w:bCs/>
                <w:color w:val="000000"/>
                <w:sz w:val="18"/>
                <w:szCs w:val="16"/>
              </w:rPr>
              <w:t xml:space="preserve">М.П.</w:t>
            </w:r>
            <w:r>
              <w:rPr>
                <w:b/>
                <w:bCs/>
                <w:color w:val="000000"/>
                <w:sz w:val="18"/>
                <w:szCs w:val="16"/>
              </w:rPr>
            </w:r>
            <w:r>
              <w:rPr>
                <w:b/>
                <w:bCs/>
                <w:color w:val="000000"/>
                <w:sz w:val="18"/>
                <w:szCs w:val="1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157" w:type="dxa"/>
            <w:vAlign w:val="top"/>
            <w:textDirection w:val="lrTb"/>
            <w:noWrap w:val="false"/>
          </w:tcPr>
          <w:p>
            <w:pPr>
              <w:pStyle w:val="909"/>
              <w:ind w:left="1704"/>
              <w:rPr>
                <w:b/>
                <w:bCs/>
                <w:color w:val="000000"/>
                <w:sz w:val="18"/>
                <w:szCs w:val="16"/>
              </w:rPr>
              <w:framePr w:hSpace="180" w:wrap="around" w:vAnchor="text" w:hAnchor="page" w:x="2899" w:y="172"/>
            </w:pPr>
            <w:r>
              <w:rPr>
                <w:b/>
                <w:bCs/>
                <w:color w:val="000000"/>
                <w:sz w:val="18"/>
                <w:szCs w:val="16"/>
              </w:rPr>
              <w:t xml:space="preserve">М.П.</w:t>
            </w:r>
            <w:r>
              <w:rPr>
                <w:b/>
                <w:bCs/>
                <w:color w:val="000000"/>
                <w:sz w:val="18"/>
                <w:szCs w:val="16"/>
              </w:rPr>
            </w:r>
            <w:r>
              <w:rPr>
                <w:b/>
                <w:bCs/>
                <w:color w:val="000000"/>
                <w:sz w:val="18"/>
                <w:szCs w:val="16"/>
              </w:rPr>
            </w:r>
          </w:p>
        </w:tc>
      </w:tr>
    </w:tbl>
    <w:p>
      <w:pPr>
        <w:pStyle w:val="909"/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029"/>
        <w:jc w:val="right"/>
        <w:widowControl w:val="off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sectPr>
      <w:footnotePr/>
      <w:endnotePr/>
      <w:type w:val="nextPage"/>
      <w:pgSz w:w="16838" w:h="11906" w:orient="landscape"/>
      <w:pgMar w:top="1134" w:right="1134" w:bottom="567" w:left="1276" w:header="567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Calibri Light">
    <w:panose1 w:val="020F0502020204030204"/>
  </w:font>
  <w:font w:name="Segoe UI">
    <w:panose1 w:val="020B0502040504020204"/>
  </w:font>
  <w:font w:name="Times New Roman">
    <w:panose1 w:val="02020603050405020304"/>
  </w:font>
  <w:font w:name="Symbol">
    <w:panose1 w:val="05010000000000000000"/>
  </w:font>
  <w:font w:name="Myriad Pro">
    <w:panose1 w:val="02020603050405020304"/>
  </w:font>
  <w:font w:name="Lucida Sans Unicode">
    <w:panose1 w:val="020B05020405040202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2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42"/>
        <w:jc w:val="both"/>
        <w:rPr>
          <w:sz w:val="16"/>
        </w:rPr>
      </w:pPr>
      <w:r>
        <w:rPr>
          <w:rStyle w:val="1003"/>
        </w:rPr>
        <w:footnoteRef/>
      </w:r>
      <w:r>
        <w:t xml:space="preserve"> </w:t>
      </w:r>
      <w:r>
        <w:rPr>
          <w:sz w:val="16"/>
        </w:rPr>
        <w:t xml:space="preserve">Не применяется при оказании услуг для нужд органов государственной власти, нужд обороны страны, безопасности государства и обеспечения правопорядка</w:t>
      </w:r>
      <w:r>
        <w:rPr>
          <w:sz w:val="16"/>
        </w:rPr>
      </w:r>
      <w:r>
        <w:rPr>
          <w:sz w:val="16"/>
        </w:rPr>
      </w:r>
    </w:p>
    <w:p>
      <w:pPr>
        <w:pStyle w:val="942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  <w:tabs>
          <w:tab w:val="num" w:pos="1069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771" w:hanging="360"/>
        <w:tabs>
          <w:tab w:val="num" w:pos="2771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400" w:hanging="1080"/>
        <w:tabs>
          <w:tab w:val="num" w:pos="54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  <w:tabs>
          <w:tab w:val="num" w:pos="64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00" w:hanging="1440"/>
        <w:tabs>
          <w:tab w:val="num" w:pos="720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2"/>
      <w:numFmt w:val="decimal"/>
      <w:isLgl w:val="false"/>
      <w:suff w:val="tab"/>
      <w:lvlText w:val="%1.%2."/>
      <w:lvlJc w:val="left"/>
      <w:pPr>
        <w:ind w:left="450" w:hanging="45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720" w:leader="none"/>
        </w:tabs>
      </w:pPr>
      <w:rPr>
        <w:rFonts w:ascii="Times New Roman" w:hAnsi="Times New Roman" w:eastAsia="Times New Roman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0" w:hanging="360"/>
        <w:tabs>
          <w:tab w:val="num" w:pos="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"/>
      <w:lvlJc w:val="left"/>
      <w:pPr>
        <w:ind w:left="1353" w:hanging="360"/>
      </w:pPr>
      <w:rPr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2706" w:hanging="720"/>
      </w:pPr>
      <w:rPr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699" w:hanging="720"/>
      </w:pPr>
      <w:rPr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692" w:hanging="720"/>
      </w:pPr>
      <w:rPr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6045" w:hanging="1080"/>
      </w:pPr>
      <w:rPr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7038" w:hanging="1080"/>
      </w:pPr>
      <w:rPr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8391" w:hanging="1440"/>
      </w:pPr>
      <w:rPr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9384" w:hanging="1440"/>
      </w:pPr>
      <w:rPr>
        <w:b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353" w:hanging="360"/>
        <w:tabs>
          <w:tab w:val="num" w:pos="1353" w:leader="none"/>
        </w:tabs>
      </w:pPr>
      <w:rPr>
        <w:rFonts w:ascii="Times New Roman" w:hAnsi="Times New Roman" w:eastAsia="Times New Roman" w:cs="Times New Roma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1"/>
      <w:lvlJc w:val="left"/>
      <w:pPr>
        <w:ind w:left="480" w:hanging="480"/>
        <w:tabs>
          <w:tab w:val="num" w:pos="48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622" w:hanging="480"/>
      </w:pPr>
    </w:lvl>
    <w:lvl w:ilvl="2">
      <w:start w:val="1"/>
      <w:numFmt w:val="decimal"/>
      <w:isLgl w:val="false"/>
      <w:suff w:val="space"/>
      <w:lvlText w:val="%1.%2.%3."/>
      <w:lvlJc w:val="left"/>
      <w:pPr>
        <w:ind w:left="171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  <w:tabs>
          <w:tab w:val="num" w:pos="37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44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  <w:tabs>
          <w:tab w:val="num" w:pos="52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20" w:hanging="1800"/>
        <w:tabs>
          <w:tab w:val="num" w:pos="612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360" w:hanging="360"/>
        <w:tabs>
          <w:tab w:val="num" w:pos="36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080" w:hanging="360"/>
        <w:tabs>
          <w:tab w:val="num" w:pos="108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1800" w:hanging="360"/>
        <w:tabs>
          <w:tab w:val="num" w:pos="180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2520" w:hanging="360"/>
        <w:tabs>
          <w:tab w:val="num" w:pos="252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240" w:hanging="360"/>
        <w:tabs>
          <w:tab w:val="num" w:pos="324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3960" w:hanging="360"/>
        <w:tabs>
          <w:tab w:val="num" w:pos="396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4680" w:hanging="360"/>
        <w:tabs>
          <w:tab w:val="num" w:pos="468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5400" w:hanging="360"/>
        <w:tabs>
          <w:tab w:val="num" w:pos="5400" w:leader="none"/>
        </w:tabs>
      </w:pPr>
      <w:rPr>
        <w:rFonts w:ascii="Wingdings" w:hAnsi="Wingdings"/>
      </w:rPr>
    </w:lvl>
  </w:abstractNum>
  <w:abstractNum w:abstractNumId="11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11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1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44" w:hanging="1800"/>
      </w:pPr>
    </w:lvl>
  </w:abstractNum>
  <w:abstractNum w:abstractNumId="12">
    <w:multiLevelType w:val="hybridMultilevel"/>
    <w:lvl w:ilvl="0">
      <w:start w:val="1"/>
      <w:numFmt w:val="decimal"/>
      <w:pStyle w:val="1033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2"/>
      <w:lvlJc w:val="left"/>
      <w:pPr/>
    </w:lvl>
    <w:lvl w:ilvl="2">
      <w:start w:val="1"/>
      <w:numFmt w:val="decimal"/>
      <w:isLgl w:val="false"/>
      <w:suff w:val="tab"/>
      <w:lvlText w:val="%1.%2.%3"/>
      <w:lvlJc w:val="left"/>
      <w:pPr/>
    </w:lvl>
    <w:lvl w:ilvl="3">
      <w:start w:val="1"/>
      <w:numFmt w:val="decimal"/>
      <w:isLgl w:val="false"/>
      <w:suff w:val="tab"/>
      <w:lvlText w:val="%1.%2.%3.%4"/>
      <w:lvlJc w:val="left"/>
      <w:pPr/>
    </w:lvl>
    <w:lvl w:ilvl="4">
      <w:start w:val="1"/>
      <w:numFmt w:val="decimal"/>
      <w:isLgl w:val="false"/>
      <w:suff w:val="tab"/>
      <w:lvlText w:val="%1.%2.%3.%4.%5"/>
      <w:lvlJc w:val="left"/>
      <w:pPr/>
    </w:lvl>
    <w:lvl w:ilvl="5">
      <w:start w:val="1"/>
      <w:numFmt w:val="decimal"/>
      <w:isLgl w:val="false"/>
      <w:suff w:val="tab"/>
      <w:lvlText w:val="%1.%2.%3.%4.%5.%6"/>
      <w:lvlJc w:val="left"/>
      <w:pPr/>
    </w:lvl>
    <w:lvl w:ilvl="6">
      <w:start w:val="1"/>
      <w:numFmt w:val="decimal"/>
      <w:isLgl w:val="false"/>
      <w:suff w:val="tab"/>
      <w:lvlText w:val="%1.%2.%3.%4.%5.%6.%7"/>
      <w:lvlJc w:val="left"/>
      <w:pPr/>
    </w:lvl>
    <w:lvl w:ilvl="7">
      <w:start w:val="1"/>
      <w:numFmt w:val="decimal"/>
      <w:isLgl w:val="false"/>
      <w:suff w:val="tab"/>
      <w:lvlText w:val="%1.%2.%3.%4.%5.%6.%7.%8"/>
      <w:lvlJc w:val="left"/>
      <w:pPr/>
    </w:lvl>
    <w:lvl w:ilvl="8">
      <w:start w:val="1"/>
      <w:numFmt w:val="decimal"/>
      <w:isLgl w:val="false"/>
      <w:suff w:val="tab"/>
      <w:lvlText w:val="%1.%2.%3.%4.%5.%6.%7.%8.%9"/>
      <w:lvlJc w:val="left"/>
      <w:pPr/>
    </w:lvl>
  </w:abstractNum>
  <w:abstractNum w:abstractNumId="1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1"/>
      <w:numFmt w:val="decimal"/>
      <w:isLgl w:val="false"/>
      <w:suff w:val="tab"/>
      <w:lvlText w:val="%1.%2."/>
      <w:lvlJc w:val="left"/>
      <w:pPr>
        <w:ind w:left="48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5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1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44" w:hanging="180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6">
    <w:multiLevelType w:val="hybridMultilevel"/>
    <w:lvl w:ilvl="0">
      <w:start w:val="15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069" w:hanging="360"/>
      </w:pPr>
      <w:rPr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556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334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112" w:hanging="144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2149" w:hanging="36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0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7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8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25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464" w:hanging="1440"/>
      </w:pPr>
    </w:lvl>
  </w:abstractNum>
  <w:abstractNum w:abstractNumId="20">
    <w:multiLevelType w:val="hybridMultilevel"/>
    <w:lvl w:ilvl="0">
      <w:start w:val="14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4"/>
      <w:numFmt w:val="decimal"/>
      <w:isLgl w:val="false"/>
      <w:suff w:val="tab"/>
      <w:lvlText w:val="%1.%2"/>
      <w:lvlJc w:val="left"/>
      <w:pPr>
        <w:ind w:left="1495" w:hanging="360"/>
      </w:pPr>
      <w:rPr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299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4137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5276" w:hanging="72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6775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7914" w:hanging="108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9413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0552" w:hanging="1440"/>
      </w:pPr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69" w:hanging="360"/>
        <w:tabs>
          <w:tab w:val="num" w:pos="1069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</w:lvl>
  </w:abstractNum>
  <w:num w:numId="1">
    <w:abstractNumId w:val="18"/>
  </w:num>
  <w:num w:numId="2">
    <w:abstractNumId w:val="15"/>
  </w:num>
  <w:num w:numId="3">
    <w:abstractNumId w:val="9"/>
  </w:num>
  <w:num w:numId="4">
    <w:abstractNumId w:val="5"/>
  </w:num>
  <w:num w:numId="5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8"/>
  </w:num>
  <w:num w:numId="11">
    <w:abstractNumId w:val="10"/>
  </w:num>
  <w:num w:numId="12">
    <w:abstractNumId w:val="3"/>
  </w:num>
  <w:num w:numId="13">
    <w:abstractNumId w:val="14"/>
  </w:num>
  <w:num w:numId="14">
    <w:abstractNumId w:val="4"/>
  </w:num>
  <w:num w:numId="15">
    <w:abstractNumId w:val="12"/>
  </w:num>
  <w:num w:numId="16">
    <w:abstractNumId w:val="12"/>
    <w:lvlOverride w:ilvl="0">
      <w:startOverride w:val="1"/>
    </w:lvlOverride>
  </w:num>
  <w:num w:numId="17">
    <w:abstractNumId w:val="0"/>
  </w:num>
  <w:num w:numId="18">
    <w:abstractNumId w:val="19"/>
  </w:num>
  <w:num w:numId="19">
    <w:abstractNumId w:val="7"/>
  </w:num>
  <w:num w:numId="20">
    <w:abstractNumId w:val="20"/>
  </w:num>
  <w:num w:numId="21">
    <w:abstractNumId w:val="16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4">
    <w:name w:val="Heading 1"/>
    <w:basedOn w:val="909"/>
    <w:next w:val="909"/>
    <w:link w:val="7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5">
    <w:name w:val="Heading 1 Char"/>
    <w:link w:val="734"/>
    <w:uiPriority w:val="9"/>
    <w:rPr>
      <w:rFonts w:ascii="Arial" w:hAnsi="Arial" w:eastAsia="Arial" w:cs="Arial"/>
      <w:sz w:val="40"/>
      <w:szCs w:val="40"/>
    </w:rPr>
  </w:style>
  <w:style w:type="paragraph" w:styleId="736">
    <w:name w:val="Heading 2"/>
    <w:basedOn w:val="909"/>
    <w:next w:val="909"/>
    <w:link w:val="7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7">
    <w:name w:val="Heading 2 Char"/>
    <w:link w:val="736"/>
    <w:uiPriority w:val="9"/>
    <w:rPr>
      <w:rFonts w:ascii="Arial" w:hAnsi="Arial" w:eastAsia="Arial" w:cs="Arial"/>
      <w:sz w:val="34"/>
    </w:rPr>
  </w:style>
  <w:style w:type="paragraph" w:styleId="738">
    <w:name w:val="Heading 3"/>
    <w:basedOn w:val="909"/>
    <w:next w:val="909"/>
    <w:link w:val="7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9">
    <w:name w:val="Heading 3 Char"/>
    <w:link w:val="738"/>
    <w:uiPriority w:val="9"/>
    <w:rPr>
      <w:rFonts w:ascii="Arial" w:hAnsi="Arial" w:eastAsia="Arial" w:cs="Arial"/>
      <w:sz w:val="30"/>
      <w:szCs w:val="30"/>
    </w:rPr>
  </w:style>
  <w:style w:type="paragraph" w:styleId="740">
    <w:name w:val="Heading 4"/>
    <w:basedOn w:val="909"/>
    <w:next w:val="909"/>
    <w:link w:val="7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1">
    <w:name w:val="Heading 4 Char"/>
    <w:link w:val="740"/>
    <w:uiPriority w:val="9"/>
    <w:rPr>
      <w:rFonts w:ascii="Arial" w:hAnsi="Arial" w:eastAsia="Arial" w:cs="Arial"/>
      <w:b/>
      <w:bCs/>
      <w:sz w:val="26"/>
      <w:szCs w:val="26"/>
    </w:rPr>
  </w:style>
  <w:style w:type="paragraph" w:styleId="742">
    <w:name w:val="Heading 5"/>
    <w:basedOn w:val="909"/>
    <w:next w:val="909"/>
    <w:link w:val="7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3">
    <w:name w:val="Heading 5 Char"/>
    <w:link w:val="742"/>
    <w:uiPriority w:val="9"/>
    <w:rPr>
      <w:rFonts w:ascii="Arial" w:hAnsi="Arial" w:eastAsia="Arial" w:cs="Arial"/>
      <w:b/>
      <w:bCs/>
      <w:sz w:val="24"/>
      <w:szCs w:val="24"/>
    </w:rPr>
  </w:style>
  <w:style w:type="paragraph" w:styleId="744">
    <w:name w:val="Heading 6"/>
    <w:basedOn w:val="909"/>
    <w:next w:val="909"/>
    <w:link w:val="7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5">
    <w:name w:val="Heading 6 Char"/>
    <w:link w:val="744"/>
    <w:uiPriority w:val="9"/>
    <w:rPr>
      <w:rFonts w:ascii="Arial" w:hAnsi="Arial" w:eastAsia="Arial" w:cs="Arial"/>
      <w:b/>
      <w:bCs/>
      <w:sz w:val="22"/>
      <w:szCs w:val="22"/>
    </w:rPr>
  </w:style>
  <w:style w:type="paragraph" w:styleId="746">
    <w:name w:val="Heading 7"/>
    <w:basedOn w:val="909"/>
    <w:next w:val="909"/>
    <w:link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7">
    <w:name w:val="Heading 7 Char"/>
    <w:link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8">
    <w:name w:val="Heading 8"/>
    <w:basedOn w:val="909"/>
    <w:next w:val="909"/>
    <w:link w:val="7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9">
    <w:name w:val="Heading 8 Char"/>
    <w:link w:val="748"/>
    <w:uiPriority w:val="9"/>
    <w:rPr>
      <w:rFonts w:ascii="Arial" w:hAnsi="Arial" w:eastAsia="Arial" w:cs="Arial"/>
      <w:i/>
      <w:iCs/>
      <w:sz w:val="22"/>
      <w:szCs w:val="22"/>
    </w:rPr>
  </w:style>
  <w:style w:type="paragraph" w:styleId="750">
    <w:name w:val="Heading 9"/>
    <w:basedOn w:val="909"/>
    <w:next w:val="909"/>
    <w:link w:val="7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1">
    <w:name w:val="Heading 9 Char"/>
    <w:link w:val="750"/>
    <w:uiPriority w:val="9"/>
    <w:rPr>
      <w:rFonts w:ascii="Arial" w:hAnsi="Arial" w:eastAsia="Arial" w:cs="Arial"/>
      <w:i/>
      <w:iCs/>
      <w:sz w:val="21"/>
      <w:szCs w:val="21"/>
    </w:rPr>
  </w:style>
  <w:style w:type="paragraph" w:styleId="752">
    <w:name w:val="No Spacing"/>
    <w:uiPriority w:val="1"/>
    <w:qFormat/>
    <w:pPr>
      <w:spacing w:before="0" w:after="0" w:line="240" w:lineRule="auto"/>
    </w:pPr>
  </w:style>
  <w:style w:type="paragraph" w:styleId="753">
    <w:name w:val="Title"/>
    <w:basedOn w:val="909"/>
    <w:next w:val="909"/>
    <w:link w:val="7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4">
    <w:name w:val="Title Char"/>
    <w:link w:val="753"/>
    <w:uiPriority w:val="10"/>
    <w:rPr>
      <w:sz w:val="48"/>
      <w:szCs w:val="48"/>
    </w:rPr>
  </w:style>
  <w:style w:type="paragraph" w:styleId="755">
    <w:name w:val="Subtitle"/>
    <w:basedOn w:val="909"/>
    <w:next w:val="909"/>
    <w:link w:val="756"/>
    <w:uiPriority w:val="11"/>
    <w:qFormat/>
    <w:pPr>
      <w:spacing w:before="200" w:after="200"/>
    </w:pPr>
    <w:rPr>
      <w:sz w:val="24"/>
      <w:szCs w:val="24"/>
    </w:rPr>
  </w:style>
  <w:style w:type="character" w:styleId="756">
    <w:name w:val="Subtitle Char"/>
    <w:link w:val="755"/>
    <w:uiPriority w:val="11"/>
    <w:rPr>
      <w:sz w:val="24"/>
      <w:szCs w:val="24"/>
    </w:rPr>
  </w:style>
  <w:style w:type="paragraph" w:styleId="757">
    <w:name w:val="Quote"/>
    <w:basedOn w:val="909"/>
    <w:next w:val="909"/>
    <w:link w:val="758"/>
    <w:uiPriority w:val="29"/>
    <w:qFormat/>
    <w:pPr>
      <w:ind w:left="720" w:right="720"/>
    </w:pPr>
    <w:rPr>
      <w:i/>
    </w:rPr>
  </w:style>
  <w:style w:type="character" w:styleId="758">
    <w:name w:val="Quote Char"/>
    <w:link w:val="757"/>
    <w:uiPriority w:val="29"/>
    <w:rPr>
      <w:i/>
    </w:rPr>
  </w:style>
  <w:style w:type="paragraph" w:styleId="759">
    <w:name w:val="Intense Quote"/>
    <w:basedOn w:val="909"/>
    <w:next w:val="909"/>
    <w:link w:val="7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0">
    <w:name w:val="Intense Quote Char"/>
    <w:link w:val="759"/>
    <w:uiPriority w:val="30"/>
    <w:rPr>
      <w:i/>
    </w:rPr>
  </w:style>
  <w:style w:type="paragraph" w:styleId="761">
    <w:name w:val="Header"/>
    <w:basedOn w:val="909"/>
    <w:link w:val="10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62">
    <w:name w:val="Footer"/>
    <w:basedOn w:val="909"/>
    <w:link w:val="7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63">
    <w:name w:val="Caption"/>
    <w:basedOn w:val="909"/>
    <w:next w:val="9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4">
    <w:name w:val="Caption Char"/>
    <w:basedOn w:val="763"/>
    <w:link w:val="762"/>
    <w:uiPriority w:val="99"/>
  </w:style>
  <w:style w:type="table" w:styleId="76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1">
    <w:name w:val="Hyperlink"/>
    <w:uiPriority w:val="99"/>
    <w:unhideWhenUsed/>
    <w:rPr>
      <w:color w:val="0000ff" w:themeColor="hyperlink"/>
      <w:u w:val="single"/>
    </w:rPr>
  </w:style>
  <w:style w:type="paragraph" w:styleId="892">
    <w:name w:val="footnote text"/>
    <w:basedOn w:val="909"/>
    <w:link w:val="893"/>
    <w:uiPriority w:val="99"/>
    <w:semiHidden/>
    <w:unhideWhenUsed/>
    <w:pPr>
      <w:spacing w:after="40" w:line="240" w:lineRule="auto"/>
    </w:pPr>
    <w:rPr>
      <w:sz w:val="18"/>
    </w:rPr>
  </w:style>
  <w:style w:type="character" w:styleId="893">
    <w:name w:val="Footnote Text Char"/>
    <w:link w:val="892"/>
    <w:uiPriority w:val="99"/>
    <w:rPr>
      <w:sz w:val="18"/>
    </w:rPr>
  </w:style>
  <w:style w:type="character" w:styleId="894">
    <w:name w:val="footnote reference"/>
    <w:uiPriority w:val="99"/>
    <w:unhideWhenUsed/>
    <w:rPr>
      <w:vertAlign w:val="superscript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next w:val="909"/>
    <w:link w:val="909"/>
    <w:qFormat/>
    <w:rPr>
      <w:lang w:val="ru-RU" w:eastAsia="ru-RU" w:bidi="ar-SA"/>
    </w:rPr>
  </w:style>
  <w:style w:type="paragraph" w:styleId="910">
    <w:name w:val="Заголовок 1"/>
    <w:basedOn w:val="909"/>
    <w:next w:val="909"/>
    <w:link w:val="931"/>
    <w:qFormat/>
    <w:pPr>
      <w:ind w:left="360"/>
      <w:keepNext/>
      <w:outlineLvl w:val="0"/>
    </w:pPr>
    <w:rPr>
      <w:sz w:val="24"/>
    </w:rPr>
  </w:style>
  <w:style w:type="paragraph" w:styleId="911">
    <w:name w:val="Заголовок 2"/>
    <w:basedOn w:val="909"/>
    <w:next w:val="909"/>
    <w:link w:val="932"/>
    <w:qFormat/>
    <w:pPr>
      <w:keepNext/>
      <w:outlineLvl w:val="1"/>
    </w:pPr>
    <w:rPr>
      <w:sz w:val="28"/>
    </w:rPr>
  </w:style>
  <w:style w:type="paragraph" w:styleId="912">
    <w:name w:val="Заголовок 3"/>
    <w:basedOn w:val="909"/>
    <w:next w:val="909"/>
    <w:link w:val="933"/>
    <w:qFormat/>
    <w:pPr>
      <w:keepLines/>
      <w:keepNext/>
      <w:spacing w:before="200" w:line="276" w:lineRule="auto"/>
      <w:outlineLvl w:val="2"/>
    </w:pPr>
    <w:rPr>
      <w:b/>
      <w:bCs/>
      <w:color w:val="4f81bd"/>
      <w:sz w:val="22"/>
      <w:szCs w:val="22"/>
    </w:rPr>
  </w:style>
  <w:style w:type="paragraph" w:styleId="913">
    <w:name w:val="Заголовок 5"/>
    <w:basedOn w:val="909"/>
    <w:next w:val="909"/>
    <w:link w:val="934"/>
    <w:qFormat/>
    <w:pPr>
      <w:keepLines/>
      <w:keepNext/>
      <w:spacing w:before="200" w:line="276" w:lineRule="auto"/>
      <w:outlineLvl w:val="4"/>
    </w:pPr>
    <w:rPr>
      <w:color w:val="243f60"/>
      <w:sz w:val="22"/>
      <w:szCs w:val="22"/>
    </w:rPr>
  </w:style>
  <w:style w:type="paragraph" w:styleId="914">
    <w:name w:val="Заголовок 7"/>
    <w:basedOn w:val="909"/>
    <w:next w:val="909"/>
    <w:link w:val="935"/>
    <w:qFormat/>
    <w:pPr>
      <w:keepNext/>
      <w:outlineLvl w:val="6"/>
    </w:pPr>
    <w:rPr>
      <w:bCs/>
      <w:sz w:val="24"/>
    </w:rPr>
  </w:style>
  <w:style w:type="character" w:styleId="915">
    <w:name w:val="Основной шрифт абзаца"/>
    <w:next w:val="915"/>
    <w:link w:val="909"/>
    <w:semiHidden/>
  </w:style>
  <w:style w:type="table" w:styleId="916">
    <w:name w:val="Обычная таблица"/>
    <w:next w:val="916"/>
    <w:link w:val="909"/>
    <w:semiHidden/>
    <w:tblPr/>
  </w:style>
  <w:style w:type="numbering" w:styleId="917">
    <w:name w:val="Нет списка"/>
    <w:next w:val="917"/>
    <w:link w:val="909"/>
    <w:uiPriority w:val="99"/>
    <w:semiHidden/>
  </w:style>
  <w:style w:type="paragraph" w:styleId="918">
    <w:name w:val="13-15"/>
    <w:basedOn w:val="921"/>
    <w:next w:val="918"/>
    <w:link w:val="909"/>
    <w:pPr>
      <w:ind w:left="0" w:firstLine="709"/>
      <w:jc w:val="both"/>
      <w:spacing w:after="0" w:line="300" w:lineRule="exact"/>
    </w:pPr>
    <w:rPr>
      <w:bCs/>
      <w:sz w:val="26"/>
      <w:szCs w:val="24"/>
    </w:rPr>
  </w:style>
  <w:style w:type="paragraph" w:styleId="919">
    <w:name w:val="14-15"/>
    <w:basedOn w:val="921"/>
    <w:next w:val="919"/>
    <w:link w:val="909"/>
    <w:pPr>
      <w:ind w:left="0" w:firstLine="709"/>
      <w:jc w:val="both"/>
      <w:spacing w:after="0" w:line="360" w:lineRule="auto"/>
      <w:tabs>
        <w:tab w:val="left" w:pos="567" w:leader="none"/>
      </w:tabs>
    </w:pPr>
    <w:rPr>
      <w:bCs/>
      <w:sz w:val="28"/>
      <w:szCs w:val="24"/>
    </w:rPr>
  </w:style>
  <w:style w:type="table" w:styleId="920">
    <w:name w:val="Сетка таблицы"/>
    <w:basedOn w:val="916"/>
    <w:next w:val="920"/>
    <w:link w:val="909"/>
    <w:uiPriority w:val="59"/>
    <w:tblPr/>
  </w:style>
  <w:style w:type="paragraph" w:styleId="921">
    <w:name w:val="Основной текст с отступом"/>
    <w:basedOn w:val="909"/>
    <w:next w:val="921"/>
    <w:link w:val="950"/>
    <w:pPr>
      <w:ind w:left="283"/>
      <w:spacing w:after="120"/>
    </w:pPr>
  </w:style>
  <w:style w:type="paragraph" w:styleId="922">
    <w:name w:val="Верхний колонтитул"/>
    <w:basedOn w:val="909"/>
    <w:next w:val="922"/>
    <w:link w:val="930"/>
    <w:uiPriority w:val="99"/>
    <w:pPr>
      <w:tabs>
        <w:tab w:val="center" w:pos="4677" w:leader="none"/>
        <w:tab w:val="right" w:pos="9355" w:leader="none"/>
      </w:tabs>
    </w:pPr>
  </w:style>
  <w:style w:type="paragraph" w:styleId="923">
    <w:name w:val="Нижний колонтитул"/>
    <w:basedOn w:val="909"/>
    <w:next w:val="923"/>
    <w:link w:val="945"/>
    <w:pPr>
      <w:tabs>
        <w:tab w:val="center" w:pos="4677" w:leader="none"/>
        <w:tab w:val="right" w:pos="9355" w:leader="none"/>
      </w:tabs>
    </w:pPr>
  </w:style>
  <w:style w:type="character" w:styleId="924">
    <w:name w:val="Номер страницы"/>
    <w:basedOn w:val="915"/>
    <w:next w:val="924"/>
    <w:link w:val="909"/>
  </w:style>
  <w:style w:type="character" w:styleId="925">
    <w:name w:val="Знак примечания"/>
    <w:next w:val="925"/>
    <w:link w:val="909"/>
    <w:semiHidden/>
    <w:rPr>
      <w:sz w:val="16"/>
      <w:szCs w:val="16"/>
    </w:rPr>
  </w:style>
  <w:style w:type="paragraph" w:styleId="926">
    <w:name w:val="Текст примечания"/>
    <w:basedOn w:val="909"/>
    <w:next w:val="926"/>
    <w:link w:val="944"/>
    <w:semiHidden/>
  </w:style>
  <w:style w:type="paragraph" w:styleId="927">
    <w:name w:val="Тема примечания"/>
    <w:basedOn w:val="926"/>
    <w:next w:val="926"/>
    <w:link w:val="955"/>
    <w:semiHidden/>
    <w:rPr>
      <w:b/>
      <w:bCs/>
    </w:rPr>
  </w:style>
  <w:style w:type="paragraph" w:styleId="928">
    <w:name w:val="Текст выноски"/>
    <w:basedOn w:val="909"/>
    <w:next w:val="928"/>
    <w:link w:val="956"/>
    <w:uiPriority w:val="99"/>
    <w:semiHidden/>
    <w:rPr>
      <w:rFonts w:ascii="Tahoma" w:hAnsi="Tahoma" w:cs="Tahoma"/>
      <w:sz w:val="16"/>
      <w:szCs w:val="16"/>
    </w:rPr>
  </w:style>
  <w:style w:type="paragraph" w:styleId="929">
    <w:name w:val="List Paragraph"/>
    <w:basedOn w:val="909"/>
    <w:next w:val="929"/>
    <w:link w:val="909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930">
    <w:name w:val="Верхний колонтитул Знак"/>
    <w:next w:val="930"/>
    <w:link w:val="922"/>
    <w:uiPriority w:val="99"/>
  </w:style>
  <w:style w:type="character" w:styleId="931">
    <w:name w:val="Заголовок 1 Знак"/>
    <w:next w:val="931"/>
    <w:link w:val="910"/>
    <w:rPr>
      <w:sz w:val="24"/>
    </w:rPr>
  </w:style>
  <w:style w:type="character" w:styleId="932">
    <w:name w:val="Заголовок 2 Знак"/>
    <w:next w:val="932"/>
    <w:link w:val="911"/>
    <w:rPr>
      <w:sz w:val="28"/>
    </w:rPr>
  </w:style>
  <w:style w:type="character" w:styleId="933">
    <w:name w:val="Заголовок 3 Знак"/>
    <w:next w:val="933"/>
    <w:link w:val="912"/>
    <w:rPr>
      <w:b/>
      <w:bCs/>
      <w:color w:val="4f81bd"/>
      <w:sz w:val="22"/>
      <w:szCs w:val="22"/>
    </w:rPr>
  </w:style>
  <w:style w:type="character" w:styleId="934">
    <w:name w:val="Заголовок 5 Знак"/>
    <w:next w:val="934"/>
    <w:link w:val="913"/>
    <w:rPr>
      <w:color w:val="243f60"/>
      <w:sz w:val="22"/>
      <w:szCs w:val="22"/>
    </w:rPr>
  </w:style>
  <w:style w:type="character" w:styleId="935">
    <w:name w:val="Заголовок 7 Знак"/>
    <w:next w:val="935"/>
    <w:link w:val="914"/>
    <w:rPr>
      <w:bCs/>
      <w:sz w:val="24"/>
    </w:rPr>
  </w:style>
  <w:style w:type="character" w:styleId="936">
    <w:name w:val="Гиперссылка"/>
    <w:next w:val="936"/>
    <w:link w:val="909"/>
    <w:uiPriority w:val="99"/>
    <w:unhideWhenUsed/>
    <w:rPr>
      <w:color w:val="0000ff"/>
      <w:u w:val="single"/>
    </w:rPr>
  </w:style>
  <w:style w:type="character" w:styleId="937">
    <w:name w:val="Просмотренная гиперссылка"/>
    <w:next w:val="937"/>
    <w:link w:val="909"/>
    <w:uiPriority w:val="99"/>
    <w:unhideWhenUsed/>
    <w:rPr>
      <w:color w:val="800080"/>
      <w:u w:val="single"/>
    </w:rPr>
  </w:style>
  <w:style w:type="paragraph" w:styleId="938">
    <w:name w:val="Обычный (веб)"/>
    <w:basedOn w:val="909"/>
    <w:next w:val="938"/>
    <w:link w:val="909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939">
    <w:name w:val="Оглавление 1"/>
    <w:basedOn w:val="909"/>
    <w:next w:val="909"/>
    <w:link w:val="909"/>
    <w:uiPriority w:val="39"/>
    <w:unhideWhenUsed/>
    <w:qFormat/>
    <w:pPr>
      <w:spacing w:after="100" w:line="276" w:lineRule="auto"/>
    </w:pPr>
    <w:rPr>
      <w:sz w:val="22"/>
      <w:szCs w:val="22"/>
    </w:rPr>
  </w:style>
  <w:style w:type="paragraph" w:styleId="940">
    <w:name w:val="Оглавление 2"/>
    <w:basedOn w:val="909"/>
    <w:next w:val="909"/>
    <w:link w:val="909"/>
    <w:uiPriority w:val="99"/>
    <w:unhideWhenUsed/>
    <w:qFormat/>
    <w:pPr>
      <w:ind w:left="220"/>
      <w:spacing w:after="100" w:line="276" w:lineRule="auto"/>
    </w:pPr>
    <w:rPr>
      <w:sz w:val="22"/>
      <w:szCs w:val="22"/>
    </w:rPr>
  </w:style>
  <w:style w:type="paragraph" w:styleId="941">
    <w:name w:val="Оглавление 3"/>
    <w:basedOn w:val="909"/>
    <w:next w:val="909"/>
    <w:link w:val="909"/>
    <w:uiPriority w:val="39"/>
    <w:unhideWhenUsed/>
    <w:qFormat/>
    <w:pPr>
      <w:ind w:left="440"/>
      <w:jc w:val="both"/>
      <w:spacing w:after="100" w:line="276" w:lineRule="auto"/>
      <w:tabs>
        <w:tab w:val="left" w:pos="709" w:leader="none"/>
        <w:tab w:val="left" w:pos="851" w:leader="none"/>
        <w:tab w:val="left" w:pos="1134" w:leader="none"/>
        <w:tab w:val="right" w:pos="9344" w:leader="dot"/>
      </w:tabs>
    </w:pPr>
    <w:rPr>
      <w:sz w:val="22"/>
      <w:szCs w:val="22"/>
    </w:rPr>
  </w:style>
  <w:style w:type="paragraph" w:styleId="942">
    <w:name w:val="Текст сноски"/>
    <w:basedOn w:val="909"/>
    <w:next w:val="942"/>
    <w:link w:val="943"/>
    <w:uiPriority w:val="99"/>
    <w:unhideWhenUsed/>
  </w:style>
  <w:style w:type="character" w:styleId="943">
    <w:name w:val="Текст сноски Знак"/>
    <w:basedOn w:val="915"/>
    <w:next w:val="943"/>
    <w:link w:val="942"/>
    <w:uiPriority w:val="99"/>
  </w:style>
  <w:style w:type="character" w:styleId="944">
    <w:name w:val="Текст примечания Знак"/>
    <w:next w:val="944"/>
    <w:link w:val="926"/>
    <w:semiHidden/>
  </w:style>
  <w:style w:type="character" w:styleId="945">
    <w:name w:val="Нижний колонтитул Знак"/>
    <w:next w:val="945"/>
    <w:link w:val="923"/>
  </w:style>
  <w:style w:type="paragraph" w:styleId="946">
    <w:name w:val="Текст концевой сноски"/>
    <w:basedOn w:val="909"/>
    <w:next w:val="946"/>
    <w:link w:val="947"/>
    <w:uiPriority w:val="99"/>
    <w:unhideWhenUsed/>
  </w:style>
  <w:style w:type="character" w:styleId="947">
    <w:name w:val="Текст концевой сноски Знак"/>
    <w:basedOn w:val="915"/>
    <w:next w:val="947"/>
    <w:link w:val="946"/>
    <w:uiPriority w:val="99"/>
  </w:style>
  <w:style w:type="paragraph" w:styleId="948">
    <w:name w:val="Основной текст"/>
    <w:basedOn w:val="909"/>
    <w:next w:val="948"/>
    <w:link w:val="949"/>
    <w:unhideWhenUsed/>
    <w:pPr>
      <w:spacing w:after="120"/>
    </w:pPr>
  </w:style>
  <w:style w:type="character" w:styleId="949">
    <w:name w:val="Основной текст Знак"/>
    <w:basedOn w:val="915"/>
    <w:next w:val="949"/>
    <w:link w:val="948"/>
  </w:style>
  <w:style w:type="character" w:styleId="950">
    <w:name w:val="Основной текст с отступом Знак"/>
    <w:next w:val="950"/>
    <w:link w:val="921"/>
  </w:style>
  <w:style w:type="paragraph" w:styleId="951">
    <w:name w:val="Основной текст 3"/>
    <w:basedOn w:val="909"/>
    <w:next w:val="951"/>
    <w:link w:val="952"/>
    <w:uiPriority w:val="99"/>
    <w:unhideWhenUsed/>
    <w:pPr>
      <w:tabs>
        <w:tab w:val="left" w:pos="2835" w:leader="none"/>
        <w:tab w:val="left" w:pos="3828" w:leader="none"/>
        <w:tab w:val="left" w:pos="4820" w:leader="none"/>
        <w:tab w:val="left" w:pos="5812" w:leader="none"/>
        <w:tab w:val="left" w:pos="6804" w:leader="none"/>
        <w:tab w:val="left" w:pos="7797" w:leader="none"/>
        <w:tab w:val="left" w:pos="8789" w:leader="none"/>
        <w:tab w:val="left" w:pos="9781" w:leader="none"/>
      </w:tabs>
    </w:pPr>
    <w:rPr>
      <w:b/>
      <w:sz w:val="24"/>
      <w:szCs w:val="24"/>
    </w:rPr>
  </w:style>
  <w:style w:type="character" w:styleId="952">
    <w:name w:val="Основной текст 3 Знак"/>
    <w:next w:val="952"/>
    <w:link w:val="951"/>
    <w:uiPriority w:val="99"/>
    <w:rPr>
      <w:b/>
      <w:sz w:val="24"/>
      <w:szCs w:val="24"/>
    </w:rPr>
  </w:style>
  <w:style w:type="paragraph" w:styleId="953">
    <w:name w:val="Схема документа"/>
    <w:basedOn w:val="909"/>
    <w:next w:val="953"/>
    <w:link w:val="954"/>
    <w:uiPriority w:val="99"/>
    <w:unhideWhenUsed/>
    <w:pPr>
      <w:shd w:val="clear" w:color="auto" w:fill="000080"/>
    </w:pPr>
    <w:rPr>
      <w:rFonts w:ascii="Tahoma" w:hAnsi="Tahoma" w:cs="Tahoma"/>
      <w:color w:val="000000"/>
    </w:rPr>
  </w:style>
  <w:style w:type="character" w:styleId="954">
    <w:name w:val="Схема документа Знак"/>
    <w:next w:val="954"/>
    <w:link w:val="953"/>
    <w:uiPriority w:val="99"/>
    <w:rPr>
      <w:rFonts w:ascii="Tahoma" w:hAnsi="Tahoma" w:cs="Tahoma"/>
      <w:color w:val="000000"/>
      <w:shd w:val="clear" w:color="auto" w:fill="000080"/>
    </w:rPr>
  </w:style>
  <w:style w:type="character" w:styleId="955">
    <w:name w:val="Тема примечания Знак"/>
    <w:next w:val="955"/>
    <w:link w:val="927"/>
    <w:semiHidden/>
    <w:rPr>
      <w:b/>
      <w:bCs/>
    </w:rPr>
  </w:style>
  <w:style w:type="character" w:styleId="956">
    <w:name w:val="Текст выноски Знак"/>
    <w:next w:val="956"/>
    <w:link w:val="928"/>
    <w:uiPriority w:val="99"/>
    <w:semiHidden/>
    <w:rPr>
      <w:rFonts w:ascii="Tahoma" w:hAnsi="Tahoma" w:cs="Tahoma"/>
      <w:sz w:val="16"/>
      <w:szCs w:val="16"/>
    </w:rPr>
  </w:style>
  <w:style w:type="paragraph" w:styleId="957">
    <w:name w:val="Рецензия"/>
    <w:next w:val="957"/>
    <w:link w:val="909"/>
    <w:uiPriority w:val="99"/>
    <w:semiHidden/>
    <w:rPr>
      <w:rFonts w:ascii="Calibri" w:hAnsi="Calibri"/>
      <w:sz w:val="22"/>
      <w:szCs w:val="22"/>
      <w:lang w:val="ru-RU" w:eastAsia="ru-RU" w:bidi="ar-SA"/>
    </w:rPr>
  </w:style>
  <w:style w:type="paragraph" w:styleId="958">
    <w:name w:val="Абзац списка"/>
    <w:basedOn w:val="909"/>
    <w:next w:val="958"/>
    <w:link w:val="1028"/>
    <w:uiPriority w:val="99"/>
    <w:qFormat/>
    <w:pPr>
      <w:contextualSpacing/>
      <w:ind w:left="720"/>
      <w:spacing w:after="200" w:line="276" w:lineRule="auto"/>
    </w:pPr>
    <w:rPr>
      <w:sz w:val="22"/>
      <w:szCs w:val="22"/>
    </w:rPr>
  </w:style>
  <w:style w:type="paragraph" w:styleId="959">
    <w:name w:val="Выделенная цитата"/>
    <w:basedOn w:val="909"/>
    <w:next w:val="909"/>
    <w:link w:val="960"/>
    <w:uiPriority w:val="30"/>
    <w:qFormat/>
    <w:pPr>
      <w:ind w:left="936" w:right="936"/>
      <w:spacing w:before="200" w:after="280" w:line="276" w:lineRule="auto"/>
      <w:pBdr>
        <w:bottom w:val="single" w:color="4F81BD" w:sz="4" w:space="4"/>
      </w:pBdr>
    </w:pPr>
    <w:rPr>
      <w:b/>
      <w:bCs/>
      <w:i/>
      <w:iCs/>
      <w:color w:val="4f81bd"/>
      <w:sz w:val="22"/>
      <w:szCs w:val="22"/>
    </w:rPr>
  </w:style>
  <w:style w:type="character" w:styleId="960">
    <w:name w:val="Выделенная цитата Знак"/>
    <w:next w:val="960"/>
    <w:link w:val="959"/>
    <w:uiPriority w:val="30"/>
    <w:rPr>
      <w:b/>
      <w:bCs/>
      <w:i/>
      <w:iCs/>
      <w:color w:val="4f81bd"/>
      <w:sz w:val="22"/>
      <w:szCs w:val="22"/>
    </w:rPr>
  </w:style>
  <w:style w:type="paragraph" w:styleId="961">
    <w:name w:val="Заголовок оглавления"/>
    <w:basedOn w:val="910"/>
    <w:next w:val="909"/>
    <w:link w:val="909"/>
    <w:uiPriority w:val="39"/>
    <w:qFormat/>
    <w:pPr>
      <w:ind w:left="0"/>
      <w:keepLines/>
      <w:spacing w:before="480" w:line="276" w:lineRule="auto"/>
      <w:outlineLvl w:val="9"/>
    </w:pPr>
    <w:rPr>
      <w:b/>
      <w:bCs/>
      <w:color w:val="365f91"/>
      <w:sz w:val="28"/>
      <w:szCs w:val="28"/>
    </w:rPr>
  </w:style>
  <w:style w:type="paragraph" w:styleId="962">
    <w:name w:val="xl65"/>
    <w:basedOn w:val="909"/>
    <w:next w:val="962"/>
    <w:link w:val="9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>
    <w:name w:val="xl66"/>
    <w:basedOn w:val="909"/>
    <w:next w:val="963"/>
    <w:link w:val="909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964">
    <w:name w:val="xl67"/>
    <w:basedOn w:val="909"/>
    <w:next w:val="964"/>
    <w:link w:val="9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965">
    <w:name w:val="xl68"/>
    <w:basedOn w:val="909"/>
    <w:next w:val="965"/>
    <w:link w:val="90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966">
    <w:name w:val="xl69"/>
    <w:basedOn w:val="909"/>
    <w:next w:val="966"/>
    <w:link w:val="9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</w:rPr>
  </w:style>
  <w:style w:type="paragraph" w:styleId="967">
    <w:name w:val="xl70"/>
    <w:basedOn w:val="909"/>
    <w:next w:val="967"/>
    <w:link w:val="9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</w:rPr>
  </w:style>
  <w:style w:type="paragraph" w:styleId="968">
    <w:name w:val="xl71"/>
    <w:basedOn w:val="909"/>
    <w:next w:val="968"/>
    <w:link w:val="909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sz w:val="18"/>
      <w:szCs w:val="18"/>
    </w:rPr>
  </w:style>
  <w:style w:type="paragraph" w:styleId="969">
    <w:name w:val="xl72"/>
    <w:basedOn w:val="909"/>
    <w:next w:val="969"/>
    <w:link w:val="909"/>
    <w:pPr>
      <w:jc w:val="center"/>
      <w:spacing w:before="100" w:beforeAutospacing="1" w:after="100" w:afterAutospacing="1"/>
      <w:pBdr>
        <w:left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970">
    <w:name w:val="xl73"/>
    <w:basedOn w:val="909"/>
    <w:next w:val="970"/>
    <w:link w:val="90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971">
    <w:name w:val="xl74"/>
    <w:basedOn w:val="909"/>
    <w:next w:val="971"/>
    <w:link w:val="909"/>
    <w:pPr>
      <w:jc w:val="center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</w:rPr>
  </w:style>
  <w:style w:type="paragraph" w:styleId="972">
    <w:name w:val="xl75"/>
    <w:basedOn w:val="909"/>
    <w:next w:val="972"/>
    <w:link w:val="90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973">
    <w:name w:val="xl76"/>
    <w:basedOn w:val="909"/>
    <w:next w:val="973"/>
    <w:link w:val="909"/>
    <w:uiPriority w:val="99"/>
    <w:pPr>
      <w:ind w:firstLine="100"/>
      <w:spacing w:before="100" w:beforeAutospacing="1" w:after="100" w:afterAutospacing="1"/>
      <w:pBdr>
        <w:top w:val="single" w:color="000000" w:sz="4" w:space="0"/>
        <w:left w:val="single" w:color="000000" w:sz="4" w:space="9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974">
    <w:name w:val="xl77"/>
    <w:basedOn w:val="909"/>
    <w:next w:val="974"/>
    <w:link w:val="909"/>
    <w:uiPriority w:val="99"/>
    <w:pPr>
      <w:ind w:firstLine="100"/>
      <w:spacing w:before="100" w:beforeAutospacing="1" w:after="100" w:afterAutospacing="1"/>
      <w:pBdr>
        <w:top w:val="single" w:color="000000" w:sz="4" w:space="0"/>
        <w:left w:val="single" w:color="000000" w:sz="4" w:space="9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975">
    <w:name w:val="xl78"/>
    <w:basedOn w:val="909"/>
    <w:next w:val="975"/>
    <w:link w:val="909"/>
    <w:uiPriority w:val="99"/>
    <w:pPr>
      <w:ind w:firstLine="100"/>
      <w:spacing w:before="100" w:beforeAutospacing="1" w:after="100" w:afterAutospacing="1"/>
      <w:pBdr>
        <w:left w:val="single" w:color="000000" w:sz="4" w:space="9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976">
    <w:name w:val="xl79"/>
    <w:basedOn w:val="909"/>
    <w:next w:val="976"/>
    <w:link w:val="909"/>
    <w:uiPriority w:val="99"/>
    <w:pPr>
      <w:jc w:val="center"/>
      <w:spacing w:before="100" w:beforeAutospacing="1" w:after="100" w:afterAutospacing="1"/>
      <w:shd w:val="clear" w:color="auto" w:fill="ffff00"/>
      <w:pBdr>
        <w:left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977">
    <w:name w:val="xl80"/>
    <w:basedOn w:val="909"/>
    <w:next w:val="977"/>
    <w:link w:val="909"/>
    <w:uiPriority w:val="99"/>
    <w:pPr>
      <w:ind w:firstLine="100"/>
      <w:spacing w:before="100" w:beforeAutospacing="1" w:after="100" w:afterAutospacing="1"/>
      <w:shd w:val="clear" w:color="auto" w:fill="ffff00"/>
      <w:pBdr>
        <w:top w:val="single" w:color="000000" w:sz="4" w:space="0"/>
        <w:left w:val="single" w:color="000000" w:sz="4" w:space="9"/>
        <w:bottom w:val="single" w:color="000000" w:sz="4" w:space="0"/>
        <w:right w:val="single" w:color="000000" w:sz="4" w:space="0"/>
      </w:pBdr>
    </w:pPr>
    <w:rPr>
      <w:b/>
      <w:bCs/>
      <w:sz w:val="18"/>
      <w:szCs w:val="18"/>
    </w:rPr>
  </w:style>
  <w:style w:type="paragraph" w:styleId="978">
    <w:name w:val="xl81"/>
    <w:basedOn w:val="909"/>
    <w:next w:val="978"/>
    <w:link w:val="909"/>
    <w:uiPriority w:val="99"/>
    <w:pPr>
      <w:jc w:val="center"/>
      <w:spacing w:before="100" w:beforeAutospacing="1" w:after="100" w:afterAutospacing="1"/>
      <w:shd w:val="clear" w:color="auto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8"/>
      <w:szCs w:val="18"/>
    </w:rPr>
  </w:style>
  <w:style w:type="paragraph" w:styleId="979">
    <w:name w:val="xl82"/>
    <w:basedOn w:val="909"/>
    <w:next w:val="979"/>
    <w:link w:val="909"/>
    <w:uiPriority w:val="99"/>
    <w:pPr>
      <w:spacing w:before="100" w:beforeAutospacing="1" w:after="100" w:afterAutospacing="1"/>
      <w:shd w:val="clear" w:color="auto" w:fill="ffff00"/>
    </w:pPr>
    <w:rPr>
      <w:sz w:val="24"/>
      <w:szCs w:val="24"/>
    </w:rPr>
  </w:style>
  <w:style w:type="paragraph" w:styleId="980">
    <w:name w:val="xl83"/>
    <w:basedOn w:val="909"/>
    <w:next w:val="980"/>
    <w:link w:val="909"/>
    <w:uiPriority w:val="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36"/>
      <w:szCs w:val="36"/>
    </w:rPr>
  </w:style>
  <w:style w:type="paragraph" w:styleId="981">
    <w:name w:val="xl84"/>
    <w:basedOn w:val="909"/>
    <w:next w:val="981"/>
    <w:link w:val="909"/>
    <w:uiPriority w:val="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36"/>
      <w:szCs w:val="36"/>
    </w:rPr>
  </w:style>
  <w:style w:type="paragraph" w:styleId="982">
    <w:name w:val="xl85"/>
    <w:basedOn w:val="909"/>
    <w:next w:val="982"/>
    <w:link w:val="909"/>
    <w:uiPriority w:val="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36"/>
      <w:szCs w:val="36"/>
    </w:rPr>
  </w:style>
  <w:style w:type="paragraph" w:styleId="983">
    <w:name w:val="xl86"/>
    <w:basedOn w:val="909"/>
    <w:next w:val="983"/>
    <w:link w:val="909"/>
    <w:uiPriority w:val="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4">
    <w:name w:val="Базовый"/>
    <w:next w:val="984"/>
    <w:link w:val="909"/>
    <w:uiPriority w:val="99"/>
    <w:pPr>
      <w:spacing w:after="200" w:line="276" w:lineRule="auto"/>
    </w:pPr>
    <w:rPr>
      <w:rFonts w:ascii="Calibri" w:hAnsi="Calibri" w:eastAsia="Lucida Sans Unicode"/>
      <w:color w:val="00000a"/>
      <w:sz w:val="22"/>
      <w:szCs w:val="22"/>
      <w:lang w:val="ru-RU" w:eastAsia="ru-RU" w:bidi="ar-SA"/>
    </w:rPr>
  </w:style>
  <w:style w:type="paragraph" w:styleId="985">
    <w:name w:val="Абзац списка1"/>
    <w:basedOn w:val="909"/>
    <w:next w:val="985"/>
    <w:link w:val="909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986">
    <w:name w:val="Абзац списка2"/>
    <w:basedOn w:val="909"/>
    <w:next w:val="986"/>
    <w:link w:val="909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987">
    <w:name w:val="Заголовок №1_"/>
    <w:next w:val="987"/>
    <w:link w:val="988"/>
    <w:rPr>
      <w:sz w:val="27"/>
      <w:szCs w:val="27"/>
      <w:shd w:val="clear" w:color="auto" w:fill="ffffff"/>
    </w:rPr>
  </w:style>
  <w:style w:type="paragraph" w:styleId="988">
    <w:name w:val="Заголовок №1"/>
    <w:basedOn w:val="909"/>
    <w:next w:val="988"/>
    <w:link w:val="987"/>
    <w:pPr>
      <w:spacing w:before="120" w:after="780" w:line="0" w:lineRule="atLeast"/>
      <w:shd w:val="clear" w:color="auto" w:fill="ffffff"/>
      <w:outlineLvl w:val="0"/>
    </w:pPr>
    <w:rPr>
      <w:sz w:val="27"/>
      <w:szCs w:val="27"/>
    </w:rPr>
  </w:style>
  <w:style w:type="character" w:styleId="989">
    <w:name w:val="Основной текст (5)_"/>
    <w:next w:val="989"/>
    <w:link w:val="990"/>
    <w:rPr>
      <w:sz w:val="26"/>
      <w:szCs w:val="26"/>
      <w:shd w:val="clear" w:color="auto" w:fill="ffffff"/>
    </w:rPr>
  </w:style>
  <w:style w:type="paragraph" w:styleId="990">
    <w:name w:val="Основной текст (5)"/>
    <w:basedOn w:val="909"/>
    <w:next w:val="990"/>
    <w:link w:val="989"/>
    <w:pPr>
      <w:jc w:val="both"/>
      <w:spacing w:before="300" w:after="480" w:line="317" w:lineRule="exact"/>
      <w:shd w:val="clear" w:color="auto" w:fill="ffffff"/>
    </w:pPr>
    <w:rPr>
      <w:sz w:val="26"/>
      <w:szCs w:val="26"/>
    </w:rPr>
  </w:style>
  <w:style w:type="character" w:styleId="991">
    <w:name w:val="Основной текст (3)_"/>
    <w:next w:val="991"/>
    <w:link w:val="992"/>
    <w:rPr>
      <w:sz w:val="23"/>
      <w:szCs w:val="23"/>
      <w:shd w:val="clear" w:color="auto" w:fill="ffffff"/>
    </w:rPr>
  </w:style>
  <w:style w:type="paragraph" w:styleId="992">
    <w:name w:val="Основной текст (3)"/>
    <w:basedOn w:val="909"/>
    <w:next w:val="992"/>
    <w:link w:val="991"/>
    <w:pPr>
      <w:spacing w:line="0" w:lineRule="atLeast"/>
      <w:shd w:val="clear" w:color="auto" w:fill="ffffff"/>
    </w:pPr>
    <w:rPr>
      <w:sz w:val="23"/>
      <w:szCs w:val="23"/>
    </w:rPr>
  </w:style>
  <w:style w:type="character" w:styleId="993">
    <w:name w:val="Основной текст (4)_"/>
    <w:next w:val="993"/>
    <w:link w:val="994"/>
    <w:rPr>
      <w:sz w:val="23"/>
      <w:szCs w:val="23"/>
      <w:shd w:val="clear" w:color="auto" w:fill="ffffff"/>
    </w:rPr>
  </w:style>
  <w:style w:type="paragraph" w:styleId="994">
    <w:name w:val="Основной текст (4)"/>
    <w:basedOn w:val="909"/>
    <w:next w:val="994"/>
    <w:link w:val="993"/>
    <w:pPr>
      <w:ind w:hanging="920"/>
      <w:spacing w:after="300" w:line="278" w:lineRule="exact"/>
      <w:shd w:val="clear" w:color="auto" w:fill="ffffff"/>
    </w:pPr>
    <w:rPr>
      <w:sz w:val="23"/>
      <w:szCs w:val="23"/>
    </w:rPr>
  </w:style>
  <w:style w:type="character" w:styleId="995">
    <w:name w:val="Подпись к таблице_"/>
    <w:next w:val="995"/>
    <w:link w:val="996"/>
    <w:rPr>
      <w:sz w:val="23"/>
      <w:szCs w:val="23"/>
      <w:shd w:val="clear" w:color="auto" w:fill="ffffff"/>
    </w:rPr>
  </w:style>
  <w:style w:type="paragraph" w:styleId="996">
    <w:name w:val="Подпись к таблице"/>
    <w:basedOn w:val="909"/>
    <w:next w:val="996"/>
    <w:link w:val="995"/>
    <w:pPr>
      <w:spacing w:line="0" w:lineRule="atLeast"/>
      <w:shd w:val="clear" w:color="auto" w:fill="ffffff"/>
    </w:pPr>
    <w:rPr>
      <w:sz w:val="23"/>
      <w:szCs w:val="23"/>
    </w:rPr>
  </w:style>
  <w:style w:type="character" w:styleId="997">
    <w:name w:val="Колонтитул_"/>
    <w:next w:val="997"/>
    <w:link w:val="998"/>
    <w:rPr>
      <w:shd w:val="clear" w:color="auto" w:fill="ffffff"/>
    </w:rPr>
  </w:style>
  <w:style w:type="paragraph" w:styleId="998">
    <w:name w:val="Колонтитул"/>
    <w:basedOn w:val="909"/>
    <w:next w:val="998"/>
    <w:link w:val="997"/>
    <w:pPr>
      <w:shd w:val="clear" w:color="auto" w:fill="ffffff"/>
    </w:pPr>
  </w:style>
  <w:style w:type="paragraph" w:styleId="999">
    <w:name w:val="Default"/>
    <w:next w:val="999"/>
    <w:link w:val="909"/>
    <w:pPr>
      <w:widowControl w:val="off"/>
    </w:pPr>
    <w:rPr>
      <w:rFonts w:ascii="Myriad Pro" w:hAnsi="Myriad Pro" w:cs="Myriad Pro"/>
      <w:color w:val="000000"/>
      <w:sz w:val="24"/>
      <w:szCs w:val="24"/>
      <w:lang w:val="ru-RU" w:eastAsia="ru-RU" w:bidi="ar-SA"/>
    </w:rPr>
  </w:style>
  <w:style w:type="paragraph" w:styleId="1000">
    <w:name w:val="font5"/>
    <w:basedOn w:val="909"/>
    <w:next w:val="1000"/>
    <w:link w:val="909"/>
    <w:pPr>
      <w:spacing w:before="100" w:beforeAutospacing="1" w:after="100" w:afterAutospacing="1"/>
    </w:pPr>
    <w:rPr>
      <w:b/>
      <w:bCs/>
      <w:sz w:val="28"/>
      <w:szCs w:val="28"/>
    </w:rPr>
  </w:style>
  <w:style w:type="paragraph" w:styleId="1001">
    <w:name w:val="font6"/>
    <w:basedOn w:val="909"/>
    <w:next w:val="1001"/>
    <w:link w:val="909"/>
    <w:pPr>
      <w:spacing w:before="100" w:beforeAutospacing="1" w:after="100" w:afterAutospacing="1"/>
    </w:pPr>
    <w:rPr>
      <w:sz w:val="28"/>
      <w:szCs w:val="28"/>
    </w:rPr>
  </w:style>
  <w:style w:type="paragraph" w:styleId="1002">
    <w:name w:val="Абзац списка3"/>
    <w:basedOn w:val="909"/>
    <w:next w:val="1002"/>
    <w:link w:val="909"/>
    <w:pPr>
      <w:contextualSpacing/>
      <w:ind w:left="72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1003">
    <w:name w:val="Знак сноски"/>
    <w:next w:val="1003"/>
    <w:link w:val="909"/>
    <w:uiPriority w:val="99"/>
    <w:unhideWhenUsed/>
    <w:rPr>
      <w:vertAlign w:val="superscript"/>
    </w:rPr>
  </w:style>
  <w:style w:type="character" w:styleId="1004">
    <w:name w:val="Знак концевой сноски"/>
    <w:next w:val="1004"/>
    <w:link w:val="909"/>
    <w:uiPriority w:val="99"/>
    <w:unhideWhenUsed/>
    <w:rPr>
      <w:vertAlign w:val="superscript"/>
    </w:rPr>
  </w:style>
  <w:style w:type="character" w:styleId="1005">
    <w:name w:val="Схема документа Знак1"/>
    <w:next w:val="1005"/>
    <w:link w:val="909"/>
    <w:uiPriority w:val="99"/>
    <w:semiHidden/>
    <w:rPr>
      <w:rFonts w:ascii="Tahoma" w:hAnsi="Tahoma" w:cs="Tahoma"/>
      <w:sz w:val="16"/>
      <w:szCs w:val="16"/>
    </w:rPr>
  </w:style>
  <w:style w:type="character" w:styleId="1006">
    <w:name w:val="Верхний колонтитул Знак1"/>
    <w:next w:val="1006"/>
    <w:link w:val="909"/>
    <w:uiPriority w:val="99"/>
    <w:semiHidden/>
  </w:style>
  <w:style w:type="character" w:styleId="1007">
    <w:name w:val="Нижний колонтитул Знак1"/>
    <w:next w:val="1007"/>
    <w:link w:val="909"/>
    <w:uiPriority w:val="99"/>
    <w:semiHidden/>
  </w:style>
  <w:style w:type="character" w:styleId="1008">
    <w:name w:val="Document Map Char"/>
    <w:next w:val="1008"/>
    <w:link w:val="909"/>
    <w:uiPriority w:val="99"/>
    <w:semiHidden/>
    <w:rPr>
      <w:rFonts w:ascii="Tahoma" w:hAnsi="Tahoma" w:cs="Tahoma"/>
      <w:color w:val="000000"/>
      <w:sz w:val="20"/>
      <w:szCs w:val="20"/>
      <w:shd w:val="clear" w:color="auto" w:fill="000080"/>
      <w:lang w:eastAsia="ru-RU"/>
    </w:rPr>
  </w:style>
  <w:style w:type="character" w:styleId="1009">
    <w:name w:val="Header Char"/>
    <w:next w:val="1009"/>
    <w:link w:val="909"/>
    <w:uiPriority w:val="99"/>
    <w:rPr>
      <w:rFonts w:ascii="Times New Roman" w:hAnsi="Times New Roman" w:cs="Times New Roman"/>
    </w:rPr>
  </w:style>
  <w:style w:type="character" w:styleId="1010">
    <w:name w:val="Footer Char"/>
    <w:next w:val="1010"/>
    <w:link w:val="909"/>
    <w:uiPriority w:val="99"/>
    <w:rPr>
      <w:rFonts w:ascii="Times New Roman" w:hAnsi="Times New Roman" w:cs="Times New Roman"/>
    </w:rPr>
  </w:style>
  <w:style w:type="character" w:styleId="1011">
    <w:name w:val="Основной текст (4) + Интервал 2 pt"/>
    <w:next w:val="1011"/>
    <w:link w:val="909"/>
    <w:rPr>
      <w:rFonts w:ascii="Times New Roman" w:hAnsi="Times New Roman" w:eastAsia="Times New Roman" w:cs="Times New Roman"/>
      <w:spacing w:val="50"/>
      <w:sz w:val="23"/>
      <w:szCs w:val="23"/>
      <w:u w:val="none"/>
    </w:rPr>
  </w:style>
  <w:style w:type="character" w:styleId="1012">
    <w:name w:val="Колонтитул + 9 pt"/>
    <w:next w:val="1012"/>
    <w:link w:val="909"/>
    <w:rPr>
      <w:rFonts w:ascii="Times New Roman" w:hAnsi="Times New Roman" w:eastAsia="Times New Roman" w:cs="Times New Roman"/>
      <w:sz w:val="18"/>
      <w:szCs w:val="18"/>
      <w:u w:val="none"/>
    </w:rPr>
  </w:style>
  <w:style w:type="character" w:styleId="1013">
    <w:name w:val="itemtext1"/>
    <w:next w:val="1013"/>
    <w:link w:val="909"/>
    <w:rPr>
      <w:rFonts w:ascii="Segoe UI" w:hAnsi="Segoe UI" w:cs="Segoe UI"/>
      <w:color w:val="000000"/>
      <w:sz w:val="20"/>
      <w:szCs w:val="20"/>
    </w:rPr>
  </w:style>
  <w:style w:type="table" w:styleId="1014">
    <w:name w:val="Сетка таблицы1"/>
    <w:basedOn w:val="916"/>
    <w:next w:val="1014"/>
    <w:link w:val="909"/>
    <w:uiPriority w:val="59"/>
    <w:rPr>
      <w:sz w:val="22"/>
      <w:szCs w:val="22"/>
      <w:lang w:eastAsia="en-US"/>
    </w:rPr>
    <w:tblPr/>
  </w:style>
  <w:style w:type="table" w:styleId="1015">
    <w:name w:val="Сетка таблицы2"/>
    <w:basedOn w:val="916"/>
    <w:next w:val="1015"/>
    <w:link w:val="909"/>
    <w:uiPriority w:val="99"/>
    <w:rPr>
      <w:rFonts w:ascii="Calibri" w:hAnsi="Calibri"/>
    </w:rPr>
    <w:tblPr/>
  </w:style>
  <w:style w:type="table" w:styleId="1016">
    <w:name w:val="Сетка таблицы11"/>
    <w:basedOn w:val="916"/>
    <w:next w:val="1016"/>
    <w:link w:val="909"/>
    <w:uiPriority w:val="59"/>
    <w:rPr>
      <w:rFonts w:ascii="Calibri" w:hAnsi="Calibri"/>
      <w:sz w:val="22"/>
      <w:szCs w:val="22"/>
      <w:lang w:eastAsia="en-US"/>
    </w:rPr>
    <w:tblPr/>
  </w:style>
  <w:style w:type="table" w:styleId="1017">
    <w:name w:val="Сетка таблицы3"/>
    <w:basedOn w:val="916"/>
    <w:next w:val="1017"/>
    <w:link w:val="909"/>
    <w:tblPr/>
  </w:style>
  <w:style w:type="table" w:styleId="1018">
    <w:name w:val="Сетка таблицы4"/>
    <w:basedOn w:val="916"/>
    <w:next w:val="1018"/>
    <w:link w:val="909"/>
    <w:rPr>
      <w:sz w:val="22"/>
      <w:szCs w:val="22"/>
      <w:lang w:eastAsia="en-US"/>
    </w:rPr>
    <w:tblPr/>
  </w:style>
  <w:style w:type="table" w:styleId="1019">
    <w:name w:val="Сетка таблицы5"/>
    <w:basedOn w:val="916"/>
    <w:next w:val="1019"/>
    <w:link w:val="909"/>
    <w:rPr>
      <w:sz w:val="22"/>
      <w:szCs w:val="22"/>
      <w:lang w:eastAsia="en-US"/>
    </w:rPr>
    <w:tblPr/>
  </w:style>
  <w:style w:type="table" w:styleId="1020">
    <w:name w:val="Сетка таблицы6"/>
    <w:basedOn w:val="916"/>
    <w:next w:val="1020"/>
    <w:link w:val="909"/>
    <w:uiPriority w:val="59"/>
    <w:rPr>
      <w:sz w:val="22"/>
      <w:szCs w:val="22"/>
      <w:lang w:eastAsia="en-US"/>
    </w:rPr>
    <w:tblPr/>
  </w:style>
  <w:style w:type="table" w:styleId="1021">
    <w:name w:val="Сетка таблицы7"/>
    <w:basedOn w:val="916"/>
    <w:next w:val="1021"/>
    <w:link w:val="909"/>
    <w:uiPriority w:val="59"/>
    <w:rPr>
      <w:sz w:val="22"/>
      <w:szCs w:val="22"/>
      <w:lang w:eastAsia="en-US"/>
    </w:rPr>
    <w:tblPr/>
  </w:style>
  <w:style w:type="numbering" w:styleId="1022">
    <w:name w:val="Нет списка1"/>
    <w:next w:val="917"/>
    <w:link w:val="909"/>
    <w:uiPriority w:val="99"/>
    <w:semiHidden/>
    <w:unhideWhenUsed/>
  </w:style>
  <w:style w:type="numbering" w:styleId="1023">
    <w:name w:val="Нет списка2"/>
    <w:next w:val="917"/>
    <w:link w:val="909"/>
    <w:uiPriority w:val="99"/>
    <w:semiHidden/>
    <w:unhideWhenUsed/>
  </w:style>
  <w:style w:type="numbering" w:styleId="1024">
    <w:name w:val="Нет списка3"/>
    <w:next w:val="917"/>
    <w:link w:val="909"/>
    <w:uiPriority w:val="99"/>
    <w:semiHidden/>
    <w:unhideWhenUsed/>
  </w:style>
  <w:style w:type="numbering" w:styleId="1025">
    <w:name w:val="Нет списка4"/>
    <w:next w:val="917"/>
    <w:link w:val="909"/>
    <w:uiPriority w:val="99"/>
    <w:semiHidden/>
    <w:unhideWhenUsed/>
  </w:style>
  <w:style w:type="numbering" w:styleId="1026">
    <w:name w:val="Нет списка5"/>
    <w:next w:val="917"/>
    <w:link w:val="909"/>
    <w:uiPriority w:val="99"/>
    <w:semiHidden/>
    <w:unhideWhenUsed/>
  </w:style>
  <w:style w:type="numbering" w:styleId="1027">
    <w:name w:val="Нет списка6"/>
    <w:next w:val="917"/>
    <w:link w:val="909"/>
    <w:uiPriority w:val="99"/>
    <w:semiHidden/>
    <w:unhideWhenUsed/>
  </w:style>
  <w:style w:type="character" w:styleId="1028">
    <w:name w:val="Абзац списка Знак"/>
    <w:next w:val="1028"/>
    <w:link w:val="958"/>
    <w:uiPriority w:val="99"/>
    <w:rPr>
      <w:sz w:val="22"/>
      <w:szCs w:val="22"/>
    </w:rPr>
  </w:style>
  <w:style w:type="paragraph" w:styleId="1029">
    <w:name w:val="Название"/>
    <w:basedOn w:val="909"/>
    <w:next w:val="1029"/>
    <w:link w:val="1030"/>
    <w:qFormat/>
    <w:pPr>
      <w:jc w:val="center"/>
    </w:pPr>
    <w:rPr>
      <w:b/>
      <w:sz w:val="28"/>
      <w:lang w:val="en-US" w:eastAsia="en-US"/>
    </w:rPr>
  </w:style>
  <w:style w:type="character" w:styleId="1030">
    <w:name w:val="Название Знак"/>
    <w:next w:val="1030"/>
    <w:link w:val="1029"/>
    <w:rPr>
      <w:b/>
      <w:sz w:val="28"/>
      <w:lang w:val="en-US" w:eastAsia="en-US"/>
    </w:rPr>
  </w:style>
  <w:style w:type="paragraph" w:styleId="1031">
    <w:name w:val="Text"/>
    <w:basedOn w:val="909"/>
    <w:next w:val="1031"/>
    <w:link w:val="909"/>
    <w:pPr>
      <w:spacing w:after="240"/>
    </w:pPr>
    <w:rPr>
      <w:sz w:val="24"/>
      <w:lang w:val="en-US" w:eastAsia="en-US"/>
    </w:rPr>
  </w:style>
  <w:style w:type="paragraph" w:styleId="1032">
    <w:name w:val="Обыч9631dый"/>
    <w:next w:val="1032"/>
    <w:link w:val="909"/>
    <w:pPr>
      <w:widowControl w:val="off"/>
    </w:pPr>
    <w:rPr>
      <w:lang w:val="ru-RU" w:eastAsia="ru-RU" w:bidi="ar-SA"/>
    </w:rPr>
  </w:style>
  <w:style w:type="numbering" w:styleId="1033">
    <w:name w:val="WWNum2"/>
    <w:basedOn w:val="917"/>
    <w:next w:val="1033"/>
    <w:link w:val="909"/>
    <w:pPr>
      <w:numPr>
        <w:ilvl w:val="0"/>
        <w:numId w:val="15"/>
      </w:numPr>
    </w:pPr>
  </w:style>
  <w:style w:type="paragraph" w:styleId="1034">
    <w:name w:val="Без интервала"/>
    <w:next w:val="1034"/>
    <w:link w:val="909"/>
    <w:uiPriority w:val="1"/>
    <w:qFormat/>
    <w:rPr>
      <w:lang w:val="ru-RU" w:eastAsia="ru-RU" w:bidi="ar-SA"/>
    </w:rPr>
  </w:style>
  <w:style w:type="character" w:styleId="1035">
    <w:name w:val="Номер строки"/>
    <w:next w:val="1035"/>
    <w:link w:val="909"/>
  </w:style>
  <w:style w:type="paragraph" w:styleId="1036">
    <w:name w:val="msonormal"/>
    <w:basedOn w:val="909"/>
    <w:next w:val="1036"/>
    <w:link w:val="909"/>
    <w:pPr>
      <w:spacing w:before="100" w:beforeAutospacing="1" w:after="100" w:afterAutospacing="1"/>
    </w:pPr>
    <w:rPr>
      <w:sz w:val="24"/>
      <w:szCs w:val="24"/>
    </w:rPr>
  </w:style>
  <w:style w:type="character" w:styleId="1037">
    <w:name w:val="Заголовок Знак"/>
    <w:next w:val="1037"/>
    <w:link w:val="909"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1038">
    <w:name w:val="Строгий"/>
    <w:next w:val="1038"/>
    <w:link w:val="909"/>
    <w:uiPriority w:val="22"/>
    <w:qFormat/>
    <w:rPr>
      <w:b/>
      <w:bCs/>
    </w:rPr>
  </w:style>
  <w:style w:type="character" w:styleId="1039" w:default="1">
    <w:name w:val="Default Paragraph Font"/>
    <w:uiPriority w:val="1"/>
    <w:semiHidden/>
    <w:unhideWhenUsed/>
  </w:style>
  <w:style w:type="numbering" w:styleId="1040" w:default="1">
    <w:name w:val="No List"/>
    <w:uiPriority w:val="99"/>
    <w:semiHidden/>
    <w:unhideWhenUsed/>
  </w:style>
  <w:style w:type="table" w:styleId="10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image" Target="media/image2.emf"/><Relationship Id="rId12" Type="http://schemas.openxmlformats.org/officeDocument/2006/relationships/image" Target="media/image3.e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>CCCB.RU</Company>
  <DocSecurity>8</DocSecurity>
  <HyperlinksChanged>false</HyperlinksChanged>
  <ScaleCrop>false</ScaleCrop>
  <SharedDoc>false</SharedDoc>
  <Template>Макет оформления приказа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t.golostenova</dc:creator>
  <cp:revision>7</cp:revision>
  <dcterms:created xsi:type="dcterms:W3CDTF">2026-01-21T07:06:00Z</dcterms:created>
  <dcterms:modified xsi:type="dcterms:W3CDTF">2026-08-06T08:26:36Z</dcterms:modified>
  <cp:version>1048576</cp:version>
</cp:coreProperties>
</file>