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_634"/>
        <w:ind w:left="737" w:right="0" w:firstLine="737"/>
        <w:jc w:val="center"/>
        <w:spacing w:before="113" w:after="0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ПРОТОКОЛ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1_634"/>
        <w:ind w:left="0" w:right="0" w:firstLine="560"/>
        <w:jc w:val="center"/>
        <w:spacing w:before="0" w:after="0"/>
        <w:rPr>
          <w:rFonts w:ascii="Times New Roman" w:hAnsi="Times New Roman" w:cs="Times New Roman"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обоснования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начальной (максимальной) цены государственного контракта 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1_634"/>
        <w:ind w:left="0" w:right="0" w:firstLine="1417"/>
        <w:jc w:val="both"/>
        <w:spacing w:before="0" w:after="0" w:line="264" w:lineRule="auto"/>
        <w:shd w:val="clear" w:color="auto" w:fill="ffffff"/>
        <w:widowControl/>
        <w:rPr>
          <w:rFonts w:ascii="Times New Roman" w:hAnsi="Times New Roman" w:cs="Times New Roman"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(максимальная) цена конт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ракта (далее - НМЦК) определена в соответствии с Федеральным законом от 05.04.2013 № 44-ФЗ "О контрактной системе в сфере закупок товаров, работ, услуг для обеспечения государственных и муниципальных нужд", приказом Минэкономразвития России от 02.10.2013 N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1_634"/>
        <w:ind w:left="0" w:right="0" w:firstLine="1417"/>
        <w:jc w:val="both"/>
        <w:spacing w:before="0" w:after="0" w:line="264" w:lineRule="auto"/>
        <w:shd w:val="clear" w:color="auto" w:fill="ffffff"/>
        <w:widowControl/>
        <w:rPr>
          <w:rFonts w:ascii="Times New Roman" w:hAnsi="Times New Roman" w:cs="Times New Roman"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 определения НМЦК: метод сопоставимых рыночных цен (анализ рынка).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1_634"/>
        <w:ind w:left="0" w:right="0" w:firstLine="1417"/>
        <w:jc w:val="both"/>
        <w:spacing w:before="0" w:after="0" w:line="264" w:lineRule="auto"/>
        <w:shd w:val="clear" w:color="auto" w:fill="ffffff"/>
        <w:widowControl/>
        <w:rPr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Расчет произведен на основании полученных коммерческих предложений от организаций (Таблица).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_634"/>
        <w:ind w:left="0" w:right="0" w:hanging="709"/>
        <w:jc w:val="both"/>
        <w:spacing w:before="0" w:after="0" w:line="264" w:lineRule="auto"/>
        <w:shd w:val="clear" w:color="auto" w:fill="ffffff"/>
        <w:rPr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108" w:type="dxa"/>
          <w:top w:w="28" w:type="dxa"/>
          <w:right w:w="108" w:type="dxa"/>
          <w:bottom w:w="28" w:type="dxa"/>
        </w:tblCellMar>
        <w:tblLook w:val="04A0" w:firstRow="1" w:lastRow="0" w:firstColumn="1" w:lastColumn="0" w:noHBand="0" w:noVBand="1"/>
      </w:tblPr>
      <w:tblGrid>
        <w:gridCol w:w="410"/>
        <w:gridCol w:w="2501"/>
        <w:gridCol w:w="1457"/>
        <w:gridCol w:w="1463"/>
        <w:gridCol w:w="1453"/>
        <w:gridCol w:w="1453"/>
        <w:gridCol w:w="1453"/>
        <w:gridCol w:w="1398"/>
        <w:gridCol w:w="1532"/>
        <w:gridCol w:w="145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" w:type="dxa"/>
            <w:vAlign w:val="center"/>
            <w:vMerge w:val="restart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</w:r>
          </w:p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20"/>
              </w:rPr>
              <w:t xml:space="preserve">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0" w:type="dxa"/>
            <w:vAlign w:val="center"/>
            <w:textDirection w:val="lrTb"/>
            <w:noWrap w:val="false"/>
          </w:tcPr>
          <w:p>
            <w:pPr>
              <w:pStyle w:val="1_635"/>
              <w:jc w:val="center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Таблица цен для определения начальной (максимальной) цены контракта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rHeight w:val="2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" w:type="dxa"/>
            <w:vAlign w:val="center"/>
            <w:vMerge w:val="continue"/>
            <w:textDirection w:val="lrTb"/>
            <w:noWrap w:val="false"/>
          </w:tcPr>
          <w:p>
            <w:pPr>
              <w:pStyle w:val="1_635"/>
              <w:spacing w:before="0" w:after="20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dxa"/>
            <w:vAlign w:val="center"/>
            <w:vMerge w:val="restart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Наименование товара, работы,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услуги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7" w:type="dxa"/>
            <w:vAlign w:val="center"/>
            <w:vMerge w:val="restart"/>
            <w:textDirection w:val="lrTb"/>
            <w:noWrap w:val="false"/>
          </w:tcPr>
          <w:p>
            <w:pPr>
              <w:pStyle w:val="1_635"/>
              <w:ind w:left="0" w:right="0" w:firstLine="0"/>
              <w:spacing w:before="0" w:after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Единицы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</w:p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_635"/>
              <w:ind w:left="0" w:right="0" w:firstLine="0"/>
              <w:spacing w:before="0" w:after="0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3" w:type="dxa"/>
            <w:vAlign w:val="center"/>
            <w:vMerge w:val="restart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Количество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59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Источники информации и цена за</w:t>
              <w:br/>
              <w:t xml:space="preserve">единицу (руб.)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80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Определение однородности и средних</w:t>
              <w:br/>
              <w:t xml:space="preserve">значений цен**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" w:type="dxa"/>
            <w:vAlign w:val="center"/>
            <w:vMerge w:val="continue"/>
            <w:textDirection w:val="lrTb"/>
            <w:noWrap w:val="false"/>
          </w:tcPr>
          <w:p>
            <w:pPr>
              <w:pStyle w:val="1_635"/>
              <w:spacing w:before="0" w:after="200" w:line="264" w:lineRule="auto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dxa"/>
            <w:vAlign w:val="center"/>
            <w:vMerge w:val="continue"/>
            <w:textDirection w:val="lrTb"/>
            <w:noWrap w:val="false"/>
          </w:tcPr>
          <w:p>
            <w:pPr>
              <w:pStyle w:val="1_635"/>
              <w:spacing w:before="0" w:after="20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7" w:type="dxa"/>
            <w:vAlign w:val="center"/>
            <w:vMerge w:val="continue"/>
            <w:textDirection w:val="lrTb"/>
            <w:noWrap w:val="false"/>
          </w:tcPr>
          <w:p>
            <w:pPr>
              <w:pStyle w:val="1_635"/>
              <w:spacing w:before="0" w:after="20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3" w:type="dxa"/>
            <w:vAlign w:val="center"/>
            <w:vMerge w:val="continue"/>
            <w:textDirection w:val="lrTb"/>
            <w:noWrap w:val="false"/>
          </w:tcPr>
          <w:p>
            <w:pPr>
              <w:pStyle w:val="1_635"/>
              <w:spacing w:before="0" w:after="200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vAlign w:val="center"/>
            <w:textDirection w:val="lrTb"/>
            <w:noWrap w:val="false"/>
          </w:tcPr>
          <w:p>
            <w:pPr>
              <w:pStyle w:val="1_635"/>
              <w:ind w:left="0" w:right="0" w:firstLine="0"/>
              <w:spacing w:before="0"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КП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№ 016745/26ОП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</w:p>
          <w:p>
            <w:pPr>
              <w:pStyle w:val="1_635"/>
              <w:jc w:val="both"/>
              <w:spacing w:before="0" w:after="0" w:line="240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от 25.03.2026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vAlign w:val="center"/>
            <w:textDirection w:val="lrTb"/>
            <w:noWrap w:val="false"/>
          </w:tcPr>
          <w:p>
            <w:pPr>
              <w:pStyle w:val="1_635"/>
              <w:ind w:left="0" w:right="0" w:firstLine="0"/>
              <w:spacing w:before="0"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КП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№ 016988/26ОП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</w:p>
          <w:p>
            <w:pPr>
              <w:pStyle w:val="1_635"/>
              <w:jc w:val="both"/>
              <w:spacing w:before="0" w:after="0" w:line="240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от 26.03.2026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vAlign w:val="center"/>
            <w:textDirection w:val="lrTb"/>
            <w:noWrap w:val="false"/>
          </w:tcPr>
          <w:p>
            <w:pPr>
              <w:pStyle w:val="1_635"/>
              <w:ind w:left="0" w:right="0" w:firstLine="0"/>
              <w:spacing w:before="0" w:after="0" w:line="240" w:lineRule="auto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КП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№ 017053/26ОП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</w:p>
          <w:p>
            <w:pPr>
              <w:pStyle w:val="1_635"/>
              <w:jc w:val="both"/>
              <w:spacing w:before="0" w:after="0" w:line="240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от 26.03.2026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dxa"/>
            <w:vAlign w:val="center"/>
            <w:textDirection w:val="lrTb"/>
            <w:noWrap w:val="false"/>
          </w:tcPr>
          <w:p>
            <w:pPr>
              <w:pStyle w:val="1_635"/>
              <w:spacing w:before="0" w:after="0" w:line="238" w:lineRule="atLeast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Коэфф.</w:t>
              <w:br/>
              <w:t xml:space="preserve">вариации</w:t>
              <w:br/>
              <w:t xml:space="preserve">(V),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2" w:type="dxa"/>
            <w:vAlign w:val="center"/>
            <w:textDirection w:val="lrTb"/>
            <w:noWrap w:val="false"/>
          </w:tcPr>
          <w:p>
            <w:pPr>
              <w:pStyle w:val="1_635"/>
              <w:ind w:left="0" w:right="0" w:firstLine="0"/>
              <w:spacing w:before="0" w:after="0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Совокупность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</w:p>
          <w:p>
            <w:pPr>
              <w:pStyle w:val="1_635"/>
              <w:ind w:left="0" w:right="0" w:firstLine="0"/>
              <w:spacing w:before="0" w:after="0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значений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0" w:type="dxa"/>
            <w:vAlign w:val="center"/>
            <w:textDirection w:val="lrTb"/>
            <w:noWrap w:val="false"/>
          </w:tcPr>
          <w:p>
            <w:pPr>
              <w:pStyle w:val="1_635"/>
              <w:ind w:left="0" w:right="0" w:firstLine="0"/>
              <w:spacing w:before="0" w:after="60" w:line="228" w:lineRule="auto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Сред, цена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</w:p>
          <w:p>
            <w:pPr>
              <w:pStyle w:val="1_635"/>
              <w:ind w:left="0" w:right="0" w:firstLine="0"/>
              <w:spacing w:before="0" w:after="60" w:line="228" w:lineRule="auto"/>
              <w:rPr>
                <w:rFonts w:ascii="Times New Roman" w:hAnsi="Times New Roman" w:cs="Times New Roman"/>
                <w:b/>
                <w:color w:val="000000"/>
                <w:sz w:val="16"/>
                <w:szCs w:val="18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за единицу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</w:r>
          </w:p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20"/>
              </w:rPr>
              <w:t xml:space="preserve">(руб.)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10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1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Специальная оценка условий труда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7" w:type="dxa"/>
            <w:vAlign w:val="center"/>
            <w:textDirection w:val="lrTb"/>
            <w:noWrap w:val="false"/>
          </w:tcPr>
          <w:p>
            <w:pPr>
              <w:pStyle w:val="1_635"/>
              <w:ind w:left="0" w:right="0" w:firstLine="0"/>
              <w:spacing w:before="0" w:after="0" w:line="264" w:lineRule="auto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Рабочее место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63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1 800,00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3 000,00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3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610,00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98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25,41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32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Однородная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50" w:type="dxa"/>
            <w:vAlign w:val="center"/>
            <w:textDirection w:val="lrTb"/>
            <w:noWrap w:val="false"/>
          </w:tcPr>
          <w:p>
            <w:pPr>
              <w:pStyle w:val="1_635"/>
              <w:jc w:val="both"/>
              <w:spacing w:before="0" w:after="0" w:line="264" w:lineRule="auto"/>
              <w:shd w:val="clear" w:color="auto" w:fill="ffffff"/>
              <w:rPr>
                <w:sz w:val="20"/>
                <w:szCs w:val="20"/>
              </w:r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</w:pPr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2 370,00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1_634"/>
        <w:jc w:val="both"/>
        <w:spacing w:before="113" w:after="0"/>
        <w:rPr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_634"/>
        <w:ind w:left="283" w:right="253" w:firstLine="567"/>
        <w:jc w:val="both"/>
        <w:spacing w:before="113" w:after="0"/>
        <w:rPr>
          <w:rFonts w:ascii="Times New Roman" w:hAnsi="Times New Roman" w:eastAsia="Times New Roman" w:cs="Times New Roman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Оказание услуги по проведению специальной оценке условий труда 9 р.м.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*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370 руб.=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21330</w:t>
      </w: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руб.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_634"/>
        <w:ind w:left="283" w:right="253" w:firstLine="567"/>
        <w:jc w:val="both"/>
        <w:spacing w:before="0" w:after="0" w:line="264" w:lineRule="auto"/>
        <w:rPr>
          <w:rFonts w:ascii="Times New Roman" w:hAnsi="Times New Roman" w:cs="Times New Roman"/>
          <w:b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color w:val="000000"/>
          <w:sz w:val="24"/>
          <w:szCs w:val="24"/>
        </w:rPr>
      </w:r>
    </w:p>
    <w:p>
      <w:pPr>
        <w:pStyle w:val="1_634"/>
        <w:ind w:left="283" w:right="253" w:firstLine="567"/>
        <w:jc w:val="both"/>
        <w:spacing w:before="0" w:after="0" w:line="264" w:lineRule="auto"/>
        <w:rPr>
          <w:rFonts w:ascii="Times New Roman" w:hAnsi="Times New Roman" w:cs="Times New Roman"/>
          <w:color w:val="000000"/>
          <w:sz w:val="22"/>
          <w:szCs w:val="22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Итого: оказание услуги по проведению специальной оценке условий труда составит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21330,00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руб.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17"/>
        <w:ind w:left="283" w:right="0" w:firstLine="680"/>
        <w:jc w:val="both"/>
        <w:spacing w:before="0" w:after="0" w:line="24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вышеуказанным начальная (максимальная) цена контракта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21330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коп., что не превышает суммы нормативных затрат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5200,00 руб., рассчитанных в соответствии с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риказом Росреестра от 29.12.2014 № П/651 «Об утверждении нормативных затрат на обеспечение деятельности территориальных органов Федеральной службы государственной регистрации, кадастра и картографии» (в редакции Приказа Росреестра от 29.05.2025 № П/0186/25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«О внесении изменений в приказ Росреестра от 29.12.2014 № П/651 «Об утверждении нормативных затрат на обеспечение деятельности территориальных органов Федеральной службы государственной регистрации, кадастра и картографии»).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ind w:left="737" w:right="0" w:firstLine="0"/>
        <w:jc w:val="both"/>
        <w:spacing w:before="0" w:after="0" w:line="24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ind w:left="737" w:right="0" w:firstLine="0"/>
        <w:jc w:val="both"/>
        <w:spacing w:before="0" w:after="0" w:line="24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Способ определения поставщика (подрядчика, исполнителя):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Закупки в соответствии с п.4 ч.1 ст.93 Федерального закона №44-ФЗ от 05.04.2013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7"/>
        <w:ind w:left="737" w:right="0" w:firstLine="0"/>
        <w:jc w:val="both"/>
        <w:spacing w:before="0" w:after="0" w:line="240" w:lineRule="auto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6838" w:h="11906" w:orient="landscape"/>
      <w:pgMar w:top="1701" w:right="1134" w:bottom="850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  <w:style w:type="paragraph" w:styleId="1_634" w:customStyle="1">
    <w:name w:val="Основной текст"/>
    <w:basedOn w:val="838"/>
    <w:next w:val="903"/>
    <w:link w:val="83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tLeast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1_635" w:customStyle="1">
    <w:name w:val="Содержимое таблицы"/>
    <w:basedOn w:val="838"/>
    <w:next w:val="914"/>
    <w:link w:val="83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2026-04-22T05:59:58Z</dcterms:modified>
</cp:coreProperties>
</file>