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0926" w14:textId="54853CCD" w:rsidR="00FF7D52" w:rsidRDefault="00DA0188" w:rsidP="00510D78">
      <w:pPr>
        <w:jc w:val="right"/>
        <w:outlineLvl w:val="0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3F3F23FD" w14:textId="65A8A6C0" w:rsidR="00AB7244" w:rsidRDefault="009F5D66">
      <w:pPr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 </w:t>
      </w:r>
    </w:p>
    <w:p w14:paraId="541DD662" w14:textId="03D743D3" w:rsidR="00E54C76" w:rsidRDefault="00510D78" w:rsidP="00E54C76">
      <w:pPr>
        <w:widowControl w:val="0"/>
        <w:tabs>
          <w:tab w:val="left" w:pos="1134"/>
        </w:tabs>
        <w:jc w:val="center"/>
        <w:outlineLvl w:val="0"/>
        <w:rPr>
          <w:b/>
          <w:color w:val="auto"/>
        </w:rPr>
      </w:pPr>
      <w:r>
        <w:rPr>
          <w:b/>
          <w:color w:val="auto"/>
        </w:rPr>
        <w:t>Техническое задание</w:t>
      </w:r>
    </w:p>
    <w:p w14:paraId="7451B830" w14:textId="7E13EEAA" w:rsidR="00F32299" w:rsidRDefault="00F32299" w:rsidP="00E54C76">
      <w:pPr>
        <w:widowControl w:val="0"/>
        <w:tabs>
          <w:tab w:val="left" w:pos="1134"/>
        </w:tabs>
        <w:jc w:val="center"/>
        <w:outlineLvl w:val="0"/>
        <w:rPr>
          <w:b/>
          <w:color w:val="auto"/>
        </w:rPr>
      </w:pPr>
    </w:p>
    <w:p w14:paraId="5B7B4B95" w14:textId="3029B413" w:rsidR="00F32299" w:rsidRPr="00A562BF" w:rsidRDefault="00F32299" w:rsidP="00F32299">
      <w:pPr>
        <w:tabs>
          <w:tab w:val="left" w:pos="851"/>
        </w:tabs>
        <w:ind w:firstLine="426"/>
        <w:jc w:val="both"/>
      </w:pPr>
      <w:r w:rsidRPr="00A562BF">
        <w:t>1.</w:t>
      </w:r>
      <w:r w:rsidRPr="00A562BF">
        <w:tab/>
        <w:t>Товар должен быть новым, не бывшим в употреблении, в ремонте, в том числе, который не был восстановлен, у которого не была осуществлена замена составных частей, не были восстан</w:t>
      </w:r>
      <w:r w:rsidR="00124AF1">
        <w:t>овлены потребительские свойств</w:t>
      </w:r>
      <w:r w:rsidR="00124AF1" w:rsidRPr="00124AF1">
        <w:t>а</w:t>
      </w:r>
      <w:r w:rsidRPr="00124AF1">
        <w:t>.</w:t>
      </w:r>
    </w:p>
    <w:p w14:paraId="240F7849" w14:textId="2CB13569" w:rsidR="00F32299" w:rsidRPr="00A562BF" w:rsidRDefault="00F32299" w:rsidP="00F32299">
      <w:pPr>
        <w:tabs>
          <w:tab w:val="left" w:pos="851"/>
        </w:tabs>
        <w:ind w:firstLine="426"/>
        <w:jc w:val="both"/>
      </w:pPr>
      <w:r>
        <w:t>2</w:t>
      </w:r>
      <w:r w:rsidRPr="00A562BF">
        <w:t>.</w:t>
      </w:r>
      <w:r w:rsidRPr="00A562BF">
        <w:tab/>
        <w:t>Поставщик должен обеспечить доставку Товара (в штатной упаковке) на склад Заказчика.</w:t>
      </w:r>
    </w:p>
    <w:p w14:paraId="0086443E" w14:textId="021B6CD5" w:rsidR="00F32299" w:rsidRDefault="00F32299" w:rsidP="00F32299">
      <w:pPr>
        <w:tabs>
          <w:tab w:val="left" w:pos="851"/>
        </w:tabs>
        <w:ind w:firstLine="426"/>
        <w:jc w:val="both"/>
      </w:pPr>
      <w:r>
        <w:t>3</w:t>
      </w:r>
      <w:r w:rsidRPr="00A562BF">
        <w:t>.</w:t>
      </w:r>
      <w:r w:rsidRPr="00A562BF">
        <w:tab/>
        <w:t>Гарантийный срок товара – не менее 12 (двенадцати) месяцев с даты отгрузки со склада Поставщика.</w:t>
      </w:r>
    </w:p>
    <w:p w14:paraId="6E2A76F7" w14:textId="77777777" w:rsidR="001352ED" w:rsidRPr="002E3243" w:rsidRDefault="001352ED" w:rsidP="00F32299">
      <w:pPr>
        <w:tabs>
          <w:tab w:val="left" w:pos="851"/>
        </w:tabs>
        <w:ind w:firstLine="426"/>
        <w:jc w:val="both"/>
        <w:rPr>
          <w:color w:val="FF0000"/>
        </w:rPr>
      </w:pPr>
    </w:p>
    <w:p w14:paraId="17B640C6" w14:textId="0B0D681D" w:rsidR="00E54C76" w:rsidRDefault="00E54C76" w:rsidP="00E54C76">
      <w:pPr>
        <w:widowControl w:val="0"/>
        <w:tabs>
          <w:tab w:val="left" w:pos="1134"/>
        </w:tabs>
        <w:jc w:val="both"/>
        <w:rPr>
          <w:color w:val="auto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670"/>
        <w:gridCol w:w="992"/>
      </w:tblGrid>
      <w:tr w:rsidR="00510D78" w:rsidRPr="00DE0AD8" w14:paraId="16C37530" w14:textId="77777777" w:rsidTr="00F56593">
        <w:trPr>
          <w:trHeight w:val="7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C646FA" w14:textId="77777777" w:rsidR="00510D78" w:rsidRPr="00DE0AD8" w:rsidRDefault="00510D78" w:rsidP="00BD7F7F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 w:rsidRPr="00DE0AD8">
              <w:rPr>
                <w:b/>
                <w:color w:val="auto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DA94E" w14:textId="77777777" w:rsidR="00510D78" w:rsidRPr="00DE0AD8" w:rsidRDefault="00510D78" w:rsidP="002F2167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 w:rsidRPr="00DE0AD8">
              <w:rPr>
                <w:b/>
                <w:color w:val="auto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4EFEC" w14:textId="77777777" w:rsidR="00510D78" w:rsidRPr="00DE0AD8" w:rsidRDefault="00510D78" w:rsidP="00510D78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21BA" w14:textId="77777777" w:rsidR="00510D78" w:rsidRPr="00DE0AD8" w:rsidRDefault="00510D78" w:rsidP="00BD7F7F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 w:rsidRPr="00DE0AD8">
              <w:rPr>
                <w:b/>
                <w:color w:val="auto"/>
              </w:rPr>
              <w:t>Кол-во</w:t>
            </w:r>
          </w:p>
          <w:p w14:paraId="188BB31D" w14:textId="77777777" w:rsidR="00510D78" w:rsidRPr="00DE0AD8" w:rsidRDefault="00510D78" w:rsidP="00BD7F7F">
            <w:pPr>
              <w:widowControl w:val="0"/>
              <w:tabs>
                <w:tab w:val="left" w:pos="240"/>
              </w:tabs>
              <w:rPr>
                <w:b/>
                <w:color w:val="auto"/>
              </w:rPr>
            </w:pPr>
          </w:p>
        </w:tc>
      </w:tr>
      <w:tr w:rsidR="003D70BC" w:rsidRPr="00304110" w14:paraId="11AAC158" w14:textId="77777777" w:rsidTr="00290644">
        <w:trPr>
          <w:trHeight w:val="1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DAC6C" w14:textId="1AF7066B" w:rsidR="003D70BC" w:rsidRPr="00DE0AD8" w:rsidRDefault="003D70BC" w:rsidP="003D70BC">
            <w:pPr>
              <w:widowControl w:val="0"/>
              <w:tabs>
                <w:tab w:val="left" w:pos="1134"/>
              </w:tabs>
              <w:jc w:val="both"/>
              <w:rPr>
                <w:color w:val="auto"/>
              </w:rPr>
            </w:pPr>
            <w:bookmarkStart w:id="0" w:name="_Hlk212627083"/>
            <w:r>
              <w:rPr>
                <w:color w:val="auto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AA2A" w14:textId="2DD5797D" w:rsidR="003D70BC" w:rsidRPr="00F32299" w:rsidRDefault="00124AF1" w:rsidP="00F32299">
            <w:pPr>
              <w:shd w:val="clear" w:color="auto" w:fill="FFFFFF"/>
              <w:rPr>
                <w:szCs w:val="24"/>
              </w:rPr>
            </w:pPr>
            <w:r w:rsidRPr="00124AF1">
              <w:rPr>
                <w:szCs w:val="24"/>
              </w:rPr>
              <w:t>Линейный модуль HIWIN KK5002P200A1F000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6C22D" w14:textId="33E353BE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Бренд: HIWIN</w:t>
            </w:r>
          </w:p>
          <w:p w14:paraId="454983CC" w14:textId="331075E4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Вид: Модули линейного перемещения</w:t>
            </w:r>
          </w:p>
          <w:p w14:paraId="56BDA523" w14:textId="19878BD0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Тип: Модуль KK</w:t>
            </w:r>
          </w:p>
          <w:p w14:paraId="591EDCB4" w14:textId="000B7831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Рабочий ход: 120 мм</w:t>
            </w:r>
          </w:p>
          <w:p w14:paraId="4B8B1DCE" w14:textId="530EAA2B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Фланец: NEMA 17 (42мм)</w:t>
            </w:r>
          </w:p>
          <w:p w14:paraId="22093858" w14:textId="74A32091" w:rsid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Диаметр вала: 5 мм</w:t>
            </w:r>
          </w:p>
          <w:p w14:paraId="6B3BD07E" w14:textId="5A06D61F" w:rsid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Шаг винта (ШВП): 2 мм.</w:t>
            </w:r>
          </w:p>
          <w:p w14:paraId="53514E2F" w14:textId="3EDD0E96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 xml:space="preserve">Класс точности: </w:t>
            </w:r>
            <w:proofErr w:type="gramStart"/>
            <w:r w:rsidRPr="00124AF1">
              <w:rPr>
                <w:szCs w:val="14"/>
              </w:rPr>
              <w:t>Прецизионный</w:t>
            </w:r>
            <w:proofErr w:type="gramEnd"/>
            <w:r w:rsidRPr="00124AF1">
              <w:rPr>
                <w:szCs w:val="14"/>
              </w:rPr>
              <w:t xml:space="preserve"> (P) — обеспечивает высокую точность позиционирования</w:t>
            </w:r>
            <w:bookmarkStart w:id="1" w:name="_GoBack"/>
            <w:bookmarkEnd w:id="1"/>
          </w:p>
          <w:p w14:paraId="1F38E322" w14:textId="31254633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 xml:space="preserve">Вес, </w:t>
            </w:r>
            <w:proofErr w:type="gramStart"/>
            <w:r w:rsidRPr="00124AF1">
              <w:rPr>
                <w:szCs w:val="14"/>
              </w:rPr>
              <w:t>кг</w:t>
            </w:r>
            <w:proofErr w:type="gramEnd"/>
            <w:r w:rsidRPr="00124AF1">
              <w:rPr>
                <w:szCs w:val="14"/>
              </w:rPr>
              <w:t>: 1.2</w:t>
            </w:r>
          </w:p>
          <w:p w14:paraId="78D7E4B7" w14:textId="7E02DF2D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Габаритные размеры (</w:t>
            </w:r>
            <w:proofErr w:type="spellStart"/>
            <w:r w:rsidRPr="00124AF1">
              <w:rPr>
                <w:szCs w:val="14"/>
              </w:rPr>
              <w:t>ДхШхВ</w:t>
            </w:r>
            <w:proofErr w:type="spellEnd"/>
            <w:r w:rsidRPr="00124AF1">
              <w:rPr>
                <w:szCs w:val="14"/>
              </w:rPr>
              <w:t>), мм: 270x50x26</w:t>
            </w:r>
          </w:p>
          <w:p w14:paraId="56A0AEC1" w14:textId="09E825C1" w:rsidR="00124AF1" w:rsidRP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Скорость перемещений:</w:t>
            </w:r>
            <w:r>
              <w:rPr>
                <w:szCs w:val="14"/>
              </w:rPr>
              <w:t xml:space="preserve"> </w:t>
            </w:r>
            <w:r w:rsidRPr="00124AF1">
              <w:rPr>
                <w:szCs w:val="14"/>
              </w:rPr>
              <w:t>16200 мм/мин</w:t>
            </w:r>
          </w:p>
          <w:p w14:paraId="26811957" w14:textId="29FD0880" w:rsidR="00124AF1" w:rsidRDefault="00124AF1" w:rsidP="00124AF1">
            <w:pPr>
              <w:jc w:val="both"/>
              <w:rPr>
                <w:szCs w:val="14"/>
              </w:rPr>
            </w:pPr>
            <w:r w:rsidRPr="00124AF1">
              <w:rPr>
                <w:szCs w:val="14"/>
              </w:rPr>
              <w:t>Максимальная нагрузка: 213 кг</w:t>
            </w:r>
          </w:p>
          <w:p w14:paraId="41B5DE85" w14:textId="77777777" w:rsidR="00124AF1" w:rsidRDefault="00124AF1" w:rsidP="00124AF1">
            <w:pPr>
              <w:jc w:val="both"/>
              <w:rPr>
                <w:szCs w:val="14"/>
              </w:rPr>
            </w:pPr>
          </w:p>
          <w:p w14:paraId="79266BD4" w14:textId="77777777" w:rsidR="00124AF1" w:rsidRDefault="00124AF1" w:rsidP="00124AF1">
            <w:pPr>
              <w:jc w:val="both"/>
              <w:rPr>
                <w:szCs w:val="14"/>
              </w:rPr>
            </w:pPr>
          </w:p>
          <w:p w14:paraId="12BE3843" w14:textId="77777777" w:rsidR="00124AF1" w:rsidRDefault="00124AF1" w:rsidP="00124AF1">
            <w:pPr>
              <w:jc w:val="both"/>
              <w:rPr>
                <w:szCs w:val="14"/>
              </w:rPr>
            </w:pPr>
            <w:r w:rsidRPr="00355C9A">
              <w:rPr>
                <w:szCs w:val="14"/>
              </w:rPr>
              <w:t xml:space="preserve">Прецизионный модуль линейного перемещения </w:t>
            </w:r>
            <w:r>
              <w:rPr>
                <w:szCs w:val="14"/>
              </w:rPr>
              <w:t>с</w:t>
            </w:r>
            <w:r w:rsidRPr="00355C9A">
              <w:rPr>
                <w:szCs w:val="14"/>
              </w:rPr>
              <w:t xml:space="preserve"> U-образной направляющей, каретк</w:t>
            </w:r>
            <w:r>
              <w:rPr>
                <w:szCs w:val="14"/>
              </w:rPr>
              <w:t>ой</w:t>
            </w:r>
            <w:r w:rsidRPr="00355C9A">
              <w:rPr>
                <w:szCs w:val="14"/>
              </w:rPr>
              <w:t xml:space="preserve"> и </w:t>
            </w:r>
            <w:proofErr w:type="spellStart"/>
            <w:r w:rsidRPr="00355C9A">
              <w:rPr>
                <w:szCs w:val="14"/>
              </w:rPr>
              <w:t>шарико</w:t>
            </w:r>
            <w:proofErr w:type="spellEnd"/>
            <w:r w:rsidRPr="00355C9A">
              <w:rPr>
                <w:szCs w:val="14"/>
              </w:rPr>
              <w:t>-винтовой передач</w:t>
            </w:r>
            <w:r>
              <w:rPr>
                <w:szCs w:val="14"/>
              </w:rPr>
              <w:t>ей</w:t>
            </w:r>
            <w:r w:rsidRPr="00355C9A">
              <w:rPr>
                <w:szCs w:val="14"/>
              </w:rPr>
              <w:t>. Ширина 50мм, шаг винта ШВП 2мм, длина рельса 200мм, рабочий ход 120мм, вал под муфту 5мм.</w:t>
            </w:r>
          </w:p>
          <w:p w14:paraId="4878DB8F" w14:textId="08F1F89E" w:rsidR="00124AF1" w:rsidRPr="00474C53" w:rsidRDefault="00124AF1" w:rsidP="00F3229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BCFAB" w14:textId="79E0CD8E" w:rsidR="003D70BC" w:rsidRDefault="005327DB" w:rsidP="003D70BC">
            <w:pPr>
              <w:widowControl w:val="0"/>
              <w:tabs>
                <w:tab w:val="left" w:pos="1134"/>
              </w:tabs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F32299">
              <w:rPr>
                <w:color w:val="auto"/>
              </w:rPr>
              <w:t xml:space="preserve"> шт.</w:t>
            </w:r>
          </w:p>
        </w:tc>
      </w:tr>
      <w:bookmarkEnd w:id="0"/>
    </w:tbl>
    <w:p w14:paraId="55E0D14B" w14:textId="2CCA1DDD" w:rsidR="00005AB8" w:rsidRDefault="00005AB8" w:rsidP="00E54C76">
      <w:pPr>
        <w:widowControl w:val="0"/>
        <w:tabs>
          <w:tab w:val="left" w:pos="1134"/>
        </w:tabs>
        <w:ind w:left="786"/>
        <w:contextualSpacing/>
        <w:jc w:val="both"/>
        <w:rPr>
          <w:color w:val="auto"/>
        </w:rPr>
      </w:pPr>
    </w:p>
    <w:p w14:paraId="4FC2692F" w14:textId="128CC66B" w:rsidR="00005AB8" w:rsidRDefault="00005AB8" w:rsidP="002E7FCD">
      <w:pPr>
        <w:widowControl w:val="0"/>
        <w:tabs>
          <w:tab w:val="left" w:pos="1134"/>
        </w:tabs>
        <w:ind w:left="786"/>
        <w:contextualSpacing/>
        <w:jc w:val="right"/>
        <w:rPr>
          <w:color w:val="auto"/>
        </w:rPr>
      </w:pPr>
    </w:p>
    <w:sectPr w:rsidR="00005AB8" w:rsidSect="002E7FCD">
      <w:pgSz w:w="11906" w:h="16838"/>
      <w:pgMar w:top="709" w:right="991" w:bottom="539" w:left="1276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7DFAC" w14:textId="77777777" w:rsidR="00B55DD6" w:rsidRDefault="00B55DD6" w:rsidP="0043316E">
      <w:r>
        <w:separator/>
      </w:r>
    </w:p>
  </w:endnote>
  <w:endnote w:type="continuationSeparator" w:id="0">
    <w:p w14:paraId="317BBE6D" w14:textId="77777777" w:rsidR="00B55DD6" w:rsidRDefault="00B55DD6" w:rsidP="0043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6947F" w14:textId="77777777" w:rsidR="00B55DD6" w:rsidRDefault="00B55DD6" w:rsidP="0043316E">
      <w:r>
        <w:separator/>
      </w:r>
    </w:p>
  </w:footnote>
  <w:footnote w:type="continuationSeparator" w:id="0">
    <w:p w14:paraId="742E29EA" w14:textId="77777777" w:rsidR="00B55DD6" w:rsidRDefault="00B55DD6" w:rsidP="0043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6A06"/>
    <w:multiLevelType w:val="multilevel"/>
    <w:tmpl w:val="50A438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44"/>
    <w:rsid w:val="00005AB8"/>
    <w:rsid w:val="00005B9B"/>
    <w:rsid w:val="00013296"/>
    <w:rsid w:val="0003211A"/>
    <w:rsid w:val="00070118"/>
    <w:rsid w:val="00074A9F"/>
    <w:rsid w:val="00083B95"/>
    <w:rsid w:val="00097902"/>
    <w:rsid w:val="000C0FBB"/>
    <w:rsid w:val="000C1ED6"/>
    <w:rsid w:val="000D5D0B"/>
    <w:rsid w:val="000E3375"/>
    <w:rsid w:val="00100E2E"/>
    <w:rsid w:val="00104910"/>
    <w:rsid w:val="00107AFB"/>
    <w:rsid w:val="00124AF1"/>
    <w:rsid w:val="001352ED"/>
    <w:rsid w:val="0014509D"/>
    <w:rsid w:val="001458AC"/>
    <w:rsid w:val="001551BE"/>
    <w:rsid w:val="00175F00"/>
    <w:rsid w:val="001A14BE"/>
    <w:rsid w:val="001B62DA"/>
    <w:rsid w:val="001D764F"/>
    <w:rsid w:val="001E4779"/>
    <w:rsid w:val="001F35D8"/>
    <w:rsid w:val="001F4EAB"/>
    <w:rsid w:val="00200950"/>
    <w:rsid w:val="002015C7"/>
    <w:rsid w:val="002075CC"/>
    <w:rsid w:val="0022244B"/>
    <w:rsid w:val="00271419"/>
    <w:rsid w:val="0027432E"/>
    <w:rsid w:val="00277CEF"/>
    <w:rsid w:val="00284F21"/>
    <w:rsid w:val="00290644"/>
    <w:rsid w:val="002A6ACB"/>
    <w:rsid w:val="002D0F7F"/>
    <w:rsid w:val="002E3243"/>
    <w:rsid w:val="002E7FCD"/>
    <w:rsid w:val="002F2167"/>
    <w:rsid w:val="002F25F0"/>
    <w:rsid w:val="002F2DFE"/>
    <w:rsid w:val="0030154B"/>
    <w:rsid w:val="00314600"/>
    <w:rsid w:val="003159DD"/>
    <w:rsid w:val="003367B3"/>
    <w:rsid w:val="0034353D"/>
    <w:rsid w:val="00351F86"/>
    <w:rsid w:val="00354EF4"/>
    <w:rsid w:val="003659C2"/>
    <w:rsid w:val="0038069D"/>
    <w:rsid w:val="00390412"/>
    <w:rsid w:val="003A2C4C"/>
    <w:rsid w:val="003A6600"/>
    <w:rsid w:val="003B248B"/>
    <w:rsid w:val="003C62A9"/>
    <w:rsid w:val="003C7C4E"/>
    <w:rsid w:val="003D70BC"/>
    <w:rsid w:val="003E05C9"/>
    <w:rsid w:val="003E29A2"/>
    <w:rsid w:val="00403B0C"/>
    <w:rsid w:val="0041128F"/>
    <w:rsid w:val="00413C80"/>
    <w:rsid w:val="00422020"/>
    <w:rsid w:val="00424974"/>
    <w:rsid w:val="00427158"/>
    <w:rsid w:val="00427EFE"/>
    <w:rsid w:val="0043316E"/>
    <w:rsid w:val="00440CAA"/>
    <w:rsid w:val="00441DE0"/>
    <w:rsid w:val="00450302"/>
    <w:rsid w:val="0045737A"/>
    <w:rsid w:val="00464085"/>
    <w:rsid w:val="004641ED"/>
    <w:rsid w:val="00474622"/>
    <w:rsid w:val="00474C53"/>
    <w:rsid w:val="00477109"/>
    <w:rsid w:val="004848A8"/>
    <w:rsid w:val="00486EF9"/>
    <w:rsid w:val="004C24DC"/>
    <w:rsid w:val="004E49C4"/>
    <w:rsid w:val="005006D8"/>
    <w:rsid w:val="00510D78"/>
    <w:rsid w:val="00531477"/>
    <w:rsid w:val="005327DB"/>
    <w:rsid w:val="00552A11"/>
    <w:rsid w:val="00574473"/>
    <w:rsid w:val="005A3BF9"/>
    <w:rsid w:val="005B3036"/>
    <w:rsid w:val="0062467B"/>
    <w:rsid w:val="00657CE9"/>
    <w:rsid w:val="006713BB"/>
    <w:rsid w:val="0067265B"/>
    <w:rsid w:val="006A77CA"/>
    <w:rsid w:val="006B6CCF"/>
    <w:rsid w:val="006D3DFF"/>
    <w:rsid w:val="006E47E0"/>
    <w:rsid w:val="00705CD8"/>
    <w:rsid w:val="00717371"/>
    <w:rsid w:val="007216CF"/>
    <w:rsid w:val="007316E4"/>
    <w:rsid w:val="00737244"/>
    <w:rsid w:val="0074223C"/>
    <w:rsid w:val="00747DCC"/>
    <w:rsid w:val="00771822"/>
    <w:rsid w:val="0077669D"/>
    <w:rsid w:val="007775D8"/>
    <w:rsid w:val="007934E4"/>
    <w:rsid w:val="007B265A"/>
    <w:rsid w:val="007D0E86"/>
    <w:rsid w:val="007D5E50"/>
    <w:rsid w:val="007F012D"/>
    <w:rsid w:val="00803ED6"/>
    <w:rsid w:val="008277B0"/>
    <w:rsid w:val="00834191"/>
    <w:rsid w:val="008456E0"/>
    <w:rsid w:val="00872243"/>
    <w:rsid w:val="00874702"/>
    <w:rsid w:val="0088721E"/>
    <w:rsid w:val="00887CAC"/>
    <w:rsid w:val="008905E1"/>
    <w:rsid w:val="00892DD1"/>
    <w:rsid w:val="008D0B08"/>
    <w:rsid w:val="008E3375"/>
    <w:rsid w:val="008E7C21"/>
    <w:rsid w:val="00906621"/>
    <w:rsid w:val="00944288"/>
    <w:rsid w:val="00963FB2"/>
    <w:rsid w:val="00975C18"/>
    <w:rsid w:val="00983B86"/>
    <w:rsid w:val="009A40C1"/>
    <w:rsid w:val="009A422F"/>
    <w:rsid w:val="009C3C88"/>
    <w:rsid w:val="009C4C20"/>
    <w:rsid w:val="009E36F1"/>
    <w:rsid w:val="009F5D66"/>
    <w:rsid w:val="009F7393"/>
    <w:rsid w:val="00A2046E"/>
    <w:rsid w:val="00A3182D"/>
    <w:rsid w:val="00A54C21"/>
    <w:rsid w:val="00A55BCB"/>
    <w:rsid w:val="00A809EF"/>
    <w:rsid w:val="00A84069"/>
    <w:rsid w:val="00A91945"/>
    <w:rsid w:val="00A93888"/>
    <w:rsid w:val="00AA0980"/>
    <w:rsid w:val="00AA17CB"/>
    <w:rsid w:val="00AA4599"/>
    <w:rsid w:val="00AB7244"/>
    <w:rsid w:val="00AC0D8F"/>
    <w:rsid w:val="00AC56DC"/>
    <w:rsid w:val="00AE2BFD"/>
    <w:rsid w:val="00AE64AD"/>
    <w:rsid w:val="00B12DB6"/>
    <w:rsid w:val="00B32C53"/>
    <w:rsid w:val="00B44C5A"/>
    <w:rsid w:val="00B55DD6"/>
    <w:rsid w:val="00B6591A"/>
    <w:rsid w:val="00B83AC2"/>
    <w:rsid w:val="00B850B7"/>
    <w:rsid w:val="00BA23D4"/>
    <w:rsid w:val="00BC5404"/>
    <w:rsid w:val="00BD7F7F"/>
    <w:rsid w:val="00C0151C"/>
    <w:rsid w:val="00C577E4"/>
    <w:rsid w:val="00C72346"/>
    <w:rsid w:val="00C7307C"/>
    <w:rsid w:val="00C84A2A"/>
    <w:rsid w:val="00C86BC5"/>
    <w:rsid w:val="00C9020D"/>
    <w:rsid w:val="00C94253"/>
    <w:rsid w:val="00CA1082"/>
    <w:rsid w:val="00CA7043"/>
    <w:rsid w:val="00CB27AA"/>
    <w:rsid w:val="00CB7A25"/>
    <w:rsid w:val="00CC185B"/>
    <w:rsid w:val="00CD0836"/>
    <w:rsid w:val="00CE7C1D"/>
    <w:rsid w:val="00CF090C"/>
    <w:rsid w:val="00CF1117"/>
    <w:rsid w:val="00D01086"/>
    <w:rsid w:val="00D03A36"/>
    <w:rsid w:val="00D1024B"/>
    <w:rsid w:val="00D2790F"/>
    <w:rsid w:val="00D41DB5"/>
    <w:rsid w:val="00D4254D"/>
    <w:rsid w:val="00D52B51"/>
    <w:rsid w:val="00D61FFD"/>
    <w:rsid w:val="00D62D94"/>
    <w:rsid w:val="00D63A8C"/>
    <w:rsid w:val="00D76CE4"/>
    <w:rsid w:val="00D84B77"/>
    <w:rsid w:val="00D85145"/>
    <w:rsid w:val="00D86A4D"/>
    <w:rsid w:val="00DA0188"/>
    <w:rsid w:val="00DA1134"/>
    <w:rsid w:val="00DA23DA"/>
    <w:rsid w:val="00DA4A1D"/>
    <w:rsid w:val="00DA4FAD"/>
    <w:rsid w:val="00DB1270"/>
    <w:rsid w:val="00DB1CFA"/>
    <w:rsid w:val="00DB3A8B"/>
    <w:rsid w:val="00DC6D62"/>
    <w:rsid w:val="00DE2C86"/>
    <w:rsid w:val="00DE659B"/>
    <w:rsid w:val="00E15099"/>
    <w:rsid w:val="00E254AC"/>
    <w:rsid w:val="00E308EB"/>
    <w:rsid w:val="00E4278C"/>
    <w:rsid w:val="00E4551E"/>
    <w:rsid w:val="00E45E62"/>
    <w:rsid w:val="00E54C76"/>
    <w:rsid w:val="00E70064"/>
    <w:rsid w:val="00E72E23"/>
    <w:rsid w:val="00E8304E"/>
    <w:rsid w:val="00E93817"/>
    <w:rsid w:val="00E96653"/>
    <w:rsid w:val="00E96C31"/>
    <w:rsid w:val="00EA3B3D"/>
    <w:rsid w:val="00EB7029"/>
    <w:rsid w:val="00ED611C"/>
    <w:rsid w:val="00F32299"/>
    <w:rsid w:val="00F56593"/>
    <w:rsid w:val="00F622CF"/>
    <w:rsid w:val="00F67FFC"/>
    <w:rsid w:val="00FA5159"/>
    <w:rsid w:val="00FA6A0C"/>
    <w:rsid w:val="00FA720A"/>
    <w:rsid w:val="00FB1596"/>
    <w:rsid w:val="00FC4927"/>
    <w:rsid w:val="00FC55C0"/>
    <w:rsid w:val="00FC55C3"/>
    <w:rsid w:val="00FC7946"/>
    <w:rsid w:val="00FE52D2"/>
    <w:rsid w:val="00FF7B51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19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790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870"/>
      <w:jc w:val="right"/>
      <w:outlineLvl w:val="0"/>
    </w:pPr>
    <w:rPr>
      <w:rFonts w:ascii="Bookman Old Style" w:hAnsi="Bookman Old Style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sz w:val="24"/>
    </w:rPr>
  </w:style>
  <w:style w:type="character" w:customStyle="1" w:styleId="ConsPlusNormal1">
    <w:name w:val="ConsPlusNormal1"/>
    <w:link w:val="ConsPlusNormal"/>
    <w:rPr>
      <w:rFonts w:ascii="Arial" w:hAnsi="Arial"/>
      <w:sz w:val="24"/>
    </w:rPr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FontStyle16">
    <w:name w:val="Font Style16"/>
    <w:link w:val="FontStyle161"/>
    <w:rPr>
      <w:rFonts w:ascii="Times New Roman" w:hAnsi="Times New Roman"/>
      <w:sz w:val="18"/>
    </w:rPr>
  </w:style>
  <w:style w:type="character" w:customStyle="1" w:styleId="FontStyle161">
    <w:name w:val="Font Style161"/>
    <w:link w:val="FontStyle16"/>
    <w:rPr>
      <w:rFonts w:ascii="Times New Roman" w:hAnsi="Times New Roman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b"/>
    <w:rPr>
      <w:b/>
    </w:rPr>
  </w:style>
  <w:style w:type="character" w:styleId="ab">
    <w:name w:val="Strong"/>
    <w:basedOn w:val="a0"/>
    <w:link w:val="12"/>
    <w:uiPriority w:val="22"/>
    <w:qFormat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3"/>
    <w:link w:val="link1"/>
  </w:style>
  <w:style w:type="character" w:customStyle="1" w:styleId="link1">
    <w:name w:val="link1"/>
    <w:basedOn w:val="a0"/>
    <w:link w:val="link"/>
  </w:style>
  <w:style w:type="paragraph" w:customStyle="1" w:styleId="23">
    <w:name w:val="Без интервала2"/>
    <w:link w:val="210"/>
    <w:pPr>
      <w:jc w:val="both"/>
    </w:pPr>
    <w:rPr>
      <w:rFonts w:ascii="Times New Roman" w:hAnsi="Times New Roman"/>
      <w:sz w:val="24"/>
    </w:rPr>
  </w:style>
  <w:style w:type="character" w:customStyle="1" w:styleId="210">
    <w:name w:val="Без интервала2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Bookman Old Style" w:hAnsi="Bookman Old Style"/>
      <w:sz w:val="24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af1">
    <w:name w:val="Название Знак"/>
    <w:link w:val="24"/>
    <w:rPr>
      <w:rFonts w:ascii="Cambria" w:hAnsi="Cambria"/>
      <w:color w:val="17365D"/>
      <w:spacing w:val="5"/>
      <w:sz w:val="52"/>
    </w:rPr>
  </w:style>
  <w:style w:type="character" w:customStyle="1" w:styleId="24">
    <w:name w:val="Название Знак2"/>
    <w:link w:val="af1"/>
    <w:rPr>
      <w:rFonts w:ascii="Cambria" w:hAnsi="Cambria"/>
      <w:color w:val="17365D"/>
      <w:spacing w:val="5"/>
      <w:sz w:val="52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Без интервала1"/>
    <w:link w:val="110"/>
    <w:rPr>
      <w:sz w:val="22"/>
    </w:rPr>
  </w:style>
  <w:style w:type="character" w:customStyle="1" w:styleId="110">
    <w:name w:val="Без интервала11"/>
    <w:link w:val="17"/>
    <w:rPr>
      <w:sz w:val="22"/>
    </w:rPr>
  </w:style>
  <w:style w:type="paragraph" w:customStyle="1" w:styleId="27">
    <w:name w:val="Обычный2"/>
    <w:link w:val="211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211">
    <w:name w:val="Обычный21"/>
    <w:link w:val="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20">
    <w:name w:val="Обычный12"/>
    <w:link w:val="111"/>
    <w:rPr>
      <w:rFonts w:ascii="Baltica" w:hAnsi="Baltica"/>
    </w:rPr>
  </w:style>
  <w:style w:type="character" w:customStyle="1" w:styleId="111">
    <w:name w:val="Обычный11"/>
    <w:link w:val="120"/>
    <w:rPr>
      <w:rFonts w:ascii="Baltica" w:hAnsi="Baltica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18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18">
    <w:name w:val="Название Знак1"/>
    <w:basedOn w:val="1"/>
    <w:link w:val="af4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character" w:styleId="af7">
    <w:name w:val="annotation reference"/>
    <w:basedOn w:val="a0"/>
    <w:uiPriority w:val="99"/>
    <w:semiHidden/>
    <w:unhideWhenUsed/>
    <w:rsid w:val="0043316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3316E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3316E"/>
    <w:rPr>
      <w:rFonts w:ascii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3316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3316E"/>
    <w:rPr>
      <w:rFonts w:ascii="Times New Roman" w:hAnsi="Times New Roman"/>
      <w:b/>
      <w:bCs/>
    </w:rPr>
  </w:style>
  <w:style w:type="paragraph" w:styleId="afc">
    <w:name w:val="footnote text"/>
    <w:basedOn w:val="a"/>
    <w:link w:val="afd"/>
    <w:uiPriority w:val="99"/>
    <w:semiHidden/>
    <w:unhideWhenUsed/>
    <w:rsid w:val="0043316E"/>
    <w:rPr>
      <w:sz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3316E"/>
    <w:rPr>
      <w:rFonts w:ascii="Times New Roman" w:hAnsi="Times New Roman"/>
    </w:rPr>
  </w:style>
  <w:style w:type="character" w:styleId="afe">
    <w:name w:val="footnote reference"/>
    <w:basedOn w:val="a0"/>
    <w:uiPriority w:val="99"/>
    <w:semiHidden/>
    <w:unhideWhenUsed/>
    <w:rsid w:val="0043316E"/>
    <w:rPr>
      <w:vertAlign w:val="superscript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E96C31"/>
    <w:rPr>
      <w:color w:val="605E5C"/>
      <w:shd w:val="clear" w:color="auto" w:fill="E1DFDD"/>
    </w:rPr>
  </w:style>
  <w:style w:type="character" w:customStyle="1" w:styleId="typography">
    <w:name w:val="typography"/>
    <w:basedOn w:val="a0"/>
    <w:rsid w:val="00E8304E"/>
  </w:style>
  <w:style w:type="character" w:customStyle="1" w:styleId="UnresolvedMention">
    <w:name w:val="Unresolved Mention"/>
    <w:basedOn w:val="a0"/>
    <w:uiPriority w:val="99"/>
    <w:semiHidden/>
    <w:unhideWhenUsed/>
    <w:rsid w:val="007372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790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870"/>
      <w:jc w:val="right"/>
      <w:outlineLvl w:val="0"/>
    </w:pPr>
    <w:rPr>
      <w:rFonts w:ascii="Bookman Old Style" w:hAnsi="Bookman Old Style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sz w:val="24"/>
    </w:rPr>
  </w:style>
  <w:style w:type="character" w:customStyle="1" w:styleId="ConsPlusNormal1">
    <w:name w:val="ConsPlusNormal1"/>
    <w:link w:val="ConsPlusNormal"/>
    <w:rPr>
      <w:rFonts w:ascii="Arial" w:hAnsi="Arial"/>
      <w:sz w:val="24"/>
    </w:rPr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FontStyle16">
    <w:name w:val="Font Style16"/>
    <w:link w:val="FontStyle161"/>
    <w:rPr>
      <w:rFonts w:ascii="Times New Roman" w:hAnsi="Times New Roman"/>
      <w:sz w:val="18"/>
    </w:rPr>
  </w:style>
  <w:style w:type="character" w:customStyle="1" w:styleId="FontStyle161">
    <w:name w:val="Font Style161"/>
    <w:link w:val="FontStyle16"/>
    <w:rPr>
      <w:rFonts w:ascii="Times New Roman" w:hAnsi="Times New Roman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b"/>
    <w:rPr>
      <w:b/>
    </w:rPr>
  </w:style>
  <w:style w:type="character" w:styleId="ab">
    <w:name w:val="Strong"/>
    <w:basedOn w:val="a0"/>
    <w:link w:val="12"/>
    <w:uiPriority w:val="22"/>
    <w:qFormat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3"/>
    <w:link w:val="link1"/>
  </w:style>
  <w:style w:type="character" w:customStyle="1" w:styleId="link1">
    <w:name w:val="link1"/>
    <w:basedOn w:val="a0"/>
    <w:link w:val="link"/>
  </w:style>
  <w:style w:type="paragraph" w:customStyle="1" w:styleId="23">
    <w:name w:val="Без интервала2"/>
    <w:link w:val="210"/>
    <w:pPr>
      <w:jc w:val="both"/>
    </w:pPr>
    <w:rPr>
      <w:rFonts w:ascii="Times New Roman" w:hAnsi="Times New Roman"/>
      <w:sz w:val="24"/>
    </w:rPr>
  </w:style>
  <w:style w:type="character" w:customStyle="1" w:styleId="210">
    <w:name w:val="Без интервала2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Bookman Old Style" w:hAnsi="Bookman Old Style"/>
      <w:sz w:val="24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af1">
    <w:name w:val="Название Знак"/>
    <w:link w:val="24"/>
    <w:rPr>
      <w:rFonts w:ascii="Cambria" w:hAnsi="Cambria"/>
      <w:color w:val="17365D"/>
      <w:spacing w:val="5"/>
      <w:sz w:val="52"/>
    </w:rPr>
  </w:style>
  <w:style w:type="character" w:customStyle="1" w:styleId="24">
    <w:name w:val="Название Знак2"/>
    <w:link w:val="af1"/>
    <w:rPr>
      <w:rFonts w:ascii="Cambria" w:hAnsi="Cambria"/>
      <w:color w:val="17365D"/>
      <w:spacing w:val="5"/>
      <w:sz w:val="52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Без интервала1"/>
    <w:link w:val="110"/>
    <w:rPr>
      <w:sz w:val="22"/>
    </w:rPr>
  </w:style>
  <w:style w:type="character" w:customStyle="1" w:styleId="110">
    <w:name w:val="Без интервала11"/>
    <w:link w:val="17"/>
    <w:rPr>
      <w:sz w:val="22"/>
    </w:rPr>
  </w:style>
  <w:style w:type="paragraph" w:customStyle="1" w:styleId="27">
    <w:name w:val="Обычный2"/>
    <w:link w:val="211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211">
    <w:name w:val="Обычный21"/>
    <w:link w:val="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20">
    <w:name w:val="Обычный12"/>
    <w:link w:val="111"/>
    <w:rPr>
      <w:rFonts w:ascii="Baltica" w:hAnsi="Baltica"/>
    </w:rPr>
  </w:style>
  <w:style w:type="character" w:customStyle="1" w:styleId="111">
    <w:name w:val="Обычный11"/>
    <w:link w:val="120"/>
    <w:rPr>
      <w:rFonts w:ascii="Baltica" w:hAnsi="Baltica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18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18">
    <w:name w:val="Название Знак1"/>
    <w:basedOn w:val="1"/>
    <w:link w:val="af4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character" w:styleId="af7">
    <w:name w:val="annotation reference"/>
    <w:basedOn w:val="a0"/>
    <w:uiPriority w:val="99"/>
    <w:semiHidden/>
    <w:unhideWhenUsed/>
    <w:rsid w:val="0043316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3316E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3316E"/>
    <w:rPr>
      <w:rFonts w:ascii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3316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3316E"/>
    <w:rPr>
      <w:rFonts w:ascii="Times New Roman" w:hAnsi="Times New Roman"/>
      <w:b/>
      <w:bCs/>
    </w:rPr>
  </w:style>
  <w:style w:type="paragraph" w:styleId="afc">
    <w:name w:val="footnote text"/>
    <w:basedOn w:val="a"/>
    <w:link w:val="afd"/>
    <w:uiPriority w:val="99"/>
    <w:semiHidden/>
    <w:unhideWhenUsed/>
    <w:rsid w:val="0043316E"/>
    <w:rPr>
      <w:sz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3316E"/>
    <w:rPr>
      <w:rFonts w:ascii="Times New Roman" w:hAnsi="Times New Roman"/>
    </w:rPr>
  </w:style>
  <w:style w:type="character" w:styleId="afe">
    <w:name w:val="footnote reference"/>
    <w:basedOn w:val="a0"/>
    <w:uiPriority w:val="99"/>
    <w:semiHidden/>
    <w:unhideWhenUsed/>
    <w:rsid w:val="0043316E"/>
    <w:rPr>
      <w:vertAlign w:val="superscript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E96C31"/>
    <w:rPr>
      <w:color w:val="605E5C"/>
      <w:shd w:val="clear" w:color="auto" w:fill="E1DFDD"/>
    </w:rPr>
  </w:style>
  <w:style w:type="character" w:customStyle="1" w:styleId="typography">
    <w:name w:val="typography"/>
    <w:basedOn w:val="a0"/>
    <w:rsid w:val="00E8304E"/>
  </w:style>
  <w:style w:type="character" w:customStyle="1" w:styleId="UnresolvedMention">
    <w:name w:val="Unresolved Mention"/>
    <w:basedOn w:val="a0"/>
    <w:uiPriority w:val="99"/>
    <w:semiHidden/>
    <w:unhideWhenUsed/>
    <w:rsid w:val="00737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5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5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5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2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1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6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1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3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8A8E-88AF-41AC-9161-C75D86B4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Ю_Кубай</dc:creator>
  <cp:lastModifiedBy>user</cp:lastModifiedBy>
  <cp:revision>3</cp:revision>
  <cp:lastPrinted>2025-03-17T13:22:00Z</cp:lastPrinted>
  <dcterms:created xsi:type="dcterms:W3CDTF">2026-06-02T09:19:00Z</dcterms:created>
  <dcterms:modified xsi:type="dcterms:W3CDTF">2026-06-02T09:26:00Z</dcterms:modified>
</cp:coreProperties>
</file>