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Минимальная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Оказание услуг по оценке показателей электробезопасности рентгеновской установки конвейерного типа "Di Scan 60 40"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71.20.13.000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9 400,00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8 000,00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709,46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8,22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8 000,00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8 000,00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8 500,00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8000,00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8000,00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