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B30" w:rsidRPr="005A0FE6" w:rsidRDefault="00D34B30"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Контракт № </w:t>
      </w:r>
      <w:r w:rsidR="00FA68D4">
        <w:rPr>
          <w:rFonts w:ascii="Times New Roman" w:hAnsi="Times New Roman" w:cs="Times New Roman"/>
          <w:b/>
          <w:bCs/>
          <w:kern w:val="1"/>
          <w:sz w:val="22"/>
          <w:szCs w:val="22"/>
          <w:lang w:eastAsia="hi-IN" w:bidi="hi-IN"/>
        </w:rPr>
        <w:t>2/2026</w:t>
      </w:r>
      <w:r w:rsidR="000853C3">
        <w:rPr>
          <w:rFonts w:ascii="Times New Roman" w:hAnsi="Times New Roman" w:cs="Times New Roman"/>
          <w:b/>
          <w:bCs/>
          <w:kern w:val="1"/>
          <w:sz w:val="22"/>
          <w:szCs w:val="22"/>
          <w:lang w:eastAsia="hi-IN" w:bidi="hi-IN"/>
        </w:rPr>
        <w:t>-</w:t>
      </w:r>
      <w:r w:rsidR="00E13156" w:rsidRPr="005A0FE6">
        <w:rPr>
          <w:rFonts w:ascii="Times New Roman" w:hAnsi="Times New Roman" w:cs="Times New Roman"/>
          <w:b/>
          <w:bCs/>
          <w:kern w:val="1"/>
          <w:sz w:val="22"/>
          <w:szCs w:val="22"/>
          <w:lang w:eastAsia="hi-IN" w:bidi="hi-IN"/>
        </w:rPr>
        <w:t>51</w:t>
      </w:r>
      <w:r w:rsidR="005A0FE6">
        <w:rPr>
          <w:rFonts w:ascii="Times New Roman" w:hAnsi="Times New Roman" w:cs="Times New Roman"/>
          <w:b/>
          <w:bCs/>
          <w:kern w:val="1"/>
          <w:sz w:val="22"/>
          <w:szCs w:val="22"/>
          <w:lang w:eastAsia="hi-IN" w:bidi="hi-IN"/>
        </w:rPr>
        <w:t>/73</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884310">
        <w:rPr>
          <w:rFonts w:ascii="Times New Roman" w:hAnsi="Times New Roman" w:cs="Times New Roman"/>
          <w:b/>
          <w:bCs/>
          <w:kern w:val="1"/>
          <w:sz w:val="22"/>
          <w:szCs w:val="22"/>
          <w:lang w:eastAsia="hi-IN" w:bidi="hi-IN"/>
        </w:rPr>
        <w:t>26177360991297736010010005</w:t>
      </w:r>
      <w:r w:rsidR="00884310" w:rsidRPr="00884310">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B208DD" w:rsidRPr="00F56BFD">
        <w:rPr>
          <w:rFonts w:ascii="Times New Roman" w:hAnsi="Times New Roman" w:cs="Times New Roman"/>
          <w:b/>
          <w:bCs/>
          <w:kern w:val="1"/>
          <w:sz w:val="22"/>
          <w:szCs w:val="22"/>
          <w:lang w:eastAsia="hi-IN" w:bidi="hi-IN"/>
        </w:rPr>
        <w:t xml:space="preserve"> </w:t>
      </w:r>
      <w:r w:rsidR="00573E05">
        <w:rPr>
          <w:rFonts w:ascii="Times New Roman" w:hAnsi="Times New Roman" w:cs="Times New Roman"/>
          <w:b/>
          <w:bCs/>
          <w:kern w:val="1"/>
          <w:sz w:val="22"/>
          <w:szCs w:val="22"/>
          <w:lang w:eastAsia="hi-IN" w:bidi="hi-IN"/>
        </w:rPr>
        <w:t>мая</w:t>
      </w:r>
      <w:r w:rsidR="00D52EBF">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FA68D4">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1041CD">
        <w:rPr>
          <w:rFonts w:ascii="Times New Roman" w:hAnsi="Times New Roman" w:cs="Times New Roman"/>
          <w:b/>
          <w:kern w:val="1"/>
          <w:sz w:val="22"/>
          <w:szCs w:val="22"/>
          <w:lang w:eastAsia="hi-IN" w:bidi="hi-IN"/>
        </w:rPr>
        <w:t>__________________,</w:t>
      </w:r>
      <w:r w:rsidR="001041CD">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действующего на основании устава</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1041CD">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1041CD">
        <w:rPr>
          <w:rFonts w:ascii="Times New Roman" w:hAnsi="Times New Roman" w:cs="Times New Roman"/>
          <w:b/>
          <w:kern w:val="1"/>
          <w:sz w:val="22"/>
          <w:szCs w:val="22"/>
          <w:lang w:eastAsia="hi-IN" w:bidi="hi-IN"/>
        </w:rPr>
        <w:t>н</w:t>
      </w:r>
      <w:r w:rsidR="00B208DD" w:rsidRPr="001041CD">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w:t>
      </w:r>
      <w:proofErr w:type="spellStart"/>
      <w:r w:rsidR="00B208DD" w:rsidRPr="001041CD">
        <w:rPr>
          <w:rFonts w:ascii="Times New Roman" w:hAnsi="Times New Roman" w:cs="Times New Roman"/>
          <w:b/>
          <w:kern w:val="1"/>
          <w:sz w:val="22"/>
          <w:szCs w:val="22"/>
          <w:lang w:eastAsia="hi-IN" w:bidi="hi-IN"/>
        </w:rPr>
        <w:t>ИОГен</w:t>
      </w:r>
      <w:proofErr w:type="spellEnd"/>
      <w:r w:rsidR="00B208DD" w:rsidRPr="001041CD">
        <w:rPr>
          <w:rFonts w:ascii="Times New Roman" w:hAnsi="Times New Roman" w:cs="Times New Roman"/>
          <w:b/>
          <w:kern w:val="1"/>
          <w:sz w:val="22"/>
          <w:szCs w:val="22"/>
          <w:lang w:eastAsia="hi-IN" w:bidi="hi-IN"/>
        </w:rPr>
        <w:t xml:space="preserve">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 xml:space="preserve">в лице директора </w:t>
      </w:r>
      <w:proofErr w:type="spellStart"/>
      <w:r w:rsidR="008C35B9" w:rsidRPr="008C35B9">
        <w:rPr>
          <w:rFonts w:ascii="Times New Roman" w:hAnsi="Times New Roman" w:cs="Times New Roman"/>
          <w:bCs/>
          <w:kern w:val="1"/>
          <w:sz w:val="22"/>
          <w:szCs w:val="22"/>
          <w:lang w:eastAsia="hi-IN" w:bidi="hi-IN"/>
        </w:rPr>
        <w:t>Мисюрина</w:t>
      </w:r>
      <w:proofErr w:type="spellEnd"/>
      <w:r w:rsidR="008C35B9" w:rsidRPr="008C35B9">
        <w:rPr>
          <w:rFonts w:ascii="Times New Roman" w:hAnsi="Times New Roman" w:cs="Times New Roman"/>
          <w:bCs/>
          <w:kern w:val="1"/>
          <w:sz w:val="22"/>
          <w:szCs w:val="22"/>
          <w:lang w:eastAsia="hi-IN" w:bidi="hi-IN"/>
        </w:rPr>
        <w:t xml:space="preserve"> Андрея Витальевича, действующего на основании устава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0"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F84E83">
        <w:rPr>
          <w:rFonts w:ascii="Times New Roman" w:hAnsi="Times New Roman"/>
          <w:sz w:val="22"/>
          <w:szCs w:val="22"/>
        </w:rPr>
        <w:t>п.5</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0"/>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F70D76">
        <w:rPr>
          <w:rFonts w:ascii="Times New Roman" w:hAnsi="Times New Roman" w:cs="Times New Roman"/>
          <w:b/>
          <w:bCs/>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xml:space="preserve">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w:t>
      </w:r>
      <w:r w:rsidR="00071D87">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34, ст.</w:t>
      </w:r>
      <w:r w:rsidR="00071D87">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w:t>
      </w:r>
      <w:r w:rsidR="00193BD1" w:rsidRPr="00074520">
        <w:rPr>
          <w:rFonts w:ascii="Times New Roman" w:hAnsi="Times New Roman" w:cs="Times New Roman"/>
          <w:bCs/>
          <w:kern w:val="1"/>
          <w:sz w:val="22"/>
          <w:szCs w:val="22"/>
          <w:lang w:eastAsia="hi-IN" w:bidi="hi-IN"/>
        </w:rPr>
        <w:t>в течение</w:t>
      </w:r>
      <w:r w:rsidR="00895979" w:rsidRPr="00074520">
        <w:rPr>
          <w:rFonts w:ascii="Times New Roman" w:hAnsi="Times New Roman" w:cs="Times New Roman"/>
          <w:bCs/>
          <w:kern w:val="1"/>
          <w:sz w:val="22"/>
          <w:szCs w:val="22"/>
          <w:lang w:eastAsia="hi-IN" w:bidi="hi-IN"/>
        </w:rPr>
        <w:t xml:space="preserve">: </w:t>
      </w:r>
      <w:r w:rsidR="00573E05">
        <w:rPr>
          <w:rFonts w:ascii="Times New Roman" w:hAnsi="Times New Roman" w:cs="Times New Roman"/>
          <w:bCs/>
          <w:kern w:val="1"/>
          <w:sz w:val="22"/>
          <w:szCs w:val="22"/>
          <w:lang w:eastAsia="hi-IN" w:bidi="hi-IN"/>
        </w:rPr>
        <w:t>7</w:t>
      </w:r>
      <w:r w:rsidR="00F84E83" w:rsidRPr="00074520">
        <w:rPr>
          <w:rFonts w:ascii="Times New Roman" w:hAnsi="Times New Roman"/>
          <w:sz w:val="22"/>
          <w:szCs w:val="22"/>
        </w:rPr>
        <w:t xml:space="preserve"> </w:t>
      </w:r>
      <w:r w:rsidR="00AE0A92" w:rsidRPr="00074520">
        <w:rPr>
          <w:rFonts w:ascii="Times New Roman" w:hAnsi="Times New Roman"/>
          <w:sz w:val="22"/>
          <w:szCs w:val="22"/>
        </w:rPr>
        <w:t>(</w:t>
      </w:r>
      <w:r w:rsidR="00573E05">
        <w:rPr>
          <w:rFonts w:ascii="Times New Roman" w:hAnsi="Times New Roman"/>
          <w:sz w:val="22"/>
          <w:szCs w:val="22"/>
        </w:rPr>
        <w:t>Семь</w:t>
      </w:r>
      <w:r w:rsidR="00AE0A92" w:rsidRPr="00074520">
        <w:rPr>
          <w:rFonts w:ascii="Times New Roman" w:hAnsi="Times New Roman"/>
          <w:sz w:val="22"/>
          <w:szCs w:val="22"/>
        </w:rPr>
        <w:t xml:space="preserve">) </w:t>
      </w:r>
      <w:r w:rsidR="00AA5882">
        <w:rPr>
          <w:rFonts w:ascii="Times New Roman" w:hAnsi="Times New Roman"/>
          <w:sz w:val="22"/>
          <w:szCs w:val="22"/>
        </w:rPr>
        <w:t>рабочих</w:t>
      </w:r>
      <w:r w:rsidR="001222A8" w:rsidRPr="00074520">
        <w:rPr>
          <w:rFonts w:ascii="Times New Roman" w:hAnsi="Times New Roman"/>
          <w:sz w:val="22"/>
          <w:szCs w:val="22"/>
        </w:rPr>
        <w:t xml:space="preserve"> </w:t>
      </w:r>
      <w:r w:rsidR="00AE0A92" w:rsidRPr="00074520">
        <w:rPr>
          <w:rFonts w:ascii="Times New Roman" w:hAnsi="Times New Roman"/>
          <w:sz w:val="22"/>
          <w:szCs w:val="22"/>
        </w:rPr>
        <w:t>дней, с даты подписания Сторонами настоящего Контракта.</w:t>
      </w:r>
      <w:r w:rsidR="00BA23DF" w:rsidRPr="00074520">
        <w:t xml:space="preserve"> </w:t>
      </w:r>
      <w:r w:rsidR="00BA23DF" w:rsidRPr="00074520">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E1693A" w:rsidRDefault="00E1693A" w:rsidP="00AE0A92">
      <w:pPr>
        <w:tabs>
          <w:tab w:val="left" w:pos="0"/>
        </w:tabs>
        <w:jc w:val="both"/>
        <w:rPr>
          <w:rFonts w:ascii="Times New Roman" w:hAnsi="Times New Roman"/>
          <w:sz w:val="22"/>
          <w:szCs w:val="22"/>
        </w:rPr>
      </w:pPr>
      <w:r>
        <w:rPr>
          <w:rFonts w:ascii="Times New Roman" w:hAnsi="Times New Roman"/>
          <w:sz w:val="22"/>
          <w:szCs w:val="22"/>
        </w:rPr>
        <w:t xml:space="preserve">Срок поставки Товара включает в себя: </w:t>
      </w:r>
      <w:r w:rsidRPr="00E1693A">
        <w:rPr>
          <w:rFonts w:ascii="Times New Roman" w:hAnsi="Times New Roman"/>
          <w:sz w:val="22"/>
          <w:szCs w:val="22"/>
        </w:rPr>
        <w:t>доставку, разгрузку</w:t>
      </w:r>
      <w:r>
        <w:rPr>
          <w:rFonts w:ascii="Times New Roman" w:hAnsi="Times New Roman"/>
          <w:sz w:val="22"/>
          <w:szCs w:val="22"/>
        </w:rPr>
        <w:t>.</w:t>
      </w:r>
    </w:p>
    <w:p w:rsidR="00676B22" w:rsidRPr="00FA68D4" w:rsidRDefault="00A16350" w:rsidP="00FA68D4">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w:t>
      </w:r>
      <w:r w:rsidR="00FA68D4">
        <w:rPr>
          <w:rFonts w:ascii="Times New Roman" w:hAnsi="Times New Roman" w:cs="Times New Roman"/>
          <w:bCs/>
          <w:kern w:val="1"/>
          <w:sz w:val="22"/>
          <w:szCs w:val="22"/>
          <w:lang w:eastAsia="hi-IN" w:bidi="hi-IN"/>
        </w:rPr>
        <w:t xml:space="preserve">опуска на территорию Покупателя </w:t>
      </w:r>
      <w:r w:rsidR="00FA68D4" w:rsidRPr="00FA68D4">
        <w:rPr>
          <w:rFonts w:ascii="Times New Roman" w:hAnsi="Times New Roman" w:cs="Times New Roman"/>
          <w:b/>
          <w:bCs/>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E13156" w:rsidRPr="001767B5">
          <w:rPr>
            <w:rStyle w:val="ab"/>
            <w:rFonts w:ascii="Times New Roman" w:hAnsi="Times New Roman"/>
            <w:b/>
            <w:bCs/>
            <w:kern w:val="1"/>
            <w:sz w:val="22"/>
            <w:szCs w:val="22"/>
            <w:lang w:val="en-US" w:eastAsia="hi-IN" w:bidi="hi-IN"/>
          </w:rPr>
          <w:t>sneg</w:t>
        </w:r>
        <w:r w:rsidR="00E13156" w:rsidRPr="001767B5">
          <w:rPr>
            <w:rStyle w:val="ab"/>
            <w:rFonts w:ascii="Times New Roman" w:hAnsi="Times New Roman"/>
            <w:b/>
            <w:bCs/>
            <w:kern w:val="1"/>
            <w:sz w:val="22"/>
            <w:szCs w:val="22"/>
            <w:lang w:eastAsia="hi-IN" w:bidi="hi-IN"/>
          </w:rPr>
          <w:t>.</w:t>
        </w:r>
        <w:r w:rsidR="00E13156" w:rsidRPr="001767B5">
          <w:rPr>
            <w:rStyle w:val="ab"/>
            <w:rFonts w:ascii="Times New Roman" w:hAnsi="Times New Roman"/>
            <w:b/>
            <w:bCs/>
            <w:kern w:val="1"/>
            <w:sz w:val="22"/>
            <w:szCs w:val="22"/>
            <w:lang w:val="en-US" w:eastAsia="hi-IN" w:bidi="hi-IN"/>
          </w:rPr>
          <w:t>ru</w:t>
        </w:r>
        <w:r w:rsidR="00E13156" w:rsidRPr="001767B5">
          <w:rPr>
            <w:rStyle w:val="ab"/>
            <w:rFonts w:ascii="Times New Roman" w:hAnsi="Times New Roman"/>
            <w:b/>
            <w:bCs/>
            <w:kern w:val="1"/>
            <w:sz w:val="22"/>
            <w:szCs w:val="22"/>
            <w:lang w:eastAsia="hi-IN" w:bidi="hi-IN"/>
          </w:rPr>
          <w:t>09@</w:t>
        </w:r>
        <w:r w:rsidR="00E13156" w:rsidRPr="001767B5">
          <w:rPr>
            <w:rStyle w:val="ab"/>
            <w:rFonts w:ascii="Times New Roman" w:hAnsi="Times New Roman"/>
            <w:b/>
            <w:bCs/>
            <w:kern w:val="1"/>
            <w:sz w:val="22"/>
            <w:szCs w:val="22"/>
            <w:lang w:val="en-US" w:eastAsia="hi-IN" w:bidi="hi-IN"/>
          </w:rPr>
          <w:t>mail</w:t>
        </w:r>
        <w:r w:rsidR="00E13156" w:rsidRPr="001767B5">
          <w:rPr>
            <w:rStyle w:val="ab"/>
            <w:rFonts w:ascii="Times New Roman" w:hAnsi="Times New Roman"/>
            <w:b/>
            <w:bCs/>
            <w:kern w:val="1"/>
            <w:sz w:val="22"/>
            <w:szCs w:val="22"/>
            <w:lang w:eastAsia="hi-IN" w:bidi="hi-IN"/>
          </w:rPr>
          <w:t>.</w:t>
        </w:r>
        <w:proofErr w:type="spellStart"/>
        <w:r w:rsidR="00E13156" w:rsidRPr="001767B5">
          <w:rPr>
            <w:rStyle w:val="ab"/>
            <w:rFonts w:ascii="Times New Roman" w:hAnsi="Times New Roman"/>
            <w:b/>
            <w:bCs/>
            <w:kern w:val="1"/>
            <w:sz w:val="22"/>
            <w:szCs w:val="22"/>
            <w:lang w:val="en-US" w:eastAsia="hi-IN" w:bidi="hi-IN"/>
          </w:rPr>
          <w:t>ru</w:t>
        </w:r>
        <w:proofErr w:type="spellEnd"/>
      </w:hyperlink>
      <w:r w:rsidR="00E13156">
        <w:rPr>
          <w:rFonts w:ascii="Times New Roman" w:hAnsi="Times New Roman" w:cs="Times New Roman"/>
          <w:b/>
          <w:bCs/>
          <w:kern w:val="1"/>
          <w:sz w:val="22"/>
          <w:szCs w:val="22"/>
          <w:lang w:eastAsia="hi-IN" w:bidi="hi-IN"/>
        </w:rPr>
        <w:t xml:space="preserve">. </w:t>
      </w:r>
      <w:r w:rsidR="00FA68D4">
        <w:rPr>
          <w:rFonts w:ascii="Times New Roman" w:hAnsi="Times New Roman" w:cs="Times New Roman"/>
          <w:bCs/>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w:t>
      </w:r>
      <w:r w:rsidR="004A36D0" w:rsidRPr="00F56BFD">
        <w:rPr>
          <w:rFonts w:ascii="Times New Roman" w:hAnsi="Times New Roman" w:cs="Times New Roman"/>
          <w:bCs/>
          <w:kern w:val="1"/>
          <w:sz w:val="22"/>
          <w:szCs w:val="22"/>
          <w:lang w:eastAsia="hi-IN" w:bidi="hi-IN"/>
        </w:rPr>
        <w:t xml:space="preserve"> </w:t>
      </w:r>
      <w:r w:rsidR="00676B22" w:rsidRPr="00F56BFD">
        <w:rPr>
          <w:rFonts w:ascii="Times New Roman" w:hAnsi="Times New Roman" w:cs="Times New Roman"/>
          <w:bCs/>
          <w:kern w:val="1"/>
          <w:sz w:val="22"/>
          <w:szCs w:val="22"/>
          <w:lang w:eastAsia="hi-IN" w:bidi="hi-IN"/>
        </w:rPr>
        <w:t xml:space="preserve">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074520" w:rsidRPr="00074520">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074520">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074520">
        <w:rPr>
          <w:rFonts w:ascii="Times New Roman" w:hAnsi="Times New Roman" w:cs="Times New Roman"/>
          <w:bCs/>
          <w:kern w:val="1"/>
          <w:sz w:val="22"/>
          <w:szCs w:val="22"/>
          <w:lang w:eastAsia="hi-IN" w:bidi="hi-IN"/>
        </w:rPr>
        <w:t xml:space="preserve"> календарных</w:t>
      </w:r>
      <w:r w:rsidRPr="00F56BFD">
        <w:rPr>
          <w:rFonts w:ascii="Times New Roman" w:hAnsi="Times New Roman" w:cs="Times New Roman"/>
          <w:bCs/>
          <w:kern w:val="1"/>
          <w:sz w:val="22"/>
          <w:szCs w:val="22"/>
          <w:lang w:eastAsia="hi-IN" w:bidi="hi-IN"/>
        </w:rPr>
        <w:t> 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074520">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3.3. Обязательство Покупателя по оплате считается исполненным в момент списания денежных </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средств с </w:t>
      </w:r>
      <w:r w:rsidRPr="00F56BFD">
        <w:rPr>
          <w:rFonts w:ascii="Times New Roman" w:hAnsi="Times New Roman" w:cs="Times New Roman"/>
          <w:bCs/>
          <w:kern w:val="1"/>
          <w:sz w:val="22"/>
          <w:szCs w:val="22"/>
          <w:lang w:eastAsia="hi-IN" w:bidi="hi-IN"/>
        </w:rPr>
        <w:lastRenderedPageBreak/>
        <w:t>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3.6. При наличии технической возможности у обеих сторон акт приемки ТРУ по форме ОКУД 0510452 подписывается </w:t>
      </w:r>
      <w:proofErr w:type="spellStart"/>
      <w:r w:rsidRPr="00D949B7">
        <w:rPr>
          <w:rFonts w:ascii="Times New Roman" w:hAnsi="Times New Roman" w:cs="Times New Roman"/>
          <w:sz w:val="22"/>
          <w:szCs w:val="22"/>
          <w:lang w:eastAsia="zh-CN"/>
        </w:rPr>
        <w:t>электронно</w:t>
      </w:r>
      <w:proofErr w:type="spellEnd"/>
      <w:r w:rsidRPr="00D949B7">
        <w:rPr>
          <w:rFonts w:ascii="Times New Roman" w:hAnsi="Times New Roman" w:cs="Times New Roman"/>
          <w:sz w:val="22"/>
          <w:szCs w:val="22"/>
          <w:lang w:eastAsia="zh-CN"/>
        </w:rPr>
        <w:t>.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  </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676B22" w:rsidRPr="00F56BFD">
        <w:rPr>
          <w:rFonts w:ascii="Times New Roman" w:hAnsi="Times New Roman" w:cs="Times New Roman"/>
          <w:bCs/>
          <w:kern w:val="1"/>
          <w:sz w:val="22"/>
          <w:szCs w:val="22"/>
          <w:lang w:eastAsia="hi-IN" w:bidi="hi-IN"/>
        </w:rPr>
        <w:t xml:space="preserve"> в рабочие дни с </w:t>
      </w:r>
      <w:r w:rsidR="00FA68D4">
        <w:rPr>
          <w:rFonts w:ascii="Times New Roman" w:hAnsi="Times New Roman" w:cs="Times New Roman"/>
          <w:bCs/>
          <w:kern w:val="1"/>
          <w:sz w:val="22"/>
          <w:szCs w:val="22"/>
          <w:lang w:eastAsia="hi-IN" w:bidi="hi-IN"/>
        </w:rPr>
        <w:t>10</w:t>
      </w:r>
      <w:r w:rsidR="00676B22" w:rsidRPr="00F56BFD">
        <w:rPr>
          <w:rFonts w:ascii="Times New Roman" w:hAnsi="Times New Roman" w:cs="Times New Roman"/>
          <w:bCs/>
          <w:kern w:val="1"/>
          <w:sz w:val="22"/>
          <w:szCs w:val="22"/>
          <w:lang w:eastAsia="hi-IN" w:bidi="hi-IN"/>
        </w:rPr>
        <w:t>-00 до 16-00.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FA68D4">
        <w:rPr>
          <w:rFonts w:ascii="Times New Roman" w:hAnsi="Times New Roman" w:cs="Times New Roman"/>
          <w:bCs/>
          <w:kern w:val="1"/>
          <w:sz w:val="22"/>
          <w:szCs w:val="22"/>
          <w:lang w:eastAsia="hi-IN" w:bidi="hi-IN"/>
        </w:rPr>
        <w:t xml:space="preserve">. </w:t>
      </w:r>
      <w:r w:rsidR="00FA68D4" w:rsidRPr="00FA68D4">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дней с даты ее получения (срок рассмотрения 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676B22" w:rsidRPr="00F56BFD" w:rsidRDefault="00F56BFD" w:rsidP="00931C03">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w:t>
      </w:r>
      <w:r w:rsidR="00676B22" w:rsidRPr="00F56BFD">
        <w:rPr>
          <w:rFonts w:ascii="Times New Roman" w:hAnsi="Times New Roman" w:cs="Times New Roman"/>
          <w:bCs/>
          <w:kern w:val="1"/>
          <w:sz w:val="22"/>
          <w:szCs w:val="22"/>
          <w:lang w:eastAsia="hi-IN" w:bidi="hi-IN"/>
        </w:rPr>
        <w:t xml:space="preserve">. Покупатель вправе предъявить требования, связанные с недостатками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A16350" w:rsidRPr="00F56BFD">
        <w:rPr>
          <w:rFonts w:ascii="Times New Roman" w:hAnsi="Times New Roman" w:cs="Times New Roman"/>
          <w:bCs/>
          <w:kern w:val="1"/>
          <w:sz w:val="22"/>
          <w:szCs w:val="22"/>
          <w:lang w:eastAsia="hi-IN" w:bidi="hi-IN"/>
        </w:rPr>
        <w:t>, если они обнаружены, в течение</w:t>
      </w:r>
      <w:r w:rsidR="00676B22" w:rsidRPr="00F56BFD">
        <w:rPr>
          <w:rFonts w:ascii="Times New Roman" w:hAnsi="Times New Roman" w:cs="Times New Roman"/>
          <w:bCs/>
          <w:kern w:val="1"/>
          <w:sz w:val="22"/>
          <w:szCs w:val="22"/>
          <w:lang w:eastAsia="hi-IN" w:bidi="hi-IN"/>
        </w:rPr>
        <w:t xml:space="preserve"> </w:t>
      </w:r>
      <w:r w:rsidR="00AE219F">
        <w:rPr>
          <w:rFonts w:ascii="Times New Roman" w:hAnsi="Times New Roman" w:cs="Times New Roman"/>
          <w:bCs/>
          <w:kern w:val="1"/>
          <w:sz w:val="22"/>
          <w:szCs w:val="22"/>
          <w:lang w:eastAsia="hi-IN" w:bidi="hi-IN"/>
        </w:rPr>
        <w:t>гарантийного срока</w:t>
      </w:r>
      <w:r w:rsidR="003224B7">
        <w:rPr>
          <w:rFonts w:ascii="Times New Roman" w:hAnsi="Times New Roman" w:cs="Times New Roman"/>
          <w:bCs/>
          <w:kern w:val="1"/>
          <w:sz w:val="22"/>
          <w:szCs w:val="22"/>
          <w:lang w:eastAsia="hi-IN" w:bidi="hi-IN"/>
        </w:rPr>
        <w:t xml:space="preserve">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w:t>
      </w:r>
      <w:r w:rsidR="00AE219F" w:rsidRPr="00AE219F">
        <w:rPr>
          <w:rFonts w:ascii="Times New Roman" w:hAnsi="Times New Roman" w:cs="Times New Roman"/>
          <w:bCs/>
          <w:kern w:val="1"/>
          <w:sz w:val="22"/>
          <w:szCs w:val="22"/>
          <w:lang w:eastAsia="hi-IN" w:bidi="hi-IN"/>
        </w:rPr>
        <w:t>Гарантийный срок (срок годности) Товара указывается в Сертификате для каждого вида Товара при выполнении Покупателем всех условий хранения для каждого вида Товара.</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w:t>
      </w:r>
      <w:r w:rsidR="00676B22" w:rsidRPr="00F56BFD">
        <w:rPr>
          <w:rFonts w:ascii="Times New Roman" w:hAnsi="Times New Roman" w:cs="Times New Roman"/>
          <w:sz w:val="22"/>
          <w:szCs w:val="22"/>
        </w:rPr>
        <w:lastRenderedPageBreak/>
        <w:t xml:space="preserve">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Default="00A410F8" w:rsidP="00123105">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A68D4" w:rsidRPr="00F56BFD" w:rsidRDefault="00FA68D4" w:rsidP="00123105">
      <w:pPr>
        <w:widowControl w:val="0"/>
        <w:contextualSpacing/>
        <w:jc w:val="both"/>
        <w:rPr>
          <w:rFonts w:ascii="Times New Roman" w:hAnsi="Times New Roman" w:cs="Times New Roman"/>
          <w:bCs/>
          <w:kern w:val="1"/>
          <w:sz w:val="22"/>
          <w:szCs w:val="22"/>
          <w:lang w:eastAsia="hi-IN" w:bidi="hi-IN"/>
        </w:rPr>
      </w:pP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2F5212"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Настоящий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 xml:space="preserve"> вступает в силу с даты его подписания и действует до 31.12.20</w:t>
      </w:r>
      <w:r w:rsidR="00FA68D4">
        <w:rPr>
          <w:rFonts w:ascii="Times New Roman" w:hAnsi="Times New Roman" w:cs="Times New Roman"/>
          <w:bCs/>
          <w:kern w:val="1"/>
          <w:sz w:val="22"/>
          <w:szCs w:val="22"/>
          <w:lang w:eastAsia="hi-IN" w:bidi="hi-IN"/>
        </w:rPr>
        <w:t>26</w:t>
      </w:r>
      <w:r w:rsidR="00467124" w:rsidRPr="00F56BFD">
        <w:rPr>
          <w:rFonts w:ascii="Times New Roman" w:hAnsi="Times New Roman" w:cs="Times New Roman"/>
          <w:bCs/>
          <w:kern w:val="1"/>
          <w:sz w:val="22"/>
          <w:szCs w:val="22"/>
          <w:lang w:eastAsia="hi-IN" w:bidi="hi-IN"/>
        </w:rPr>
        <w:t>г.</w:t>
      </w:r>
      <w:r w:rsidR="003F058B">
        <w:rPr>
          <w:rFonts w:ascii="Times New Roman" w:hAnsi="Times New Roman" w:cs="Times New Roman"/>
          <w:bCs/>
          <w:kern w:val="1"/>
          <w:sz w:val="22"/>
          <w:szCs w:val="22"/>
          <w:lang w:eastAsia="hi-IN" w:bidi="hi-IN"/>
        </w:rPr>
        <w:t xml:space="preserve"> </w:t>
      </w:r>
      <w:r w:rsidR="003F058B" w:rsidRPr="003F058B">
        <w:rPr>
          <w:rFonts w:ascii="Times New Roman" w:hAnsi="Times New Roman" w:cs="Times New Roman"/>
          <w:bCs/>
          <w:kern w:val="1"/>
          <w:sz w:val="22"/>
          <w:szCs w:val="22"/>
          <w:lang w:eastAsia="hi-IN" w:bidi="hi-IN"/>
        </w:rPr>
        <w:t xml:space="preserve">Истечение срока действия </w:t>
      </w:r>
      <w:r w:rsidR="003F058B">
        <w:rPr>
          <w:rFonts w:ascii="Times New Roman" w:hAnsi="Times New Roman" w:cs="Times New Roman"/>
          <w:bCs/>
          <w:kern w:val="1"/>
          <w:sz w:val="22"/>
          <w:szCs w:val="22"/>
          <w:lang w:eastAsia="hi-IN" w:bidi="hi-IN"/>
        </w:rPr>
        <w:t>Контракта</w:t>
      </w:r>
      <w:r w:rsidR="003F058B" w:rsidRPr="003F058B">
        <w:rPr>
          <w:rFonts w:ascii="Times New Roman" w:hAnsi="Times New Roman" w:cs="Times New Roman"/>
          <w:bCs/>
          <w:kern w:val="1"/>
          <w:sz w:val="22"/>
          <w:szCs w:val="22"/>
          <w:lang w:eastAsia="hi-IN" w:bidi="hi-IN"/>
        </w:rPr>
        <w:t xml:space="preserve"> не прекращает обязательств Сторон по </w:t>
      </w:r>
      <w:r w:rsidR="003F058B">
        <w:rPr>
          <w:rFonts w:ascii="Times New Roman" w:hAnsi="Times New Roman" w:cs="Times New Roman"/>
          <w:bCs/>
          <w:kern w:val="1"/>
          <w:sz w:val="22"/>
          <w:szCs w:val="22"/>
          <w:lang w:eastAsia="hi-IN" w:bidi="hi-IN"/>
        </w:rPr>
        <w:t>Контракту</w:t>
      </w:r>
      <w:r w:rsidR="003F058B" w:rsidRPr="003F058B">
        <w:rPr>
          <w:rFonts w:ascii="Times New Roman" w:hAnsi="Times New Roman" w:cs="Times New Roman"/>
          <w:bCs/>
          <w:kern w:val="1"/>
          <w:sz w:val="22"/>
          <w:szCs w:val="22"/>
          <w:lang w:eastAsia="hi-IN" w:bidi="hi-IN"/>
        </w:rPr>
        <w:t xml:space="preserve">, если такие обязательства возникли в период действия </w:t>
      </w:r>
      <w:r w:rsidR="003F058B">
        <w:rPr>
          <w:rFonts w:ascii="Times New Roman" w:hAnsi="Times New Roman" w:cs="Times New Roman"/>
          <w:bCs/>
          <w:kern w:val="1"/>
          <w:sz w:val="22"/>
          <w:szCs w:val="22"/>
          <w:lang w:eastAsia="hi-IN" w:bidi="hi-IN"/>
        </w:rPr>
        <w:t>Контракта</w:t>
      </w:r>
      <w:r w:rsidR="003F058B" w:rsidRPr="003F058B">
        <w:rPr>
          <w:rFonts w:ascii="Times New Roman" w:hAnsi="Times New Roman" w:cs="Times New Roman"/>
          <w:bCs/>
          <w:kern w:val="1"/>
          <w:sz w:val="22"/>
          <w:szCs w:val="22"/>
          <w:lang w:eastAsia="hi-IN" w:bidi="hi-IN"/>
        </w:rPr>
        <w:t xml:space="preserve"> и не были исполнены Сторонами до истечения срока действия </w:t>
      </w:r>
      <w:r w:rsidR="003F058B">
        <w:rPr>
          <w:rFonts w:ascii="Times New Roman" w:hAnsi="Times New Roman" w:cs="Times New Roman"/>
          <w:bCs/>
          <w:kern w:val="1"/>
          <w:sz w:val="22"/>
          <w:szCs w:val="22"/>
          <w:lang w:eastAsia="hi-IN" w:bidi="hi-IN"/>
        </w:rPr>
        <w:t>Контракта.</w:t>
      </w:r>
    </w:p>
    <w:p w:rsidR="003F058B" w:rsidRPr="00F56BFD" w:rsidRDefault="003F058B" w:rsidP="00CB5662">
      <w:pPr>
        <w:widowControl w:val="0"/>
        <w:contextualSpacing/>
        <w:jc w:val="both"/>
        <w:rPr>
          <w:rFonts w:ascii="Times New Roman" w:hAnsi="Times New Roman" w:cs="Times New Roman"/>
          <w:bCs/>
          <w:kern w:val="1"/>
          <w:sz w:val="22"/>
          <w:szCs w:val="22"/>
          <w:lang w:eastAsia="hi-IN" w:bidi="hi-IN"/>
        </w:rPr>
      </w:pP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Pr="00F56BFD" w:rsidRDefault="008203F4" w:rsidP="0083036E">
      <w:pPr>
        <w:jc w:val="both"/>
        <w:rPr>
          <w:rFonts w:ascii="Times New Roman" w:hAnsi="Times New Roman"/>
          <w:b/>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FA68D4" w:rsidRPr="00F56BFD" w:rsidRDefault="00FA68D4" w:rsidP="00E1693A">
            <w:pPr>
              <w:widowControl w:val="0"/>
              <w:contextualSpacing/>
              <w:jc w:val="both"/>
              <w:rPr>
                <w:rFonts w:ascii="Times New Roman" w:hAnsi="Times New Roman" w:cs="Times New Roman"/>
                <w:b/>
                <w:bCs/>
                <w:kern w:val="1"/>
                <w:sz w:val="22"/>
                <w:szCs w:val="22"/>
                <w:lang w:eastAsia="hi-IN" w:bidi="hi-IN"/>
              </w:rPr>
            </w:pPr>
          </w:p>
          <w:p w:rsidR="00FA68D4" w:rsidRDefault="00FA68D4" w:rsidP="00FA68D4">
            <w:pPr>
              <w:widowControl w:val="0"/>
              <w:contextualSpacing/>
              <w:rPr>
                <w:rFonts w:ascii="Times New Roman" w:hAnsi="Times New Roman" w:cs="Times New Roman"/>
                <w:b/>
                <w:bCs/>
                <w:kern w:val="1"/>
                <w:sz w:val="22"/>
                <w:szCs w:val="22"/>
                <w:lang w:eastAsia="hi-IN" w:bidi="hi-IN"/>
              </w:rPr>
            </w:pPr>
            <w:r w:rsidRPr="00FA68D4">
              <w:rPr>
                <w:rFonts w:ascii="Times New Roman" w:hAnsi="Times New Roman" w:cs="Times New Roman"/>
                <w:b/>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w:t>
            </w:r>
            <w:proofErr w:type="spellStart"/>
            <w:r w:rsidRPr="00FA68D4">
              <w:rPr>
                <w:rFonts w:ascii="Times New Roman" w:hAnsi="Times New Roman" w:cs="Times New Roman"/>
                <w:b/>
                <w:bCs/>
                <w:kern w:val="1"/>
                <w:sz w:val="22"/>
                <w:szCs w:val="22"/>
                <w:lang w:eastAsia="hi-IN" w:bidi="hi-IN"/>
              </w:rPr>
              <w:t>ИОГен</w:t>
            </w:r>
            <w:proofErr w:type="spellEnd"/>
            <w:r w:rsidRPr="00FA68D4">
              <w:rPr>
                <w:rFonts w:ascii="Times New Roman" w:hAnsi="Times New Roman" w:cs="Times New Roman"/>
                <w:b/>
                <w:bCs/>
                <w:kern w:val="1"/>
                <w:sz w:val="22"/>
                <w:szCs w:val="22"/>
                <w:lang w:eastAsia="hi-IN" w:bidi="hi-IN"/>
              </w:rPr>
              <w:t xml:space="preserve"> РАН)</w:t>
            </w:r>
          </w:p>
          <w:p w:rsidR="00FA68D4" w:rsidRPr="00FA68D4" w:rsidRDefault="00FA68D4" w:rsidP="00FA68D4">
            <w:pPr>
              <w:widowControl w:val="0"/>
              <w:contextualSpacing/>
              <w:rPr>
                <w:rFonts w:ascii="Times New Roman" w:hAnsi="Times New Roman" w:cs="Times New Roman"/>
                <w:b/>
                <w:bCs/>
                <w:kern w:val="1"/>
                <w:sz w:val="22"/>
                <w:szCs w:val="22"/>
                <w:lang w:eastAsia="hi-IN" w:bidi="hi-IN"/>
              </w:rPr>
            </w:pP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Адрес: 119991, ГСП-1, г. Москва, ул. Губкина, д.3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Тел./факс: 8 (499) 132-89-63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 xml:space="preserve">ИНН 7736099129 </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КПП 773601001</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ЕКС 40102810545370000003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 xml:space="preserve">НКС 03214643000000017300 </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ОКЦ №1 ГУ БАНКА РОССИИ ПО ЦФО//УФК ПО Г.МОСКВЕ г. Москва</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БИК 004525988</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УФК по г. Москве (</w:t>
            </w:r>
            <w:proofErr w:type="spellStart"/>
            <w:r w:rsidRPr="00FA68D4">
              <w:rPr>
                <w:rFonts w:ascii="Times New Roman" w:hAnsi="Times New Roman" w:cs="Times New Roman"/>
                <w:bCs/>
                <w:kern w:val="1"/>
                <w:sz w:val="22"/>
                <w:szCs w:val="22"/>
                <w:lang w:eastAsia="hi-IN" w:bidi="hi-IN"/>
              </w:rPr>
              <w:t>ИОГен</w:t>
            </w:r>
            <w:proofErr w:type="spellEnd"/>
            <w:r w:rsidRPr="00FA68D4">
              <w:rPr>
                <w:rFonts w:ascii="Times New Roman" w:hAnsi="Times New Roman" w:cs="Times New Roman"/>
                <w:bCs/>
                <w:kern w:val="1"/>
                <w:sz w:val="22"/>
                <w:szCs w:val="22"/>
                <w:lang w:eastAsia="hi-IN" w:bidi="hi-IN"/>
              </w:rPr>
              <w:t xml:space="preserve"> РАН</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л/с 20736Ч26160)</w:t>
            </w:r>
          </w:p>
          <w:p w:rsidR="00E1693A"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ОКТМО 45398000</w:t>
            </w:r>
          </w:p>
          <w:p w:rsidR="00FA68D4" w:rsidRDefault="00FA68D4" w:rsidP="00FA68D4">
            <w:pPr>
              <w:widowControl w:val="0"/>
              <w:contextualSpacing/>
              <w:rPr>
                <w:rFonts w:ascii="Times New Roman" w:hAnsi="Times New Roman" w:cs="Times New Roman"/>
                <w:b/>
                <w:bCs/>
                <w:kern w:val="1"/>
                <w:sz w:val="22"/>
                <w:szCs w:val="22"/>
                <w:lang w:eastAsia="hi-IN" w:bidi="hi-IN"/>
              </w:rPr>
            </w:pP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Покупатель:</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 xml:space="preserve">Директор </w:t>
            </w:r>
            <w:proofErr w:type="spellStart"/>
            <w:r w:rsidRPr="00E1693A">
              <w:rPr>
                <w:rFonts w:ascii="Times New Roman" w:hAnsi="Times New Roman" w:cs="Times New Roman"/>
                <w:b/>
                <w:bCs/>
                <w:kern w:val="1"/>
                <w:sz w:val="22"/>
                <w:szCs w:val="22"/>
                <w:lang w:eastAsia="hi-IN" w:bidi="hi-IN"/>
              </w:rPr>
              <w:t>ИОГен</w:t>
            </w:r>
            <w:proofErr w:type="spellEnd"/>
            <w:r w:rsidRPr="00E1693A">
              <w:rPr>
                <w:rFonts w:ascii="Times New Roman" w:hAnsi="Times New Roman" w:cs="Times New Roman"/>
                <w:b/>
                <w:bCs/>
                <w:kern w:val="1"/>
                <w:sz w:val="22"/>
                <w:szCs w:val="22"/>
                <w:lang w:eastAsia="hi-IN" w:bidi="hi-IN"/>
              </w:rPr>
              <w:t xml:space="preserve">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 xml:space="preserve">____________ / Мисюрин А.В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573E05"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FA68D4">
        <w:rPr>
          <w:rFonts w:ascii="Times New Roman" w:hAnsi="Times New Roman" w:cs="Times New Roman"/>
          <w:bCs/>
          <w:sz w:val="22"/>
          <w:szCs w:val="22"/>
        </w:rPr>
        <w:t>2/2026</w:t>
      </w:r>
      <w:r w:rsidR="000853C3">
        <w:rPr>
          <w:rFonts w:ascii="Times New Roman" w:hAnsi="Times New Roman" w:cs="Times New Roman"/>
          <w:bCs/>
          <w:sz w:val="22"/>
          <w:szCs w:val="22"/>
        </w:rPr>
        <w:t>-</w:t>
      </w:r>
      <w:r w:rsidR="00E13156">
        <w:rPr>
          <w:rFonts w:ascii="Times New Roman" w:hAnsi="Times New Roman" w:cs="Times New Roman"/>
          <w:bCs/>
          <w:sz w:val="22"/>
          <w:szCs w:val="22"/>
        </w:rPr>
        <w:t>51</w:t>
      </w:r>
      <w:r w:rsidR="005A0FE6">
        <w:rPr>
          <w:rFonts w:ascii="Times New Roman" w:hAnsi="Times New Roman" w:cs="Times New Roman"/>
          <w:bCs/>
          <w:sz w:val="22"/>
          <w:szCs w:val="22"/>
        </w:rPr>
        <w:t>/73</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 xml:space="preserve">» </w:t>
      </w:r>
      <w:r w:rsidR="00573E05">
        <w:rPr>
          <w:rFonts w:ascii="Times New Roman" w:hAnsi="Times New Roman" w:cs="Times New Roman"/>
          <w:sz w:val="22"/>
          <w:szCs w:val="22"/>
        </w:rPr>
        <w:t>мая</w:t>
      </w:r>
      <w:r w:rsidR="00C76183">
        <w:rPr>
          <w:rFonts w:ascii="Times New Roman" w:hAnsi="Times New Roman" w:cs="Times New Roman"/>
          <w:sz w:val="22"/>
          <w:szCs w:val="22"/>
        </w:rPr>
        <w:t xml:space="preserve"> </w:t>
      </w:r>
      <w:r w:rsidRPr="00F56BFD">
        <w:rPr>
          <w:rFonts w:ascii="Times New Roman" w:hAnsi="Times New Roman" w:cs="Times New Roman"/>
          <w:sz w:val="22"/>
          <w:szCs w:val="22"/>
        </w:rPr>
        <w:t>202</w:t>
      </w:r>
      <w:r w:rsidR="00FA68D4">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
        <w:gridCol w:w="4136"/>
        <w:gridCol w:w="1482"/>
        <w:gridCol w:w="1021"/>
        <w:gridCol w:w="1100"/>
        <w:gridCol w:w="1360"/>
        <w:gridCol w:w="904"/>
      </w:tblGrid>
      <w:tr w:rsidR="00074520" w:rsidRPr="00F56BFD" w:rsidTr="00074520">
        <w:trPr>
          <w:trHeight w:val="255"/>
          <w:jc w:val="center"/>
        </w:trPr>
        <w:tc>
          <w:tcPr>
            <w:tcW w:w="495" w:type="dxa"/>
          </w:tcPr>
          <w:p w:rsidR="00074520" w:rsidRPr="00F56BFD" w:rsidRDefault="00074520"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4417" w:type="dxa"/>
            <w:tcMar>
              <w:top w:w="0" w:type="dxa"/>
              <w:left w:w="108" w:type="dxa"/>
              <w:bottom w:w="0" w:type="dxa"/>
              <w:right w:w="108" w:type="dxa"/>
            </w:tcMar>
            <w:vAlign w:val="bottom"/>
            <w:hideMark/>
          </w:tcPr>
          <w:p w:rsidR="00074520" w:rsidRPr="00F56BFD" w:rsidRDefault="00074520"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r>
              <w:rPr>
                <w:rFonts w:ascii="Times New Roman" w:hAnsi="Times New Roman" w:cs="Times New Roman"/>
                <w:sz w:val="22"/>
                <w:szCs w:val="22"/>
              </w:rPr>
              <w:t xml:space="preserve"> (</w:t>
            </w:r>
            <w:r w:rsidRPr="00074520">
              <w:rPr>
                <w:rFonts w:ascii="Times New Roman" w:hAnsi="Times New Roman" w:cs="Times New Roman"/>
                <w:sz w:val="22"/>
                <w:szCs w:val="22"/>
              </w:rPr>
              <w:t>функциональные, технические характеристики, описание товара</w:t>
            </w:r>
            <w:r>
              <w:rPr>
                <w:rFonts w:ascii="Times New Roman" w:hAnsi="Times New Roman" w:cs="Times New Roman"/>
                <w:sz w:val="22"/>
                <w:szCs w:val="22"/>
              </w:rPr>
              <w:t>)</w:t>
            </w:r>
          </w:p>
          <w:p w:rsidR="00074520" w:rsidRPr="00F56BFD" w:rsidRDefault="00074520" w:rsidP="00D00477">
            <w:pPr>
              <w:jc w:val="center"/>
              <w:rPr>
                <w:rFonts w:ascii="Times New Roman" w:hAnsi="Times New Roman" w:cs="Times New Roman"/>
                <w:sz w:val="22"/>
                <w:szCs w:val="22"/>
              </w:rPr>
            </w:pPr>
          </w:p>
        </w:tc>
        <w:tc>
          <w:tcPr>
            <w:tcW w:w="1100" w:type="dxa"/>
          </w:tcPr>
          <w:p w:rsidR="00074520" w:rsidRDefault="00074520" w:rsidP="00D00477">
            <w:pPr>
              <w:jc w:val="center"/>
              <w:rPr>
                <w:rFonts w:ascii="Times New Roman" w:hAnsi="Times New Roman" w:cs="Times New Roman"/>
                <w:sz w:val="22"/>
                <w:szCs w:val="22"/>
              </w:rPr>
            </w:pPr>
            <w:r>
              <w:rPr>
                <w:rFonts w:ascii="Times New Roman" w:hAnsi="Times New Roman" w:cs="Times New Roman"/>
                <w:sz w:val="22"/>
                <w:szCs w:val="22"/>
              </w:rPr>
              <w:t>Страна происхождения</w:t>
            </w:r>
          </w:p>
        </w:tc>
        <w:tc>
          <w:tcPr>
            <w:tcW w:w="1100" w:type="dxa"/>
          </w:tcPr>
          <w:p w:rsidR="00074520" w:rsidRPr="00F56BFD" w:rsidRDefault="00074520" w:rsidP="00D00477">
            <w:pPr>
              <w:jc w:val="center"/>
              <w:rPr>
                <w:rFonts w:ascii="Times New Roman" w:hAnsi="Times New Roman" w:cs="Times New Roman"/>
                <w:sz w:val="22"/>
                <w:szCs w:val="22"/>
              </w:rPr>
            </w:pPr>
            <w:r>
              <w:rPr>
                <w:rFonts w:ascii="Times New Roman" w:hAnsi="Times New Roman" w:cs="Times New Roman"/>
                <w:sz w:val="22"/>
                <w:szCs w:val="22"/>
              </w:rPr>
              <w:t>Ед. изм.</w:t>
            </w:r>
          </w:p>
        </w:tc>
        <w:tc>
          <w:tcPr>
            <w:tcW w:w="1100" w:type="dxa"/>
            <w:noWrap/>
            <w:tcMar>
              <w:top w:w="0" w:type="dxa"/>
              <w:left w:w="108" w:type="dxa"/>
              <w:bottom w:w="0" w:type="dxa"/>
              <w:right w:w="108" w:type="dxa"/>
            </w:tcMar>
            <w:vAlign w:val="center"/>
            <w:hideMark/>
          </w:tcPr>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Кол-во</w:t>
            </w:r>
          </w:p>
          <w:p w:rsidR="00074520" w:rsidRPr="00F56BFD" w:rsidRDefault="00074520"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074520" w:rsidRPr="00035E23" w:rsidTr="00074520">
        <w:trPr>
          <w:trHeight w:val="255"/>
          <w:jc w:val="center"/>
        </w:trPr>
        <w:tc>
          <w:tcPr>
            <w:tcW w:w="495" w:type="dxa"/>
          </w:tcPr>
          <w:p w:rsidR="00074520" w:rsidRPr="00035E23" w:rsidRDefault="00074520" w:rsidP="00074520">
            <w:pPr>
              <w:jc w:val="center"/>
              <w:rPr>
                <w:rFonts w:ascii="Times New Roman" w:hAnsi="Times New Roman" w:cs="Times New Roman"/>
                <w:sz w:val="22"/>
                <w:szCs w:val="22"/>
                <w:lang w:val="en-US"/>
              </w:rPr>
            </w:pPr>
          </w:p>
        </w:tc>
        <w:tc>
          <w:tcPr>
            <w:tcW w:w="4417" w:type="dxa"/>
            <w:tcMar>
              <w:top w:w="0" w:type="dxa"/>
              <w:left w:w="108" w:type="dxa"/>
              <w:bottom w:w="0" w:type="dxa"/>
              <w:right w:w="108" w:type="dxa"/>
            </w:tcMar>
            <w:vAlign w:val="center"/>
          </w:tcPr>
          <w:p w:rsidR="00074520" w:rsidRPr="00035E23" w:rsidRDefault="00074520" w:rsidP="00035E23">
            <w:pPr>
              <w:rPr>
                <w:rFonts w:ascii="Times New Roman" w:hAnsi="Times New Roman" w:cs="Times New Roman"/>
                <w:sz w:val="22"/>
                <w:szCs w:val="22"/>
                <w:lang w:val="en-US"/>
              </w:rPr>
            </w:pPr>
          </w:p>
        </w:tc>
        <w:tc>
          <w:tcPr>
            <w:tcW w:w="1100" w:type="dxa"/>
          </w:tcPr>
          <w:p w:rsidR="00074520" w:rsidRPr="00B2111A" w:rsidRDefault="00074520" w:rsidP="00D00477">
            <w:pPr>
              <w:jc w:val="center"/>
              <w:rPr>
                <w:rFonts w:ascii="Times New Roman" w:hAnsi="Times New Roman" w:cs="Times New Roman"/>
                <w:sz w:val="22"/>
                <w:szCs w:val="22"/>
              </w:rPr>
            </w:pPr>
          </w:p>
        </w:tc>
        <w:tc>
          <w:tcPr>
            <w:tcW w:w="1100" w:type="dxa"/>
          </w:tcPr>
          <w:p w:rsidR="00074520" w:rsidRPr="00B2111A" w:rsidRDefault="00074520"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074520" w:rsidRPr="00B2111A" w:rsidRDefault="00074520"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074520" w:rsidRPr="0057457F" w:rsidRDefault="00074520"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074520" w:rsidRPr="00035E23" w:rsidRDefault="00074520"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134E82">
      <w:pPr>
        <w:pStyle w:val="a4"/>
        <w:widowControl w:val="0"/>
        <w:ind w:left="0"/>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FA68D4">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__________________________________</w:t>
      </w:r>
      <w:r w:rsidR="00FA68D4">
        <w:rPr>
          <w:rFonts w:ascii="Times New Roman" w:hAnsi="Times New Roman" w:cs="Times New Roman"/>
          <w:b/>
          <w:sz w:val="22"/>
          <w:szCs w:val="22"/>
        </w:rPr>
        <w:t xml:space="preserve">  </w:t>
      </w:r>
    </w:p>
    <w:p w:rsidR="00C76183" w:rsidRDefault="00C76183" w:rsidP="00134E82">
      <w:pPr>
        <w:pStyle w:val="a4"/>
        <w:widowControl w:val="0"/>
        <w:ind w:left="0"/>
        <w:jc w:val="both"/>
        <w:rPr>
          <w:rFonts w:ascii="Times New Roman" w:hAnsi="Times New Roman" w:cs="Times New Roman"/>
          <w:b/>
          <w:sz w:val="22"/>
          <w:szCs w:val="22"/>
        </w:rPr>
      </w:pP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w:t>
      </w:r>
      <w:r w:rsidRPr="00F70D76">
        <w:rPr>
          <w:rFonts w:ascii="Times New Roman" w:hAnsi="Times New Roman" w:cs="Times New Roman"/>
          <w:bCs/>
          <w:sz w:val="22"/>
          <w:szCs w:val="22"/>
        </w:rPr>
        <w:tab/>
        <w:t>Общие требования к поставке Товара:</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.1.</w:t>
      </w:r>
      <w:r w:rsidRPr="00F70D76">
        <w:rPr>
          <w:rFonts w:ascii="Times New Roman" w:hAnsi="Times New Roman" w:cs="Times New Roman"/>
          <w:bCs/>
          <w:sz w:val="22"/>
          <w:szCs w:val="22"/>
        </w:rPr>
        <w:tab/>
        <w:t>Предлагаемый к поставке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.2.</w:t>
      </w:r>
      <w:r w:rsidRPr="00F70D76">
        <w:rPr>
          <w:rFonts w:ascii="Times New Roman" w:hAnsi="Times New Roman" w:cs="Times New Roman"/>
          <w:bCs/>
          <w:sz w:val="22"/>
          <w:szCs w:val="22"/>
        </w:rPr>
        <w:tab/>
        <w:t>Предлагаемый к поставке Товар должен быть собран, скомплектован и упакован на заводе производителя. Упаковка должна исключать возможность повреждения оборудования при транспортировке.</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.3.</w:t>
      </w:r>
      <w:r w:rsidRPr="00F70D76">
        <w:rPr>
          <w:rFonts w:ascii="Times New Roman" w:hAnsi="Times New Roman" w:cs="Times New Roman"/>
          <w:bCs/>
          <w:sz w:val="22"/>
          <w:szCs w:val="22"/>
        </w:rPr>
        <w:tab/>
        <w:t>Поставщик гарантирует, что Товар будет соответствовать заявленным заводом-изготовителем требованиям утвержденных ГОСТов, ТУ и/или других установленных уполномоченными органами требований к качеству Товара и обеспечит достижение заявленных Поставщиком показателей работы Товара (производительность, мощность, ресурс и прочие показатели) (гарантия).</w:t>
      </w:r>
      <w:r w:rsidR="00FA68D4">
        <w:rPr>
          <w:rFonts w:ascii="Times New Roman" w:hAnsi="Times New Roman" w:cs="Times New Roman"/>
          <w:bCs/>
          <w:sz w:val="22"/>
          <w:szCs w:val="22"/>
        </w:rPr>
        <w:t xml:space="preserve"> </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На Товар Поставщик устанавливает гарантийный срок</w:t>
      </w:r>
      <w:r w:rsidRPr="00F70D76">
        <w:rPr>
          <w:rFonts w:ascii="Times New Roman" w:hAnsi="Times New Roman" w:cs="Times New Roman"/>
          <w:b/>
          <w:sz w:val="22"/>
          <w:szCs w:val="22"/>
        </w:rPr>
        <w:t xml:space="preserve"> 12 месяцев</w:t>
      </w:r>
      <w:r w:rsidR="00A7014B">
        <w:rPr>
          <w:rFonts w:ascii="Times New Roman" w:hAnsi="Times New Roman" w:cs="Times New Roman"/>
          <w:b/>
          <w:sz w:val="22"/>
          <w:szCs w:val="22"/>
        </w:rPr>
        <w:t>, но не менее установленного производителем,</w:t>
      </w:r>
      <w:r w:rsidRPr="00F70D76">
        <w:rPr>
          <w:rFonts w:ascii="Times New Roman" w:hAnsi="Times New Roman" w:cs="Times New Roman"/>
          <w:b/>
          <w:sz w:val="22"/>
          <w:szCs w:val="22"/>
        </w:rPr>
        <w:t xml:space="preserve"> </w:t>
      </w:r>
      <w:r w:rsidRPr="00F70D76">
        <w:rPr>
          <w:rFonts w:ascii="Times New Roman" w:hAnsi="Times New Roman" w:cs="Times New Roman"/>
          <w:bCs/>
          <w:sz w:val="22"/>
          <w:szCs w:val="22"/>
        </w:rPr>
        <w:t>с даты получения товара и подписания Сторонами товарной накладной (форма ТОРГ-12)/УПД. Отсчет гарантийных сроков начинается с момента подписания документа о приемке Товара обеими сторонами договора. Поставщик обязан предоставить Покупателю документ, удостоверяющий гарантию на поставляемый Товар в момент передачи Товара.</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Если в период эксплуатации Товара в течение действия гарантийного срока выявятся недостатки Товара (не качественный, некомплектный и др.), то Поставщик обязуется в течение 10 дней устранить все обнаруженные дефекты путем обеспечения допоставки, исправления либо замены дефектного Товара или его частей полностью за счет Поставщика, включая транспортные расходы по доставке Товара или его частей от Покупателя и обратно.</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 xml:space="preserve">Проведение гарантийных ремонтов Товара осуществляется Поставщиком в течение всего срока гарантийной эксплуатации Товара. В случае, когда устранение дефектов в гарантийный период не требует заводского ремонта или ремонта в условиях сервисного центра, и они могут быть устранены Покупателем на месте, последний вправе устранить дефекты своими силами и средствами, но за счет Поставщика. В этих случаях Поставщик обязан восполнить Покупателю его детали, агрегаты и узлы, израсходованные на замену дефектных в срок </w:t>
      </w:r>
      <w:r>
        <w:rPr>
          <w:rFonts w:ascii="Times New Roman" w:hAnsi="Times New Roman" w:cs="Times New Roman"/>
          <w:bCs/>
          <w:sz w:val="22"/>
          <w:szCs w:val="22"/>
        </w:rPr>
        <w:t>1</w:t>
      </w:r>
      <w:r w:rsidRPr="00F70D76">
        <w:rPr>
          <w:rFonts w:ascii="Times New Roman" w:hAnsi="Times New Roman" w:cs="Times New Roman"/>
          <w:bCs/>
          <w:sz w:val="22"/>
          <w:szCs w:val="22"/>
        </w:rPr>
        <w:t>0 дней со дня получения рекламации (по соглашению Сторон могут быть установлены иные сроки отгрузки деталей, агрегатов и узлов) или возместить все расходы Покупателю, связанные с устранением дефектов.</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Гарантийный срок эксплуатации Товара продлевается на время, в течение которого Товар не использовался Покупателем из-за обнаруженных дефектов. Это время исчисляется от даты направления Покупателем уведомления о недостатке Товара до даты его устранения.</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.4.</w:t>
      </w:r>
      <w:r w:rsidRPr="00F70D76">
        <w:rPr>
          <w:rFonts w:ascii="Times New Roman" w:hAnsi="Times New Roman" w:cs="Times New Roman"/>
          <w:bCs/>
          <w:sz w:val="22"/>
          <w:szCs w:val="22"/>
        </w:rPr>
        <w:tab/>
        <w:t>Заданием на поставку Товара считается подписание Контракта с учетом настоящего Технического задания (далее — Техническое задание). Направление Покупателем в адрес Поставщика каких-либо специальных заданий или заявок не предусмотрено, но может быть осуществлено по усмотрению Покупателя.</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8C382D" w:rsidRPr="00F56BFD" w:rsidTr="00D00477">
        <w:tc>
          <w:tcPr>
            <w:tcW w:w="5211" w:type="dxa"/>
          </w:tcPr>
          <w:p w:rsidR="008C382D" w:rsidRPr="00F56BFD" w:rsidRDefault="008C382D"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Покупатель:</w:t>
            </w:r>
          </w:p>
        </w:tc>
        <w:tc>
          <w:tcPr>
            <w:tcW w:w="4926" w:type="dxa"/>
          </w:tcPr>
          <w:p w:rsidR="008C382D" w:rsidRPr="00F56BFD" w:rsidRDefault="008C382D"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tc>
      </w:tr>
      <w:tr w:rsidR="002139B9" w:rsidRPr="00F56BFD" w:rsidTr="008C382D">
        <w:trPr>
          <w:trHeight w:val="310"/>
        </w:trPr>
        <w:tc>
          <w:tcPr>
            <w:tcW w:w="5211" w:type="dxa"/>
          </w:tcPr>
          <w:p w:rsidR="002139B9" w:rsidRPr="00F56BFD" w:rsidRDefault="003224B7"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 xml:space="preserve">Директор </w:t>
            </w:r>
            <w:proofErr w:type="spellStart"/>
            <w:r w:rsidRPr="003224B7">
              <w:rPr>
                <w:rFonts w:ascii="Times New Roman" w:hAnsi="Times New Roman" w:cs="Times New Roman"/>
                <w:b/>
                <w:bCs/>
                <w:kern w:val="1"/>
                <w:sz w:val="22"/>
                <w:szCs w:val="22"/>
                <w:lang w:eastAsia="hi-IN" w:bidi="hi-IN"/>
              </w:rPr>
              <w:t>ИОГен</w:t>
            </w:r>
            <w:proofErr w:type="spellEnd"/>
            <w:r w:rsidRPr="003224B7">
              <w:rPr>
                <w:rFonts w:ascii="Times New Roman" w:hAnsi="Times New Roman" w:cs="Times New Roman"/>
                <w:b/>
                <w:bCs/>
                <w:kern w:val="1"/>
                <w:sz w:val="22"/>
                <w:szCs w:val="22"/>
                <w:lang w:eastAsia="hi-IN" w:bidi="hi-IN"/>
              </w:rPr>
              <w:t xml:space="preserve"> РАН</w:t>
            </w:r>
          </w:p>
        </w:tc>
        <w:tc>
          <w:tcPr>
            <w:tcW w:w="4926" w:type="dxa"/>
          </w:tcPr>
          <w:p w:rsidR="002139B9" w:rsidRPr="00F56BFD" w:rsidRDefault="002139B9" w:rsidP="00C76183">
            <w:pPr>
              <w:ind w:right="-40"/>
              <w:rPr>
                <w:rFonts w:ascii="Times New Roman" w:hAnsi="Times New Roman" w:cs="Times New Roman"/>
                <w:b/>
                <w:kern w:val="1"/>
                <w:sz w:val="22"/>
                <w:szCs w:val="22"/>
                <w:lang w:eastAsia="hi-IN" w:bidi="hi-IN"/>
              </w:rPr>
            </w:pPr>
          </w:p>
        </w:tc>
      </w:tr>
      <w:tr w:rsidR="002139B9" w:rsidRPr="00F56BFD" w:rsidTr="00D00477">
        <w:tc>
          <w:tcPr>
            <w:tcW w:w="5211" w:type="dxa"/>
          </w:tcPr>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tc>
        <w:tc>
          <w:tcPr>
            <w:tcW w:w="4926" w:type="dxa"/>
          </w:tcPr>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tc>
      </w:tr>
      <w:tr w:rsidR="002139B9" w:rsidRPr="00F56BFD" w:rsidTr="00D00477">
        <w:tc>
          <w:tcPr>
            <w:tcW w:w="5211" w:type="dxa"/>
          </w:tcPr>
          <w:p w:rsidR="002139B9" w:rsidRPr="00F56BFD" w:rsidRDefault="002139B9"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 /</w:t>
            </w:r>
            <w:r w:rsidR="008C35B9" w:rsidRPr="008C35B9">
              <w:rPr>
                <w:rFonts w:ascii="Times New Roman" w:hAnsi="Times New Roman" w:cs="Times New Roman"/>
                <w:b/>
                <w:bCs/>
                <w:kern w:val="1"/>
                <w:sz w:val="22"/>
                <w:szCs w:val="22"/>
                <w:lang w:eastAsia="hi-IN" w:bidi="hi-IN"/>
              </w:rPr>
              <w:t>Мисюрин А.В.</w:t>
            </w:r>
            <w:r w:rsidR="008C35B9">
              <w:rPr>
                <w:rFonts w:ascii="Times New Roman" w:hAnsi="Times New Roman" w:cs="Times New Roman"/>
                <w:b/>
                <w:bCs/>
                <w:kern w:val="1"/>
                <w:sz w:val="22"/>
                <w:szCs w:val="22"/>
                <w:lang w:eastAsia="hi-IN" w:bidi="hi-IN"/>
              </w:rPr>
              <w:t>/</w:t>
            </w:r>
            <w:r w:rsidR="00024961">
              <w:rPr>
                <w:rFonts w:ascii="Times New Roman" w:hAnsi="Times New Roman" w:cs="Times New Roman"/>
                <w:b/>
                <w:bCs/>
                <w:kern w:val="1"/>
                <w:sz w:val="22"/>
                <w:szCs w:val="22"/>
                <w:lang w:eastAsia="hi-IN" w:bidi="hi-IN"/>
              </w:rPr>
              <w:t xml:space="preserve"> </w:t>
            </w:r>
          </w:p>
        </w:tc>
        <w:tc>
          <w:tcPr>
            <w:tcW w:w="4926" w:type="dxa"/>
          </w:tcPr>
          <w:p w:rsidR="002139B9" w:rsidRPr="00F56BFD" w:rsidRDefault="0073580A" w:rsidP="00C76183">
            <w:pPr>
              <w:widowControl w:val="0"/>
              <w:contextualSpacing/>
              <w:jc w:val="both"/>
              <w:rPr>
                <w:rFonts w:ascii="Times New Roman" w:hAnsi="Times New Roman" w:cs="Times New Roman"/>
                <w:b/>
                <w:bCs/>
                <w:kern w:val="1"/>
                <w:sz w:val="22"/>
                <w:szCs w:val="22"/>
                <w:lang w:eastAsia="hi-IN" w:bidi="hi-IN"/>
              </w:rPr>
            </w:pPr>
            <w:bookmarkStart w:id="1" w:name="_Hlk204785993"/>
            <w:r w:rsidRPr="00F56BFD">
              <w:rPr>
                <w:rFonts w:ascii="Times New Roman" w:hAnsi="Times New Roman" w:cs="Times New Roman"/>
                <w:b/>
                <w:bCs/>
                <w:kern w:val="1"/>
                <w:sz w:val="22"/>
                <w:szCs w:val="22"/>
                <w:lang w:eastAsia="hi-IN" w:bidi="hi-IN"/>
              </w:rPr>
              <w:t>______________________</w:t>
            </w:r>
            <w:r w:rsidR="00F51B71" w:rsidRPr="00F56BFD">
              <w:rPr>
                <w:rFonts w:ascii="Times New Roman" w:hAnsi="Times New Roman" w:cs="Times New Roman"/>
                <w:b/>
                <w:bCs/>
                <w:kern w:val="1"/>
                <w:sz w:val="22"/>
                <w:szCs w:val="22"/>
                <w:lang w:eastAsia="hi-IN" w:bidi="hi-IN"/>
              </w:rPr>
              <w:t>/</w:t>
            </w:r>
            <w:r w:rsidR="00E1693A">
              <w:rPr>
                <w:rFonts w:ascii="Times New Roman" w:hAnsi="Times New Roman" w:cs="Times New Roman"/>
                <w:b/>
                <w:bCs/>
                <w:kern w:val="1"/>
                <w:sz w:val="22"/>
                <w:szCs w:val="22"/>
                <w:lang w:eastAsia="hi-IN" w:bidi="hi-IN"/>
              </w:rPr>
              <w:t>________________</w:t>
            </w:r>
            <w:r w:rsidR="002139B9" w:rsidRPr="00F56BFD">
              <w:rPr>
                <w:rFonts w:ascii="Times New Roman" w:hAnsi="Times New Roman" w:cs="Times New Roman"/>
                <w:b/>
                <w:bCs/>
                <w:kern w:val="1"/>
                <w:sz w:val="22"/>
                <w:szCs w:val="22"/>
                <w:lang w:eastAsia="hi-IN" w:bidi="hi-IN"/>
              </w:rPr>
              <w:t>/</w:t>
            </w:r>
            <w:bookmarkEnd w:id="1"/>
          </w:p>
        </w:tc>
      </w:tr>
      <w:tr w:rsidR="002139B9" w:rsidRPr="00F56BFD" w:rsidTr="00D00477">
        <w:tc>
          <w:tcPr>
            <w:tcW w:w="5211" w:type="dxa"/>
          </w:tcPr>
          <w:p w:rsidR="002139B9" w:rsidRPr="00F56BFD" w:rsidRDefault="00E1693A"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2139B9" w:rsidRPr="00F56BFD" w:rsidRDefault="00E1693A"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r w:rsidR="002139B9" w:rsidRPr="00F56BFD" w:rsidTr="00D00477">
        <w:tc>
          <w:tcPr>
            <w:tcW w:w="5211" w:type="dxa"/>
          </w:tcPr>
          <w:p w:rsidR="002139B9" w:rsidRPr="00F56BFD" w:rsidRDefault="002139B9" w:rsidP="00D00477">
            <w:pPr>
              <w:widowControl w:val="0"/>
              <w:contextualSpacing/>
              <w:jc w:val="both"/>
              <w:rPr>
                <w:rFonts w:ascii="Times New Roman" w:hAnsi="Times New Roman" w:cs="Times New Roman"/>
                <w:b/>
                <w:bCs/>
                <w:kern w:val="1"/>
                <w:sz w:val="22"/>
                <w:szCs w:val="22"/>
                <w:lang w:eastAsia="hi-IN" w:bidi="hi-IN"/>
              </w:rPr>
            </w:pPr>
          </w:p>
        </w:tc>
        <w:tc>
          <w:tcPr>
            <w:tcW w:w="4926" w:type="dxa"/>
          </w:tcPr>
          <w:p w:rsidR="002139B9" w:rsidRPr="00F56BFD" w:rsidRDefault="002139B9" w:rsidP="00D00477">
            <w:pPr>
              <w:widowControl w:val="0"/>
              <w:contextualSpacing/>
              <w:jc w:val="both"/>
              <w:rPr>
                <w:rFonts w:ascii="Times New Roman" w:hAnsi="Times New Roman" w:cs="Times New Roman"/>
                <w:b/>
                <w:bCs/>
                <w:kern w:val="1"/>
                <w:sz w:val="22"/>
                <w:szCs w:val="22"/>
                <w:lang w:eastAsia="hi-IN" w:bidi="hi-IN"/>
              </w:rPr>
            </w:pPr>
          </w:p>
        </w:tc>
      </w:tr>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573E05"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FA68D4">
        <w:rPr>
          <w:rFonts w:ascii="Times New Roman" w:hAnsi="Times New Roman" w:cs="Times New Roman"/>
          <w:color w:val="000000"/>
          <w:sz w:val="22"/>
          <w:szCs w:val="22"/>
          <w:lang w:eastAsia="zh-CN"/>
        </w:rPr>
        <w:t>2/2026</w:t>
      </w:r>
      <w:r w:rsidR="000853C3">
        <w:rPr>
          <w:rFonts w:ascii="Times New Roman" w:hAnsi="Times New Roman" w:cs="Times New Roman"/>
          <w:color w:val="000000"/>
          <w:sz w:val="22"/>
          <w:szCs w:val="22"/>
          <w:lang w:eastAsia="zh-CN"/>
        </w:rPr>
        <w:t>-</w:t>
      </w:r>
      <w:r w:rsidR="00E13156">
        <w:rPr>
          <w:rFonts w:ascii="Times New Roman" w:hAnsi="Times New Roman" w:cs="Times New Roman"/>
          <w:color w:val="000000"/>
          <w:sz w:val="22"/>
          <w:szCs w:val="22"/>
          <w:lang w:eastAsia="zh-CN"/>
        </w:rPr>
        <w:t>51</w:t>
      </w:r>
      <w:r w:rsidR="005A0FE6">
        <w:rPr>
          <w:rFonts w:ascii="Times New Roman" w:hAnsi="Times New Roman" w:cs="Times New Roman"/>
          <w:color w:val="000000"/>
          <w:sz w:val="22"/>
          <w:szCs w:val="22"/>
          <w:lang w:eastAsia="zh-CN"/>
        </w:rPr>
        <w:t>/73</w:t>
      </w:r>
      <w:bookmarkStart w:id="2" w:name="_GoBack"/>
      <w:bookmarkEnd w:id="2"/>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 </w:t>
      </w:r>
      <w:r w:rsidR="00573E05">
        <w:rPr>
          <w:rFonts w:ascii="Times New Roman" w:hAnsi="Times New Roman" w:cs="Times New Roman"/>
          <w:color w:val="000000"/>
          <w:sz w:val="22"/>
          <w:szCs w:val="22"/>
          <w:lang w:eastAsia="zh-CN"/>
        </w:rPr>
        <w:t>мая</w:t>
      </w:r>
      <w:r w:rsidR="00D52EBF">
        <w:rPr>
          <w:rFonts w:ascii="Times New Roman" w:hAnsi="Times New Roman" w:cs="Times New Roman"/>
          <w:color w:val="000000"/>
          <w:sz w:val="22"/>
          <w:szCs w:val="22"/>
          <w:lang w:eastAsia="zh-CN"/>
        </w:rPr>
        <w:t xml:space="preserve"> </w:t>
      </w:r>
      <w:r w:rsidRPr="00F56BFD">
        <w:rPr>
          <w:rFonts w:ascii="Times New Roman" w:hAnsi="Times New Roman" w:cs="Times New Roman"/>
          <w:color w:val="000000"/>
          <w:sz w:val="22"/>
          <w:szCs w:val="22"/>
          <w:lang w:eastAsia="zh-CN"/>
        </w:rPr>
        <w:t>202</w:t>
      </w:r>
      <w:r w:rsidR="00FA68D4">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 xml:space="preserve"> 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FA68D4">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w:t>
      </w:r>
      <w:proofErr w:type="spellStart"/>
      <w:r w:rsidRPr="00F56BFD">
        <w:rPr>
          <w:rFonts w:ascii="Times New Roman" w:hAnsi="Times New Roman" w:cs="Times New Roman"/>
          <w:b/>
          <w:color w:val="000000"/>
          <w:sz w:val="22"/>
          <w:szCs w:val="22"/>
          <w:lang w:eastAsia="zh-CN"/>
        </w:rPr>
        <w:t>ИОГен</w:t>
      </w:r>
      <w:proofErr w:type="spellEnd"/>
      <w:r w:rsidRPr="00F56BFD">
        <w:rPr>
          <w:rFonts w:ascii="Times New Roman" w:hAnsi="Times New Roman" w:cs="Times New Roman"/>
          <w:b/>
          <w:color w:val="000000"/>
          <w:sz w:val="22"/>
          <w:szCs w:val="22"/>
          <w:lang w:eastAsia="zh-CN"/>
        </w:rPr>
        <w:t xml:space="preserve">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w:t>
            </w:r>
            <w:proofErr w:type="spellStart"/>
            <w:r w:rsidR="008C35B9" w:rsidRPr="008C35B9">
              <w:rPr>
                <w:rFonts w:ascii="Times New Roman" w:hAnsi="Times New Roman" w:cs="Times New Roman"/>
                <w:b/>
                <w:bCs/>
                <w:color w:val="000000"/>
                <w:sz w:val="22"/>
                <w:szCs w:val="22"/>
                <w:lang w:eastAsia="zh-CN"/>
              </w:rPr>
              <w:t>ИОГен</w:t>
            </w:r>
            <w:proofErr w:type="spellEnd"/>
            <w:r w:rsidR="008C35B9" w:rsidRPr="008C35B9">
              <w:rPr>
                <w:rFonts w:ascii="Times New Roman" w:hAnsi="Times New Roman" w:cs="Times New Roman"/>
                <w:b/>
                <w:bCs/>
                <w:color w:val="000000"/>
                <w:sz w:val="22"/>
                <w:szCs w:val="22"/>
                <w:lang w:eastAsia="zh-CN"/>
              </w:rPr>
              <w:t xml:space="preserve"> РАН</w:t>
            </w:r>
          </w:p>
          <w:p w:rsidR="00024961" w:rsidRDefault="00024961" w:rsidP="00895979">
            <w:pPr>
              <w:widowControl w:val="0"/>
              <w:rPr>
                <w:rFonts w:ascii="Times New Roman" w:hAnsi="Times New Roman" w:cs="Times New Roman"/>
                <w:color w:val="000000"/>
                <w:sz w:val="22"/>
                <w:szCs w:val="22"/>
                <w:lang w:eastAsia="zh-CN"/>
              </w:rPr>
            </w:pPr>
          </w:p>
          <w:p w:rsidR="00895979" w:rsidRPr="00F56BFD" w:rsidRDefault="00895979" w:rsidP="00895979">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______________________ </w:t>
            </w:r>
            <w:r w:rsidR="00FA68D4">
              <w:rPr>
                <w:rFonts w:ascii="Times New Roman" w:hAnsi="Times New Roman" w:cs="Times New Roman"/>
                <w:color w:val="000000"/>
                <w:sz w:val="22"/>
                <w:szCs w:val="22"/>
                <w:lang w:eastAsia="zh-CN"/>
              </w:rPr>
              <w:t>/</w:t>
            </w:r>
            <w:r w:rsidR="008C35B9" w:rsidRPr="00FA68D4">
              <w:rPr>
                <w:rFonts w:ascii="Times New Roman" w:hAnsi="Times New Roman" w:cs="Times New Roman"/>
                <w:b/>
                <w:color w:val="000000"/>
                <w:sz w:val="22"/>
                <w:szCs w:val="22"/>
                <w:lang w:eastAsia="zh-CN"/>
              </w:rPr>
              <w:t>Мисюрин А.В.</w:t>
            </w:r>
            <w:r w:rsidR="00FA68D4">
              <w:rPr>
                <w:rFonts w:ascii="Times New Roman" w:hAnsi="Times New Roman" w:cs="Times New Roman"/>
                <w:b/>
                <w:color w:val="000000"/>
                <w:sz w:val="22"/>
                <w:szCs w:val="22"/>
                <w:lang w:eastAsia="zh-CN"/>
              </w:rPr>
              <w:t>/</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_________</w:t>
            </w:r>
            <w:r w:rsidR="00FA68D4">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074520" w:rsidP="00074520">
      <w:pPr>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 </w:t>
      </w:r>
    </w:p>
    <w:sectPr w:rsidR="00D43CBD" w:rsidRPr="00F56BFD" w:rsidSect="00074520">
      <w:pgSz w:w="11906" w:h="16838"/>
      <w:pgMar w:top="567" w:right="567"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74CF"/>
    <w:rsid w:val="00035E23"/>
    <w:rsid w:val="00070C8B"/>
    <w:rsid w:val="00071D87"/>
    <w:rsid w:val="00074520"/>
    <w:rsid w:val="000753A9"/>
    <w:rsid w:val="000853C3"/>
    <w:rsid w:val="0008643F"/>
    <w:rsid w:val="000923F6"/>
    <w:rsid w:val="00095217"/>
    <w:rsid w:val="000A13C0"/>
    <w:rsid w:val="000B5651"/>
    <w:rsid w:val="00103A26"/>
    <w:rsid w:val="001041CD"/>
    <w:rsid w:val="0010616B"/>
    <w:rsid w:val="001222A8"/>
    <w:rsid w:val="00123105"/>
    <w:rsid w:val="00134E82"/>
    <w:rsid w:val="00135C34"/>
    <w:rsid w:val="001524A0"/>
    <w:rsid w:val="00154626"/>
    <w:rsid w:val="00175710"/>
    <w:rsid w:val="00182563"/>
    <w:rsid w:val="001836EB"/>
    <w:rsid w:val="0018585D"/>
    <w:rsid w:val="00193BD1"/>
    <w:rsid w:val="001A65E3"/>
    <w:rsid w:val="001B1768"/>
    <w:rsid w:val="001C35D3"/>
    <w:rsid w:val="001E018B"/>
    <w:rsid w:val="001F42EC"/>
    <w:rsid w:val="001F5B43"/>
    <w:rsid w:val="00205551"/>
    <w:rsid w:val="002139B9"/>
    <w:rsid w:val="00213A06"/>
    <w:rsid w:val="00221193"/>
    <w:rsid w:val="002224D7"/>
    <w:rsid w:val="00231773"/>
    <w:rsid w:val="00236BCC"/>
    <w:rsid w:val="0026355C"/>
    <w:rsid w:val="0027502D"/>
    <w:rsid w:val="002818FA"/>
    <w:rsid w:val="00283768"/>
    <w:rsid w:val="00284BC1"/>
    <w:rsid w:val="002875C0"/>
    <w:rsid w:val="002960F6"/>
    <w:rsid w:val="002B047B"/>
    <w:rsid w:val="002B6AB0"/>
    <w:rsid w:val="002D4D23"/>
    <w:rsid w:val="002D638A"/>
    <w:rsid w:val="002F1D98"/>
    <w:rsid w:val="002F331F"/>
    <w:rsid w:val="002F5212"/>
    <w:rsid w:val="002F56B8"/>
    <w:rsid w:val="00303770"/>
    <w:rsid w:val="00316CAD"/>
    <w:rsid w:val="003224B7"/>
    <w:rsid w:val="00392E96"/>
    <w:rsid w:val="00396D46"/>
    <w:rsid w:val="003A023C"/>
    <w:rsid w:val="003B0CEE"/>
    <w:rsid w:val="003B5490"/>
    <w:rsid w:val="003C6D63"/>
    <w:rsid w:val="003F058B"/>
    <w:rsid w:val="003F1A51"/>
    <w:rsid w:val="00423F3A"/>
    <w:rsid w:val="004360AF"/>
    <w:rsid w:val="00437FC2"/>
    <w:rsid w:val="00457792"/>
    <w:rsid w:val="00467124"/>
    <w:rsid w:val="00476918"/>
    <w:rsid w:val="004816EF"/>
    <w:rsid w:val="004A227F"/>
    <w:rsid w:val="004A36D0"/>
    <w:rsid w:val="004B5083"/>
    <w:rsid w:val="004B53EF"/>
    <w:rsid w:val="004C0034"/>
    <w:rsid w:val="00522E77"/>
    <w:rsid w:val="00531CF5"/>
    <w:rsid w:val="00536BE5"/>
    <w:rsid w:val="0054036D"/>
    <w:rsid w:val="00540C9B"/>
    <w:rsid w:val="00544E6E"/>
    <w:rsid w:val="00560446"/>
    <w:rsid w:val="00573E05"/>
    <w:rsid w:val="0057457F"/>
    <w:rsid w:val="00585C13"/>
    <w:rsid w:val="005A0FE6"/>
    <w:rsid w:val="005B0D12"/>
    <w:rsid w:val="005B1C28"/>
    <w:rsid w:val="005C788F"/>
    <w:rsid w:val="005D646E"/>
    <w:rsid w:val="005F03C0"/>
    <w:rsid w:val="005F142B"/>
    <w:rsid w:val="005F225F"/>
    <w:rsid w:val="005F6525"/>
    <w:rsid w:val="00662B01"/>
    <w:rsid w:val="006675E6"/>
    <w:rsid w:val="00676B22"/>
    <w:rsid w:val="006A4C28"/>
    <w:rsid w:val="006A61D0"/>
    <w:rsid w:val="006B316A"/>
    <w:rsid w:val="006C02ED"/>
    <w:rsid w:val="00712981"/>
    <w:rsid w:val="00725CB6"/>
    <w:rsid w:val="0073580A"/>
    <w:rsid w:val="00742826"/>
    <w:rsid w:val="00763A8C"/>
    <w:rsid w:val="007713A3"/>
    <w:rsid w:val="00784049"/>
    <w:rsid w:val="00792300"/>
    <w:rsid w:val="007C0750"/>
    <w:rsid w:val="007C081E"/>
    <w:rsid w:val="007E333F"/>
    <w:rsid w:val="007F75C4"/>
    <w:rsid w:val="00800841"/>
    <w:rsid w:val="00801D54"/>
    <w:rsid w:val="00804615"/>
    <w:rsid w:val="008203F4"/>
    <w:rsid w:val="00821F77"/>
    <w:rsid w:val="008227C8"/>
    <w:rsid w:val="008266C4"/>
    <w:rsid w:val="0083036E"/>
    <w:rsid w:val="008349BB"/>
    <w:rsid w:val="00845CEC"/>
    <w:rsid w:val="00850410"/>
    <w:rsid w:val="008532F2"/>
    <w:rsid w:val="008667B4"/>
    <w:rsid w:val="008708D3"/>
    <w:rsid w:val="008739AC"/>
    <w:rsid w:val="00884310"/>
    <w:rsid w:val="0089096D"/>
    <w:rsid w:val="00895979"/>
    <w:rsid w:val="008B0575"/>
    <w:rsid w:val="008B5021"/>
    <w:rsid w:val="008C35B9"/>
    <w:rsid w:val="008C382D"/>
    <w:rsid w:val="008E0BD9"/>
    <w:rsid w:val="008E462D"/>
    <w:rsid w:val="00906416"/>
    <w:rsid w:val="00931C03"/>
    <w:rsid w:val="00932FD0"/>
    <w:rsid w:val="009334DE"/>
    <w:rsid w:val="00992C60"/>
    <w:rsid w:val="009A1248"/>
    <w:rsid w:val="009A4E01"/>
    <w:rsid w:val="009B0874"/>
    <w:rsid w:val="009C6F9D"/>
    <w:rsid w:val="00A14AC5"/>
    <w:rsid w:val="00A16350"/>
    <w:rsid w:val="00A410F8"/>
    <w:rsid w:val="00A52D71"/>
    <w:rsid w:val="00A7014B"/>
    <w:rsid w:val="00A74AA3"/>
    <w:rsid w:val="00A75B54"/>
    <w:rsid w:val="00A839EA"/>
    <w:rsid w:val="00AA5882"/>
    <w:rsid w:val="00AA5EB6"/>
    <w:rsid w:val="00AB4162"/>
    <w:rsid w:val="00AB695B"/>
    <w:rsid w:val="00AE0A92"/>
    <w:rsid w:val="00AE219F"/>
    <w:rsid w:val="00B003B8"/>
    <w:rsid w:val="00B100A4"/>
    <w:rsid w:val="00B1584E"/>
    <w:rsid w:val="00B208DD"/>
    <w:rsid w:val="00B2111A"/>
    <w:rsid w:val="00B24F9D"/>
    <w:rsid w:val="00B41173"/>
    <w:rsid w:val="00B822DE"/>
    <w:rsid w:val="00BA23DF"/>
    <w:rsid w:val="00BB00CA"/>
    <w:rsid w:val="00BC74D7"/>
    <w:rsid w:val="00BD5919"/>
    <w:rsid w:val="00BD6512"/>
    <w:rsid w:val="00C07E50"/>
    <w:rsid w:val="00C12A51"/>
    <w:rsid w:val="00C1626E"/>
    <w:rsid w:val="00C27AA6"/>
    <w:rsid w:val="00C355D1"/>
    <w:rsid w:val="00C46715"/>
    <w:rsid w:val="00C52449"/>
    <w:rsid w:val="00C61EA8"/>
    <w:rsid w:val="00C626F0"/>
    <w:rsid w:val="00C65435"/>
    <w:rsid w:val="00C749F6"/>
    <w:rsid w:val="00C76183"/>
    <w:rsid w:val="00C81305"/>
    <w:rsid w:val="00C81CDB"/>
    <w:rsid w:val="00C86E1C"/>
    <w:rsid w:val="00CA1671"/>
    <w:rsid w:val="00CA7FC4"/>
    <w:rsid w:val="00CB334A"/>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C6CC9"/>
    <w:rsid w:val="00DE4B13"/>
    <w:rsid w:val="00E0470F"/>
    <w:rsid w:val="00E13156"/>
    <w:rsid w:val="00E1693A"/>
    <w:rsid w:val="00E20D96"/>
    <w:rsid w:val="00E271EC"/>
    <w:rsid w:val="00E3109D"/>
    <w:rsid w:val="00E4439F"/>
    <w:rsid w:val="00E50381"/>
    <w:rsid w:val="00E53978"/>
    <w:rsid w:val="00E57A08"/>
    <w:rsid w:val="00ED146D"/>
    <w:rsid w:val="00ED1D34"/>
    <w:rsid w:val="00ED68F5"/>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4013"/>
    <w:rsid w:val="00FA68D4"/>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7F9EA6"/>
  <w14:defaultImageDpi w14:val="0"/>
  <w15:docId w15:val="{92022642-24C8-4B94-A11A-E878EA3B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AA588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382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3006</Words>
  <Characters>21920</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6</cp:revision>
  <cp:lastPrinted>2026-05-07T12:07:00Z</cp:lastPrinted>
  <dcterms:created xsi:type="dcterms:W3CDTF">2026-04-09T13:23:00Z</dcterms:created>
  <dcterms:modified xsi:type="dcterms:W3CDTF">2026-05-12T09:07:00Z</dcterms:modified>
</cp:coreProperties>
</file>