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15E" w:rsidRPr="008B4B66" w:rsidRDefault="0017715E" w:rsidP="0017715E">
      <w:pPr>
        <w:jc w:val="center"/>
        <w:rPr>
          <w:rFonts w:ascii="Times New Roman" w:hAnsi="Times New Roman" w:cs="Times New Roman"/>
          <w:b/>
          <w:bCs/>
        </w:rPr>
      </w:pPr>
      <w:r w:rsidRPr="008B4B66">
        <w:rPr>
          <w:rFonts w:ascii="Times New Roman" w:hAnsi="Times New Roman" w:cs="Times New Roman"/>
          <w:b/>
          <w:bCs/>
        </w:rPr>
        <w:t>Техническое задание № 7275 на поставку</w:t>
      </w:r>
      <w:r w:rsidRPr="008B4B66">
        <w:rPr>
          <w:rFonts w:ascii="Times New Roman" w:hAnsi="Times New Roman" w:cs="Times New Roman"/>
        </w:rPr>
        <w:t xml:space="preserve"> </w:t>
      </w:r>
      <w:r w:rsidRPr="008B4B66">
        <w:rPr>
          <w:rFonts w:ascii="Times New Roman" w:hAnsi="Times New Roman" w:cs="Times New Roman"/>
          <w:b/>
          <w:bCs/>
        </w:rPr>
        <w:t>пленки для ПЦР</w:t>
      </w:r>
    </w:p>
    <w:p w:rsidR="0017715E" w:rsidRPr="008B4B66" w:rsidRDefault="0017715E" w:rsidP="008B4B66">
      <w:pPr>
        <w:numPr>
          <w:ilvl w:val="0"/>
          <w:numId w:val="2"/>
        </w:numPr>
        <w:ind w:left="709" w:firstLine="0"/>
        <w:rPr>
          <w:rFonts w:ascii="Times New Roman" w:hAnsi="Times New Roman" w:cs="Times New Roman"/>
          <w:b/>
        </w:rPr>
      </w:pPr>
      <w:r w:rsidRPr="008B4B66">
        <w:rPr>
          <w:rFonts w:ascii="Times New Roman" w:hAnsi="Times New Roman" w:cs="Times New Roman"/>
          <w:b/>
        </w:rPr>
        <w:t>Состав и порядок организации поставки.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proofErr w:type="gramStart"/>
      <w:r w:rsidRPr="008B4B66">
        <w:rPr>
          <w:rFonts w:ascii="Times New Roman" w:hAnsi="Times New Roman" w:cs="Times New Roman"/>
        </w:rPr>
        <w:t>Расходные материалы</w:t>
      </w:r>
      <w:proofErr w:type="gramEnd"/>
      <w:r w:rsidRPr="008B4B66">
        <w:rPr>
          <w:rFonts w:ascii="Times New Roman" w:hAnsi="Times New Roman" w:cs="Times New Roman"/>
        </w:rPr>
        <w:t xml:space="preserve"> предназначенные для выполнения научных исследований (далее по тексту- товар), поставляемые по данному техническому заданию указаны в таблице №1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Таблица №1</w:t>
      </w:r>
    </w:p>
    <w:p w:rsidR="0017715E" w:rsidRPr="008B4B66" w:rsidRDefault="0017715E" w:rsidP="0017715E">
      <w:pPr>
        <w:rPr>
          <w:rFonts w:ascii="Times New Roman" w:hAnsi="Times New Roman" w:cs="Times New Roman"/>
          <w:i/>
          <w:iCs/>
        </w:rPr>
      </w:pPr>
      <w:r w:rsidRPr="008B4B66">
        <w:rPr>
          <w:rFonts w:ascii="Times New Roman" w:hAnsi="Times New Roman" w:cs="Times New Roman"/>
          <w:i/>
          <w:iCs/>
        </w:rPr>
        <w:t xml:space="preserve">ОКПД2: </w:t>
      </w:r>
      <w:r w:rsidRPr="008B4B66">
        <w:rPr>
          <w:rFonts w:ascii="Times New Roman" w:hAnsi="Times New Roman" w:cs="Times New Roman"/>
        </w:rPr>
        <w:t>32.50.50.190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7914"/>
        <w:gridCol w:w="1171"/>
        <w:gridCol w:w="1013"/>
      </w:tblGrid>
      <w:tr w:rsidR="0017715E" w:rsidRPr="008B4B66" w:rsidTr="00322B46">
        <w:trPr>
          <w:trHeight w:val="1032"/>
        </w:trPr>
        <w:tc>
          <w:tcPr>
            <w:tcW w:w="205" w:type="pct"/>
            <w:shd w:val="clear" w:color="000000" w:fill="F2F2F2"/>
            <w:vAlign w:val="center"/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  <w:b/>
                <w:bCs/>
              </w:rPr>
            </w:pPr>
            <w:r w:rsidRPr="008B4B66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3758" w:type="pct"/>
            <w:tcBorders>
              <w:bottom w:val="single" w:sz="4" w:space="0" w:color="000000"/>
            </w:tcBorders>
            <w:shd w:val="clear" w:color="000000" w:fill="F2F2F2"/>
            <w:vAlign w:val="center"/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  <w:b/>
                <w:bCs/>
              </w:rPr>
            </w:pPr>
            <w:r w:rsidRPr="008B4B6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56" w:type="pct"/>
            <w:shd w:val="clear" w:color="000000" w:fill="F2F2F2"/>
            <w:vAlign w:val="center"/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  <w:b/>
                <w:bCs/>
              </w:rPr>
            </w:pPr>
            <w:r w:rsidRPr="008B4B66">
              <w:rPr>
                <w:rFonts w:ascii="Times New Roman" w:hAnsi="Times New Roman" w:cs="Times New Roman"/>
                <w:b/>
                <w:bCs/>
              </w:rPr>
              <w:t>Ед. измерен.</w:t>
            </w:r>
          </w:p>
        </w:tc>
        <w:tc>
          <w:tcPr>
            <w:tcW w:w="481" w:type="pct"/>
            <w:shd w:val="clear" w:color="000000" w:fill="F2F2F2"/>
            <w:vAlign w:val="center"/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  <w:b/>
                <w:bCs/>
              </w:rPr>
            </w:pPr>
            <w:r w:rsidRPr="008B4B66">
              <w:rPr>
                <w:rFonts w:ascii="Times New Roman" w:hAnsi="Times New Roman" w:cs="Times New Roman"/>
                <w:b/>
                <w:bCs/>
              </w:rPr>
              <w:t>Общее кол-во.</w:t>
            </w:r>
          </w:p>
        </w:tc>
      </w:tr>
      <w:tr w:rsidR="0017715E" w:rsidRPr="008B4B66" w:rsidTr="00322B46">
        <w:tc>
          <w:tcPr>
            <w:tcW w:w="205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4" w:space="0" w:color="000000"/>
            </w:tcBorders>
            <w:shd w:val="clear" w:color="FFFFFF" w:fill="FFFFFF"/>
            <w:vAlign w:val="center"/>
          </w:tcPr>
          <w:p w:rsidR="0017715E" w:rsidRPr="008B4B66" w:rsidRDefault="0017715E" w:rsidP="001771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</w:rPr>
            </w:pPr>
            <w:r w:rsidRPr="008B4B66">
              <w:rPr>
                <w:rFonts w:ascii="Times New Roman" w:hAnsi="Times New Roman" w:cs="Times New Roman"/>
              </w:rPr>
              <w:t>Пленка для ПЦР планшетов, алюминиевая</w:t>
            </w:r>
            <w:r w:rsidR="008B4B66">
              <w:rPr>
                <w:rFonts w:ascii="Times New Roman" w:hAnsi="Times New Roman" w:cs="Times New Roman"/>
              </w:rPr>
              <w:t xml:space="preserve">, </w:t>
            </w:r>
            <w:r w:rsidRPr="008B4B66">
              <w:rPr>
                <w:rFonts w:ascii="Times New Roman" w:hAnsi="Times New Roman" w:cs="Times New Roman"/>
              </w:rPr>
              <w:t>термостойкая, с подложкой, прокалываемая</w:t>
            </w:r>
          </w:p>
        </w:tc>
        <w:tc>
          <w:tcPr>
            <w:tcW w:w="5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</w:rPr>
            </w:pPr>
            <w:r w:rsidRPr="008B4B66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715E" w:rsidRPr="008B4B66" w:rsidRDefault="0017715E" w:rsidP="0017715E">
            <w:pPr>
              <w:rPr>
                <w:rFonts w:ascii="Times New Roman" w:hAnsi="Times New Roman" w:cs="Times New Roman"/>
              </w:rPr>
            </w:pPr>
            <w:r w:rsidRPr="008B4B66">
              <w:rPr>
                <w:rFonts w:ascii="Times New Roman" w:hAnsi="Times New Roman" w:cs="Times New Roman"/>
              </w:rPr>
              <w:t>5</w:t>
            </w:r>
          </w:p>
        </w:tc>
      </w:tr>
    </w:tbl>
    <w:p w:rsidR="0017715E" w:rsidRPr="008B4B66" w:rsidRDefault="0017715E" w:rsidP="008B4B66">
      <w:pPr>
        <w:jc w:val="both"/>
        <w:rPr>
          <w:rFonts w:ascii="Times New Roman" w:hAnsi="Times New Roman" w:cs="Times New Roman"/>
          <w:u w:val="single"/>
        </w:rPr>
      </w:pPr>
      <w:r w:rsidRPr="008B4B66">
        <w:rPr>
          <w:rFonts w:ascii="Times New Roman" w:hAnsi="Times New Roman" w:cs="Times New Roman"/>
        </w:rPr>
        <w:t xml:space="preserve">Расходные материалы доставляются в срок, не </w:t>
      </w:r>
      <w:r w:rsidRPr="008B4B66">
        <w:rPr>
          <w:rFonts w:ascii="Times New Roman" w:hAnsi="Times New Roman" w:cs="Times New Roman"/>
          <w:u w:val="single"/>
        </w:rPr>
        <w:t xml:space="preserve">превышающий </w:t>
      </w:r>
      <w:r w:rsidRPr="008B4B66">
        <w:rPr>
          <w:rFonts w:ascii="Times New Roman" w:hAnsi="Times New Roman" w:cs="Times New Roman"/>
          <w:b/>
          <w:bCs/>
          <w:u w:val="single"/>
        </w:rPr>
        <w:t>80 календарных дней</w:t>
      </w:r>
      <w:r w:rsidRPr="008B4B66">
        <w:rPr>
          <w:rFonts w:ascii="Times New Roman" w:hAnsi="Times New Roman" w:cs="Times New Roman"/>
          <w:u w:val="single"/>
        </w:rPr>
        <w:t xml:space="preserve"> с даты заключения контракта.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Поступивший груз должен быть доставлен по адресу: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197376, г. Санкт-Петербург, ул. Профессора Попова, д.15/17, лит. Б, (лаборатория молекулярной вирусологии, 2 этаж, лифт отсутствует)</w:t>
      </w:r>
    </w:p>
    <w:p w:rsidR="0017715E" w:rsidRPr="008B4B66" w:rsidRDefault="0017715E" w:rsidP="008B4B66">
      <w:pPr>
        <w:ind w:firstLine="851"/>
        <w:jc w:val="both"/>
        <w:rPr>
          <w:rFonts w:ascii="Times New Roman" w:hAnsi="Times New Roman" w:cs="Times New Roman"/>
          <w:bCs/>
        </w:rPr>
      </w:pPr>
      <w:r w:rsidRPr="008B4B66">
        <w:rPr>
          <w:rFonts w:ascii="Times New Roman" w:hAnsi="Times New Roman" w:cs="Times New Roman"/>
        </w:rPr>
        <w:t xml:space="preserve">Товар поставляется Поставщиком самостоятельно до места доставки (с разгрузкой, подъемом на этаж, заносом в кабинет) </w:t>
      </w:r>
      <w:r w:rsidRPr="008B4B66">
        <w:rPr>
          <w:rFonts w:ascii="Times New Roman" w:hAnsi="Times New Roman" w:cs="Times New Roman"/>
          <w:b/>
        </w:rPr>
        <w:t>с предварительным информированием Заказчика по телефону +7 (812) 499-15-61, либо на эл.</w:t>
      </w:r>
      <w:r w:rsidR="005E042E">
        <w:rPr>
          <w:rFonts w:ascii="Times New Roman" w:hAnsi="Times New Roman" w:cs="Times New Roman"/>
          <w:b/>
        </w:rPr>
        <w:t xml:space="preserve"> </w:t>
      </w:r>
      <w:r w:rsidRPr="008B4B66">
        <w:rPr>
          <w:rFonts w:ascii="Times New Roman" w:hAnsi="Times New Roman" w:cs="Times New Roman"/>
          <w:b/>
        </w:rPr>
        <w:t>адрес</w:t>
      </w:r>
      <w:r w:rsidR="005E042E">
        <w:rPr>
          <w:rFonts w:ascii="Times New Roman" w:hAnsi="Times New Roman" w:cs="Times New Roman"/>
          <w:b/>
        </w:rPr>
        <w:t>а</w:t>
      </w:r>
      <w:r w:rsidRPr="008B4B66">
        <w:rPr>
          <w:rFonts w:ascii="Times New Roman" w:hAnsi="Times New Roman" w:cs="Times New Roman"/>
          <w:b/>
        </w:rPr>
        <w:t xml:space="preserve">: </w:t>
      </w:r>
      <w:r w:rsidR="005E042E" w:rsidRPr="005E042E">
        <w:rPr>
          <w:rFonts w:ascii="Times New Roman" w:hAnsi="Times New Roman" w:cs="Times New Roman"/>
          <w:b/>
        </w:rPr>
        <w:t>natalia.medvedeva@influenza.spb.ru</w:t>
      </w:r>
      <w:r w:rsidR="005E042E">
        <w:rPr>
          <w:rFonts w:ascii="Times New Roman" w:hAnsi="Times New Roman" w:cs="Times New Roman"/>
          <w:b/>
        </w:rPr>
        <w:t xml:space="preserve">, </w:t>
      </w:r>
      <w:r w:rsidRPr="008B4B66">
        <w:rPr>
          <w:rFonts w:ascii="Times New Roman" w:hAnsi="Times New Roman" w:cs="Times New Roman"/>
          <w:b/>
        </w:rPr>
        <w:t xml:space="preserve">maksim.durnov@influenza.spb.ru </w:t>
      </w:r>
      <w:r w:rsidRPr="008B4B66">
        <w:rPr>
          <w:rFonts w:ascii="Times New Roman" w:hAnsi="Times New Roman" w:cs="Times New Roman"/>
        </w:rPr>
        <w:t>за 2 рабочих дня до даты предп</w:t>
      </w:r>
      <w:bookmarkStart w:id="0" w:name="_GoBack"/>
      <w:bookmarkEnd w:id="0"/>
      <w:r w:rsidRPr="008B4B66">
        <w:rPr>
          <w:rFonts w:ascii="Times New Roman" w:hAnsi="Times New Roman" w:cs="Times New Roman"/>
        </w:rPr>
        <w:t xml:space="preserve">олагаемой доставки. </w:t>
      </w:r>
      <w:r w:rsidRPr="008B4B66">
        <w:rPr>
          <w:rFonts w:ascii="Times New Roman" w:hAnsi="Times New Roman" w:cs="Times New Roman"/>
          <w:bCs/>
        </w:rPr>
        <w:t>Рабочее время Заказчика для принятия Товара с понедельника по четверг с 9-00ч до 15-45ч, в пятницу с 9-00ч до 14-30ч, суббота, воскресенье – выходные дни (по местному времени).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При приемке товара должен присутствовать представитель Поставщика, действующий по доверенности, выданной уполномоченным руководителем Поставщика для проведения действий по передаче товара по Контракту. 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В случае отсутствия представителя Поставщика </w:t>
      </w:r>
      <w:r w:rsidR="009F2883" w:rsidRPr="008B4B66">
        <w:rPr>
          <w:rFonts w:ascii="Times New Roman" w:hAnsi="Times New Roman" w:cs="Times New Roman"/>
        </w:rPr>
        <w:t>при передаче</w:t>
      </w:r>
      <w:r w:rsidRPr="008B4B66">
        <w:rPr>
          <w:rFonts w:ascii="Times New Roman" w:hAnsi="Times New Roman" w:cs="Times New Roman"/>
        </w:rPr>
        <w:t xml:space="preserve"> товара в месте получения груза Заказчиком в товаросопроводительных документах при приемке товара Заказчиком указывается информация об отсутствии уполномоченного представителя Поставщика. В этом случае проверка груза проводится представителями Заказчика самостоятельно и его результаты (состояние груза и недостатки, выявленные путем внешнего осмотра груза и проведение измерений температуры поступившего груза, не могут оспариваться Поставщиком).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Поставка товара включает в себя:</w:t>
      </w:r>
    </w:p>
    <w:p w:rsidR="0017715E" w:rsidRPr="008B4B66" w:rsidRDefault="0017715E" w:rsidP="008B4B6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доставка по адресу Заказчика;</w:t>
      </w:r>
    </w:p>
    <w:p w:rsidR="0017715E" w:rsidRPr="008B4B66" w:rsidRDefault="0017715E" w:rsidP="008B4B6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распаковка, доставку товара к месту размещения на складе Заказчика (оказание указанных услуг Поставщиком входит в стоимость Контракта);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Для составления акта приема-передачи Товара стороны могут привлекать независимые сюрвейерские компании, действующие по соглашению сторон и фиксирующие сведения изложенные в акте доставки товара.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В случае обнаружения некачественной доставки товара составляется </w:t>
      </w:r>
      <w:r w:rsidR="008B4B66" w:rsidRPr="008B4B66">
        <w:rPr>
          <w:rFonts w:ascii="Times New Roman" w:hAnsi="Times New Roman" w:cs="Times New Roman"/>
        </w:rPr>
        <w:t>акт,</w:t>
      </w:r>
      <w:r w:rsidRPr="008B4B66">
        <w:rPr>
          <w:rFonts w:ascii="Times New Roman" w:hAnsi="Times New Roman" w:cs="Times New Roman"/>
        </w:rPr>
        <w:t xml:space="preserve"> к составлению которого стороны могут привлекать независимые сюрвейерские компании.</w:t>
      </w:r>
    </w:p>
    <w:p w:rsidR="0017715E" w:rsidRPr="008B4B66" w:rsidRDefault="0017715E" w:rsidP="0017715E">
      <w:pPr>
        <w:rPr>
          <w:rFonts w:ascii="Times New Roman" w:hAnsi="Times New Roman" w:cs="Times New Roman"/>
          <w:b/>
          <w:bCs/>
        </w:rPr>
      </w:pPr>
      <w:r w:rsidRPr="008B4B66">
        <w:rPr>
          <w:rFonts w:ascii="Times New Roman" w:hAnsi="Times New Roman" w:cs="Times New Roman"/>
          <w:b/>
          <w:bCs/>
        </w:rPr>
        <w:t>Дополнительные требования: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Требования к качеству поставляемого Товара: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Весь поставляемый Товар должен соответствовать государственным стандартам, санитарно-гигиеническим и пожарным нормам, должен быть разрешенным </w:t>
      </w:r>
      <w:r w:rsidR="009F2883" w:rsidRPr="008B4B66">
        <w:rPr>
          <w:rFonts w:ascii="Times New Roman" w:hAnsi="Times New Roman" w:cs="Times New Roman"/>
        </w:rPr>
        <w:t>для применения</w:t>
      </w:r>
      <w:r w:rsidR="009F2883">
        <w:rPr>
          <w:rFonts w:ascii="Times New Roman" w:hAnsi="Times New Roman" w:cs="Times New Roman"/>
        </w:rPr>
        <w:t>.</w:t>
      </w:r>
      <w:r w:rsidRPr="008B4B66">
        <w:rPr>
          <w:rFonts w:ascii="Times New Roman" w:hAnsi="Times New Roman" w:cs="Times New Roman"/>
        </w:rPr>
        <w:t xml:space="preserve"> Поставляемый Товар должен быть новым </w:t>
      </w:r>
      <w:r w:rsidRPr="008B4B66">
        <w:rPr>
          <w:rFonts w:ascii="Times New Roman" w:hAnsi="Times New Roman" w:cs="Times New Roman"/>
        </w:rPr>
        <w:lastRenderedPageBreak/>
        <w:t xml:space="preserve">товаром (товаром, который не был в употреблении, в том числе, который не был восстановлен, у которого не были восстановлены потребительские свойства)., а также качество Товара должно соответствовать требованиям завода-изготовителя , иным требованиям ГОСТов для данного вида товара и подтверждаться при осуществлении поставки документами качества, необходимыми согласно действующему законодательству: 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- копиями регистрационных удостоверений (при наличии).;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- копиями деклараций соответствия или сертификатов соответствия, предлагаемыми к поставке на каждую партию поставляемого Товара (при наличии).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законами и иными нормативно-правовыми актами Российской Федерации, подтверждающей качество поставляемого Товара и его соответствие требованиям законодательства Российской Федерации.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Качественные характеристики и функциональные характеристики (потребительские свойства) Товара должны полностью соответствовать описанию объекта закупки.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При возникновении сомнений в качестве, эффективности и безопасности товара, Заказчик может провести его дополнительную (внешнюю) экспертизу. При получении заключения экспертизы о несоответствии товара </w:t>
      </w:r>
      <w:r w:rsidR="009F2883" w:rsidRPr="008B4B66">
        <w:rPr>
          <w:rFonts w:ascii="Times New Roman" w:hAnsi="Times New Roman" w:cs="Times New Roman"/>
        </w:rPr>
        <w:t>качеству эффективности и безопасности,</w:t>
      </w:r>
      <w:r w:rsidRPr="008B4B66">
        <w:rPr>
          <w:rFonts w:ascii="Times New Roman" w:hAnsi="Times New Roman" w:cs="Times New Roman"/>
        </w:rPr>
        <w:t xml:space="preserve"> принятому для данного вида товара, расходы, связанные </w:t>
      </w:r>
      <w:r w:rsidR="009F2883" w:rsidRPr="008B4B66">
        <w:rPr>
          <w:rFonts w:ascii="Times New Roman" w:hAnsi="Times New Roman" w:cs="Times New Roman"/>
        </w:rPr>
        <w:t>с её проведением,</w:t>
      </w:r>
      <w:r w:rsidRPr="008B4B66">
        <w:rPr>
          <w:rFonts w:ascii="Times New Roman" w:hAnsi="Times New Roman" w:cs="Times New Roman"/>
        </w:rPr>
        <w:t xml:space="preserve"> возмещаются Поставщиком в бесспорном порядке в полном объеме. 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При поставке некачественного Товара срок его замены на Товар надлежащего качества осуществляется Поставщиком за его счет и в срок, согласованные Заказчиком и Поставщиком не более 20 рабочих дней с момента поступления претензии от Заказчика, переданной посредством факсимильного или электронного сообщения .</w:t>
      </w:r>
    </w:p>
    <w:p w:rsidR="0017715E" w:rsidRPr="008B4B66" w:rsidRDefault="0017715E" w:rsidP="008B4B66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В случае выявления недостатков качества Товара</w:t>
      </w:r>
      <w:r w:rsidR="008B4B66">
        <w:rPr>
          <w:rFonts w:ascii="Times New Roman" w:hAnsi="Times New Roman" w:cs="Times New Roman"/>
        </w:rPr>
        <w:t xml:space="preserve"> в </w:t>
      </w:r>
      <w:r w:rsidRPr="008B4B66">
        <w:rPr>
          <w:rFonts w:ascii="Times New Roman" w:hAnsi="Times New Roman" w:cs="Times New Roman"/>
        </w:rPr>
        <w:t>процессе его непосредственной эксплуатации, установлен особый порядок предъявления претензий по качеству, а именно:</w:t>
      </w:r>
    </w:p>
    <w:p w:rsidR="0017715E" w:rsidRPr="008B4B66" w:rsidRDefault="0017715E" w:rsidP="008B4B6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заказчик вправе предъявить требование о замене товара в случае обнаружения недостатков, в т. ч. по истечении сроков, предусмотренных разделом контракта (гарантийные обязательства и т. д.).</w:t>
      </w:r>
    </w:p>
    <w:p w:rsidR="0017715E" w:rsidRPr="008B4B66" w:rsidRDefault="0017715E" w:rsidP="00671A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для инициирования процедуры замены Заказчик направляет Поставщику письменное требование на электронный адрес, указанный в карточке, с подробным</w:t>
      </w:r>
      <w:r w:rsidR="00671A0D">
        <w:rPr>
          <w:rFonts w:ascii="Times New Roman" w:hAnsi="Times New Roman" w:cs="Times New Roman"/>
        </w:rPr>
        <w:t xml:space="preserve"> </w:t>
      </w:r>
      <w:r w:rsidRPr="008B4B66">
        <w:rPr>
          <w:rFonts w:ascii="Times New Roman" w:hAnsi="Times New Roman" w:cs="Times New Roman"/>
        </w:rPr>
        <w:t>описанием выявленных недостатков и, при наличии, приложением подтверждающих материалов (фото, видеофиксация, акты и т. п.).</w:t>
      </w:r>
    </w:p>
    <w:p w:rsidR="0017715E" w:rsidRPr="008B4B66" w:rsidRDefault="0017715E" w:rsidP="008B4B6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поставщик обязуется осуществить замену некачественного товара в течение 40 (сорока) календарных дней с даты получения указанного требования.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 Требования к сроку годности: 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  <w:b/>
          <w:bCs/>
          <w:i/>
        </w:rPr>
      </w:pPr>
      <w:r w:rsidRPr="008B4B66">
        <w:rPr>
          <w:rFonts w:ascii="Times New Roman" w:hAnsi="Times New Roman" w:cs="Times New Roman"/>
          <w:b/>
          <w:bCs/>
          <w:i/>
          <w:iCs/>
        </w:rPr>
        <w:t>Остаточный срок годности: не менее 80% от срока годности, установленного производителем для данной продукции на момент поставки товара Заказчику.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  <w:b/>
          <w:bCs/>
        </w:rPr>
        <w:t>Гарантийный срок Поставщика должен составлять не менее 12 месяцев</w:t>
      </w:r>
      <w:r w:rsidRPr="008B4B66">
        <w:rPr>
          <w:rFonts w:ascii="Times New Roman" w:hAnsi="Times New Roman" w:cs="Times New Roman"/>
        </w:rPr>
        <w:t xml:space="preserve"> с момента поставки Товара Заказчику. Гарантия распространяется на сохранение стерильности, целостности упаковки и соответствие техническим характеристикам, указанным в технической документации производителя. Поставщик обязуется бесплатно заменить товар или устранить дефекты, возникшие по вине производителя, в течение гарантийного срока при условии соблюдения заказчиком правил хранения, транспортировки и использования, предусмотренных эксплуатационной документацией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lastRenderedPageBreak/>
        <w:t>Требования к транспортировке, таре, упаковке и маркировке Товара: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Доставка товара, разгрузочно-погрузочные работы осуществляются транспортом Поставщика и за его счет.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Товар должен быть доставлен по адресу Заказчика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 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 xml:space="preserve">Товар должен поставляться в таре, упаковке, обеспечивающей сохранность и качество товара при перевозке и хранении. 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Тара, упаковка и маркировка Товара должны соответствовать требованиям, установленным законодательством Российской Федерации, а тара, упаковка и маркировка импортного Товара – международным стандартам и обеспечивать возможность количественного учета поставленного Товара.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  <w:bCs/>
          <w:i/>
        </w:rPr>
      </w:pPr>
      <w:r w:rsidRPr="008B4B66">
        <w:rPr>
          <w:rFonts w:ascii="Times New Roman" w:hAnsi="Times New Roman" w:cs="Times New Roman"/>
          <w:i/>
          <w:iCs/>
        </w:rPr>
        <w:t>В случае многокомпонентного товара типа набора каждая упаковка должна содержать маркировку позволяющую идентифицировать набор в комплекте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Поставщик должен обеспечить упаковку Товара, способную предотвратить их повреждение или порчу во время перевозки к конечным пунктам назначения. Упаковка должна выдерживать воздействие экстремальных температур и осадков во время перевозки.</w:t>
      </w:r>
    </w:p>
    <w:p w:rsidR="0017715E" w:rsidRPr="008B4B66" w:rsidRDefault="0017715E" w:rsidP="008B4B66">
      <w:pPr>
        <w:jc w:val="both"/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</w:t>
      </w:r>
    </w:p>
    <w:p w:rsidR="0017715E" w:rsidRPr="008B4B66" w:rsidRDefault="0017715E" w:rsidP="0017715E">
      <w:pPr>
        <w:rPr>
          <w:rFonts w:ascii="Times New Roman" w:hAnsi="Times New Roman" w:cs="Times New Roman"/>
          <w:b/>
        </w:rPr>
      </w:pPr>
      <w:r w:rsidRPr="008B4B66">
        <w:rPr>
          <w:rFonts w:ascii="Times New Roman" w:hAnsi="Times New Roman" w:cs="Times New Roman"/>
          <w:b/>
        </w:rPr>
        <w:t>2. Требуемые характеристики товара.</w:t>
      </w:r>
    </w:p>
    <w:p w:rsidR="0017715E" w:rsidRPr="008B4B66" w:rsidRDefault="0017715E" w:rsidP="0017715E">
      <w:pPr>
        <w:rPr>
          <w:rFonts w:ascii="Times New Roman" w:hAnsi="Times New Roman" w:cs="Times New Roman"/>
          <w:b/>
          <w:bCs/>
        </w:rPr>
      </w:pPr>
      <w:r w:rsidRPr="008B4B66">
        <w:rPr>
          <w:rFonts w:ascii="Times New Roman" w:hAnsi="Times New Roman" w:cs="Times New Roman"/>
        </w:rPr>
        <w:t>Каталог товаров, работ, услуг для обеспечения государственных и муниципальных нужд не применяется из-за отсутствия в каталоге позиций с требуемым набором параметров.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Характеристики товара изложены в Таблице №2</w:t>
      </w:r>
    </w:p>
    <w:p w:rsidR="0017715E" w:rsidRPr="008B4B66" w:rsidRDefault="0017715E" w:rsidP="0017715E">
      <w:pPr>
        <w:rPr>
          <w:rFonts w:ascii="Times New Roman" w:hAnsi="Times New Roman" w:cs="Times New Roman"/>
        </w:rPr>
      </w:pPr>
      <w:r w:rsidRPr="008B4B66">
        <w:rPr>
          <w:rFonts w:ascii="Times New Roman" w:hAnsi="Times New Roman" w:cs="Times New Roman"/>
        </w:rPr>
        <w:t>Таблица №2</w:t>
      </w:r>
    </w:p>
    <w:tbl>
      <w:tblPr>
        <w:tblStyle w:val="a3"/>
        <w:tblW w:w="10626" w:type="dxa"/>
        <w:tblLook w:val="04A0" w:firstRow="1" w:lastRow="0" w:firstColumn="1" w:lastColumn="0" w:noHBand="0" w:noVBand="1"/>
      </w:tblPr>
      <w:tblGrid>
        <w:gridCol w:w="530"/>
        <w:gridCol w:w="1607"/>
        <w:gridCol w:w="1172"/>
        <w:gridCol w:w="1321"/>
        <w:gridCol w:w="2362"/>
        <w:gridCol w:w="1817"/>
        <w:gridCol w:w="1817"/>
      </w:tblGrid>
      <w:tr w:rsidR="0017715E" w:rsidRPr="008B4B66" w:rsidTr="00322B46">
        <w:trPr>
          <w:trHeight w:val="68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Код ОКПД 2/ КТРУ при наличии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 (показателя)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(показателя)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92D050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Единица измерения характеристики (показателя)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Пленка для ПЦР планшетов клейкая, алюминиевая термостойкая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5 упаковок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5E042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ooltip="https://services44.roseltorg.ru/app/okpd2/17.29.19.190" w:history="1">
              <w:r w:rsidR="0017715E" w:rsidRPr="008B4B6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32.50.50.190</w:t>
              </w:r>
            </w:hyperlink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Пленка должна быть термостойкой, клейкой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Пленка должна предотвращать испарение образцов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1209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Пленка должна быть предназначена для использования при транспортировке и долгом хранении высокочувствительных образцов., при ПЦР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Материал изготовления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287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Пленка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легкопрокалываемая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устойчив к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агресивным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химическим веществам.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Адаптирована для хранения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 DMSO - устойчивость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725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Размер рабочий пленки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Длина: 140±1                                                                                                                                                                                                                                        Ширина: 78±1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</w:tr>
      <w:tr w:rsidR="0017715E" w:rsidRPr="008B4B66" w:rsidTr="00322B46">
        <w:trPr>
          <w:trHeight w:val="287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Толщина пленки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180 мкм±0,1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</w:tr>
      <w:tr w:rsidR="0017715E" w:rsidRPr="008B4B66" w:rsidTr="00322B46">
        <w:trPr>
          <w:trHeight w:val="725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Температурный диапазон использования пленки от -80 °С +</w:t>
            </w:r>
            <w:proofErr w:type="gram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120  °</w:t>
            </w:r>
            <w:proofErr w:type="gram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Наличие подложки в виде коричневой крафт бумаги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483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Отсутсвие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 перфорации на насечках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725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двух насечек по ширине для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отсоидинения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 защитного лайнера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1209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об отсутствии ДНК, РНК,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ДНКаз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РНКаз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 и ингибиторов ПЦР (PCR-</w:t>
            </w:r>
            <w:proofErr w:type="spellStart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clean</w:t>
            </w:r>
            <w:proofErr w:type="spellEnd"/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) на каждый лот продукции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15E" w:rsidRPr="008B4B66" w:rsidTr="00322B46">
        <w:trPr>
          <w:trHeight w:val="725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17715E" w:rsidRPr="008B4B66" w:rsidTr="00322B46">
        <w:trPr>
          <w:trHeight w:val="725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Наличие регистрационного удостоверения на медицинское изделие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15E" w:rsidRPr="008B4B66" w:rsidRDefault="0017715E" w:rsidP="0017715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7715E" w:rsidRPr="008B4B66" w:rsidRDefault="0017715E" w:rsidP="0017715E">
      <w:pPr>
        <w:rPr>
          <w:rFonts w:ascii="Times New Roman" w:hAnsi="Times New Roman" w:cs="Times New Roman"/>
        </w:rPr>
      </w:pPr>
    </w:p>
    <w:sectPr w:rsidR="0017715E" w:rsidRPr="008B4B66">
      <w:headerReference w:type="default" r:id="rId8"/>
      <w:headerReference w:type="first" r:id="rId9"/>
      <w:pgSz w:w="12240" w:h="15840"/>
      <w:pgMar w:top="567" w:right="567" w:bottom="567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7E11" w:rsidRDefault="00671A0D">
      <w:pPr>
        <w:spacing w:after="0" w:line="240" w:lineRule="auto"/>
      </w:pPr>
      <w:r>
        <w:separator/>
      </w:r>
    </w:p>
  </w:endnote>
  <w:endnote w:type="continuationSeparator" w:id="0">
    <w:p w:rsidR="006C7E11" w:rsidRDefault="0067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7E11" w:rsidRDefault="00671A0D">
      <w:pPr>
        <w:spacing w:after="0" w:line="240" w:lineRule="auto"/>
      </w:pPr>
      <w:r>
        <w:separator/>
      </w:r>
    </w:p>
  </w:footnote>
  <w:footnote w:type="continuationSeparator" w:id="0">
    <w:p w:rsidR="006C7E11" w:rsidRDefault="0067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5397428"/>
      <w:docPartObj>
        <w:docPartGallery w:val="Page Numbers (Top of Page)"/>
        <w:docPartUnique/>
      </w:docPartObj>
    </w:sdtPr>
    <w:sdtEndPr/>
    <w:sdtContent>
      <w:p w:rsidR="00C21114" w:rsidRDefault="001771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C21114" w:rsidRDefault="005E04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1114" w:rsidRDefault="005E04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2A76"/>
    <w:multiLevelType w:val="hybridMultilevel"/>
    <w:tmpl w:val="3A24DD16"/>
    <w:lvl w:ilvl="0" w:tplc="107EF156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1082AB1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42C6AC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0E67EE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BA85C1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0AC6A0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3484BB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8E6B28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5AA040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1918EE"/>
    <w:multiLevelType w:val="hybridMultilevel"/>
    <w:tmpl w:val="3D22BDF2"/>
    <w:lvl w:ilvl="0" w:tplc="985C9C94">
      <w:start w:val="1"/>
      <w:numFmt w:val="decimal"/>
      <w:lvlText w:val="%1."/>
      <w:lvlJc w:val="left"/>
      <w:pPr>
        <w:ind w:left="720" w:hanging="360"/>
      </w:pPr>
    </w:lvl>
    <w:lvl w:ilvl="1" w:tplc="84147604">
      <w:start w:val="1"/>
      <w:numFmt w:val="lowerLetter"/>
      <w:lvlText w:val="%2."/>
      <w:lvlJc w:val="left"/>
      <w:pPr>
        <w:ind w:left="1440" w:hanging="360"/>
      </w:pPr>
    </w:lvl>
    <w:lvl w:ilvl="2" w:tplc="00A889BE">
      <w:start w:val="1"/>
      <w:numFmt w:val="lowerRoman"/>
      <w:lvlText w:val="%3."/>
      <w:lvlJc w:val="right"/>
      <w:pPr>
        <w:ind w:left="2160" w:hanging="180"/>
      </w:pPr>
    </w:lvl>
    <w:lvl w:ilvl="3" w:tplc="E3E69628">
      <w:start w:val="1"/>
      <w:numFmt w:val="decimal"/>
      <w:lvlText w:val="%4."/>
      <w:lvlJc w:val="left"/>
      <w:pPr>
        <w:ind w:left="2880" w:hanging="360"/>
      </w:pPr>
    </w:lvl>
    <w:lvl w:ilvl="4" w:tplc="0CD6BCB2">
      <w:start w:val="1"/>
      <w:numFmt w:val="lowerLetter"/>
      <w:lvlText w:val="%5."/>
      <w:lvlJc w:val="left"/>
      <w:pPr>
        <w:ind w:left="3600" w:hanging="360"/>
      </w:pPr>
    </w:lvl>
    <w:lvl w:ilvl="5" w:tplc="8BBAF4FC">
      <w:start w:val="1"/>
      <w:numFmt w:val="lowerRoman"/>
      <w:lvlText w:val="%6."/>
      <w:lvlJc w:val="right"/>
      <w:pPr>
        <w:ind w:left="4320" w:hanging="180"/>
      </w:pPr>
    </w:lvl>
    <w:lvl w:ilvl="6" w:tplc="F056C0D2">
      <w:start w:val="1"/>
      <w:numFmt w:val="decimal"/>
      <w:lvlText w:val="%7."/>
      <w:lvlJc w:val="left"/>
      <w:pPr>
        <w:ind w:left="5040" w:hanging="360"/>
      </w:pPr>
    </w:lvl>
    <w:lvl w:ilvl="7" w:tplc="BA6AE4A4">
      <w:start w:val="1"/>
      <w:numFmt w:val="lowerLetter"/>
      <w:lvlText w:val="%8."/>
      <w:lvlJc w:val="left"/>
      <w:pPr>
        <w:ind w:left="5760" w:hanging="360"/>
      </w:pPr>
    </w:lvl>
    <w:lvl w:ilvl="8" w:tplc="1C067E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6392"/>
    <w:multiLevelType w:val="hybridMultilevel"/>
    <w:tmpl w:val="27C287CA"/>
    <w:lvl w:ilvl="0" w:tplc="D5607B7C">
      <w:start w:val="1"/>
      <w:numFmt w:val="decimal"/>
      <w:lvlText w:val="%1."/>
      <w:lvlJc w:val="left"/>
      <w:pPr>
        <w:ind w:left="1418" w:hanging="360"/>
      </w:pPr>
    </w:lvl>
    <w:lvl w:ilvl="1" w:tplc="D80601BA">
      <w:start w:val="1"/>
      <w:numFmt w:val="lowerLetter"/>
      <w:lvlText w:val="%2."/>
      <w:lvlJc w:val="left"/>
      <w:pPr>
        <w:ind w:left="2138" w:hanging="360"/>
      </w:pPr>
    </w:lvl>
    <w:lvl w:ilvl="2" w:tplc="BCC8C5C0">
      <w:start w:val="1"/>
      <w:numFmt w:val="lowerRoman"/>
      <w:lvlText w:val="%3."/>
      <w:lvlJc w:val="right"/>
      <w:pPr>
        <w:ind w:left="2858" w:hanging="180"/>
      </w:pPr>
    </w:lvl>
    <w:lvl w:ilvl="3" w:tplc="E3DC17D0">
      <w:start w:val="1"/>
      <w:numFmt w:val="decimal"/>
      <w:lvlText w:val="%4."/>
      <w:lvlJc w:val="left"/>
      <w:pPr>
        <w:ind w:left="3578" w:hanging="360"/>
      </w:pPr>
    </w:lvl>
    <w:lvl w:ilvl="4" w:tplc="CF847552">
      <w:start w:val="1"/>
      <w:numFmt w:val="lowerLetter"/>
      <w:lvlText w:val="%5."/>
      <w:lvlJc w:val="left"/>
      <w:pPr>
        <w:ind w:left="4298" w:hanging="360"/>
      </w:pPr>
    </w:lvl>
    <w:lvl w:ilvl="5" w:tplc="27486E8C">
      <w:start w:val="1"/>
      <w:numFmt w:val="lowerRoman"/>
      <w:lvlText w:val="%6."/>
      <w:lvlJc w:val="right"/>
      <w:pPr>
        <w:ind w:left="5018" w:hanging="180"/>
      </w:pPr>
    </w:lvl>
    <w:lvl w:ilvl="6" w:tplc="51C6B100">
      <w:start w:val="1"/>
      <w:numFmt w:val="decimal"/>
      <w:lvlText w:val="%7."/>
      <w:lvlJc w:val="left"/>
      <w:pPr>
        <w:ind w:left="5738" w:hanging="360"/>
      </w:pPr>
    </w:lvl>
    <w:lvl w:ilvl="7" w:tplc="B928A646">
      <w:start w:val="1"/>
      <w:numFmt w:val="lowerLetter"/>
      <w:lvlText w:val="%8."/>
      <w:lvlJc w:val="left"/>
      <w:pPr>
        <w:ind w:left="6458" w:hanging="360"/>
      </w:pPr>
    </w:lvl>
    <w:lvl w:ilvl="8" w:tplc="7B48EE6A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48A11451"/>
    <w:multiLevelType w:val="hybridMultilevel"/>
    <w:tmpl w:val="23281634"/>
    <w:lvl w:ilvl="0" w:tplc="0EE6D1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ADC62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22A0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B239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16F1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6C01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B20E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2CC96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0B80E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4F00D83"/>
    <w:multiLevelType w:val="hybridMultilevel"/>
    <w:tmpl w:val="1FB6DB52"/>
    <w:lvl w:ilvl="0" w:tplc="617099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D2BD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70E0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8692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4C1E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0412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B08F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D028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76A6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5E"/>
    <w:rsid w:val="0017715E"/>
    <w:rsid w:val="005E042E"/>
    <w:rsid w:val="00671A0D"/>
    <w:rsid w:val="006C7E11"/>
    <w:rsid w:val="008B4B66"/>
    <w:rsid w:val="009F2883"/>
    <w:rsid w:val="00B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E1A"/>
  <w15:chartTrackingRefBased/>
  <w15:docId w15:val="{AFB97422-A1DE-4AA3-8274-8A7F2ABA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715E"/>
  </w:style>
  <w:style w:type="character" w:styleId="a6">
    <w:name w:val="Hyperlink"/>
    <w:basedOn w:val="a0"/>
    <w:uiPriority w:val="99"/>
    <w:unhideWhenUsed/>
    <w:rsid w:val="0017715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77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es44.roseltorg.ru/app/okpd2/17.29.19.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Медведева</dc:creator>
  <cp:keywords/>
  <dc:description/>
  <cp:lastModifiedBy>Мария Шеварденкова</cp:lastModifiedBy>
  <cp:revision>3</cp:revision>
  <dcterms:created xsi:type="dcterms:W3CDTF">2026-06-10T10:06:00Z</dcterms:created>
  <dcterms:modified xsi:type="dcterms:W3CDTF">2026-06-15T13:31:00Z</dcterms:modified>
</cp:coreProperties>
</file>